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diagrams/drawing2.xml" ContentType="application/vnd.ms-office.drawingml.diagramDrawing+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header4.xml" ContentType="application/vnd.openxmlformats-officedocument.wordprocessingml.header+xml"/>
  <Override PartName="/word/diagrams/layout3.xml" ContentType="application/vnd.openxmlformats-officedocument.drawingml.diagramLayou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diagrams/quickStyle3.xml" ContentType="application/vnd.openxmlformats-officedocument.drawingml.diagramStyl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diagrams/data4.xml" ContentType="application/vnd.openxmlformats-officedocument.drawingml.diagramData+xml"/>
  <Override PartName="/word/theme/themeOverride16.xml" ContentType="application/vnd.openxmlformats-officedocument.themeOverride+xml"/>
  <Override PartName="/word/theme/themeOverride3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12.xml" ContentType="application/vnd.openxmlformats-officedocument.themeOverride+xml"/>
  <Default Extension="emf" ContentType="image/x-emf"/>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diagrams/layout4.xml" ContentType="application/vnd.openxmlformats-officedocument.drawingml.diagramLayout+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theme/themeOverride48.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theme/themeOverride7.xml" ContentType="application/vnd.openxmlformats-officedocument.themeOverride+xml"/>
  <Override PartName="/word/charts/chart12.xml" ContentType="application/vnd.openxmlformats-officedocument.drawingml.chart+xml"/>
  <Override PartName="/word/diagrams/quickStyle4.xml" ContentType="application/vnd.openxmlformats-officedocument.drawingml.diagramStyle+xml"/>
  <Override PartName="/word/theme/themeOverride17.xml" ContentType="application/vnd.openxmlformats-officedocument.themeOverride+xml"/>
  <Override PartName="/word/header1.xml" ContentType="application/vnd.openxmlformats-officedocument.wordprocessingml.header+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diagrams/drawing4.xml" ContentType="application/vnd.ms-office.drawingml.diagramDrawing+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header2.xml" ContentType="application/vnd.openxmlformats-officedocument.wordprocessingml.header+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diagrams/layout1.xml" ContentType="application/vnd.openxmlformats-officedocument.drawingml.diagramLayout+xml"/>
  <Default Extension="sldx" ContentType="application/vnd.openxmlformats-officedocument.presentationml.slide"/>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diagrams/quickStyle1.xml" ContentType="application/vnd.openxmlformats-officedocument.drawingml.diagramStyle+xml"/>
  <Override PartName="/word/theme/themeOverride4.xml" ContentType="application/vnd.openxmlformats-officedocument.themeOverride+xml"/>
  <Override PartName="/word/diagrams/colors4.xml" ContentType="application/vnd.openxmlformats-officedocument.drawingml.diagramColors+xml"/>
  <Override PartName="/word/theme/themeOverride25.xml" ContentType="application/vnd.openxmlformats-officedocument.themeOverride+xml"/>
  <Override PartName="/word/theme/themeOverride4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FAC" w:rsidRPr="00A54FAC" w:rsidRDefault="00A54FAC" w:rsidP="00A54FAC">
      <w:pPr>
        <w:jc w:val="center"/>
        <w:rPr>
          <w:b/>
          <w:sz w:val="32"/>
        </w:rPr>
      </w:pPr>
      <w:bookmarkStart w:id="0" w:name="_Toc293248606"/>
      <w:bookmarkStart w:id="1" w:name="_Toc282952208"/>
      <w:bookmarkStart w:id="2" w:name="_Toc285659277"/>
      <w:bookmarkStart w:id="3" w:name="_Toc285660836"/>
      <w:bookmarkStart w:id="4" w:name="_Toc286781138"/>
      <w:bookmarkStart w:id="5" w:name="_Toc286781865"/>
      <w:bookmarkStart w:id="6" w:name="_Toc288140964"/>
      <w:bookmarkStart w:id="7" w:name="_Toc289277576"/>
      <w:bookmarkStart w:id="8" w:name="_Toc198685964"/>
      <w:r w:rsidRPr="00A54FAC">
        <w:rPr>
          <w:b/>
          <w:sz w:val="32"/>
        </w:rPr>
        <w:t>ŠIAULIŲ UNIVERSITETAS</w:t>
      </w:r>
    </w:p>
    <w:p w:rsidR="00A54FAC" w:rsidRPr="00A54FAC" w:rsidRDefault="00A54FAC" w:rsidP="00A54FAC">
      <w:pPr>
        <w:jc w:val="center"/>
        <w:rPr>
          <w:b/>
          <w:sz w:val="32"/>
        </w:rPr>
      </w:pPr>
      <w:r w:rsidRPr="00A54FAC">
        <w:rPr>
          <w:b/>
          <w:sz w:val="32"/>
        </w:rPr>
        <w:t>SOCIALINIŲ MOKSLŲ FAKULTETAS</w:t>
      </w:r>
    </w:p>
    <w:p w:rsidR="00A54FAC" w:rsidRPr="00A54FAC" w:rsidRDefault="00A54FAC" w:rsidP="00A54FAC">
      <w:pPr>
        <w:pStyle w:val="Antrat4"/>
        <w:spacing w:before="0" w:after="0"/>
        <w:jc w:val="center"/>
        <w:rPr>
          <w:rFonts w:ascii="Times New Roman" w:eastAsia="Times New Roman" w:hAnsi="Times New Roman" w:cs="Times New Roman"/>
          <w:sz w:val="32"/>
        </w:rPr>
      </w:pPr>
      <w:r w:rsidRPr="00A54FAC">
        <w:rPr>
          <w:rFonts w:ascii="Times New Roman" w:eastAsia="Times New Roman" w:hAnsi="Times New Roman" w:cs="Times New Roman"/>
          <w:sz w:val="32"/>
        </w:rPr>
        <w:t>VIEŠOJO ADMINISTRAVIMO KATEDRA</w:t>
      </w:r>
    </w:p>
    <w:p w:rsidR="00A54FAC" w:rsidRPr="00482E05" w:rsidRDefault="00A54FAC" w:rsidP="00A54FAC">
      <w:pPr>
        <w:jc w:val="center"/>
        <w:rPr>
          <w:sz w:val="22"/>
          <w:szCs w:val="22"/>
        </w:rPr>
      </w:pPr>
    </w:p>
    <w:p w:rsidR="00A54FAC" w:rsidRDefault="00A54FAC" w:rsidP="00A54FAC">
      <w:pPr>
        <w:jc w:val="center"/>
        <w:rPr>
          <w:sz w:val="22"/>
        </w:rPr>
      </w:pPr>
    </w:p>
    <w:p w:rsidR="00A54FAC" w:rsidRDefault="00A54FAC" w:rsidP="00A54FAC">
      <w:pPr>
        <w:jc w:val="center"/>
        <w:rPr>
          <w:sz w:val="22"/>
        </w:rPr>
      </w:pPr>
    </w:p>
    <w:p w:rsidR="00A54FAC" w:rsidRDefault="00A54FAC" w:rsidP="00A54FAC">
      <w:pPr>
        <w:jc w:val="center"/>
        <w:rPr>
          <w:sz w:val="22"/>
        </w:rPr>
      </w:pPr>
    </w:p>
    <w:p w:rsidR="00A54FAC" w:rsidRDefault="00A54FAC" w:rsidP="00A54FAC">
      <w:pPr>
        <w:jc w:val="center"/>
        <w:rPr>
          <w:sz w:val="22"/>
        </w:rPr>
      </w:pPr>
    </w:p>
    <w:p w:rsidR="00A54FAC" w:rsidRDefault="00A54FAC" w:rsidP="00A54FAC">
      <w:pPr>
        <w:jc w:val="center"/>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Pr="00A54FAC" w:rsidRDefault="00A54FAC" w:rsidP="00A54FAC">
      <w:pPr>
        <w:pStyle w:val="Antrat9"/>
        <w:jc w:val="center"/>
        <w:rPr>
          <w:rFonts w:ascii="Times New Roman" w:hAnsi="Times New Roman" w:cs="Times New Roman"/>
          <w:b/>
          <w:sz w:val="32"/>
          <w:szCs w:val="32"/>
        </w:rPr>
      </w:pPr>
      <w:r w:rsidRPr="00A54FAC">
        <w:rPr>
          <w:rFonts w:ascii="Times New Roman" w:hAnsi="Times New Roman" w:cs="Times New Roman"/>
          <w:b/>
          <w:sz w:val="32"/>
          <w:szCs w:val="32"/>
        </w:rPr>
        <w:t>Diana ŠIRVINSKAITĖ</w:t>
      </w: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Pr="0042469E" w:rsidRDefault="00A54FAC" w:rsidP="00A54FAC">
      <w:pPr>
        <w:spacing w:line="360" w:lineRule="auto"/>
        <w:jc w:val="center"/>
        <w:rPr>
          <w:b/>
          <w:sz w:val="32"/>
          <w:szCs w:val="32"/>
        </w:rPr>
      </w:pPr>
      <w:r w:rsidRPr="0042469E">
        <w:rPr>
          <w:b/>
          <w:sz w:val="32"/>
          <w:szCs w:val="32"/>
        </w:rPr>
        <w:t>VISUOMENĖS SVEIKATOS BIURO VEIKLOS STRATEGI</w:t>
      </w:r>
      <w:r>
        <w:rPr>
          <w:b/>
          <w:sz w:val="32"/>
          <w:szCs w:val="32"/>
        </w:rPr>
        <w:t>NIAI PRIORITETAI</w:t>
      </w:r>
      <w:r w:rsidRPr="0042469E">
        <w:rPr>
          <w:b/>
          <w:sz w:val="32"/>
          <w:szCs w:val="32"/>
        </w:rPr>
        <w:t>: ŠIAULIŲ MIESTO ATVEJIS</w:t>
      </w:r>
    </w:p>
    <w:p w:rsidR="00A54FAC" w:rsidRDefault="00A54FAC" w:rsidP="00A54FAC">
      <w:pPr>
        <w:jc w:val="center"/>
        <w:rPr>
          <w:b/>
          <w:spacing w:val="20"/>
          <w:sz w:val="22"/>
        </w:rPr>
      </w:pPr>
    </w:p>
    <w:p w:rsidR="00A54FAC" w:rsidRDefault="00A54FAC" w:rsidP="00A54FAC">
      <w:pPr>
        <w:jc w:val="center"/>
        <w:rPr>
          <w:b/>
          <w:spacing w:val="20"/>
          <w:sz w:val="22"/>
        </w:rPr>
      </w:pPr>
    </w:p>
    <w:p w:rsidR="00A54FAC" w:rsidRDefault="00A54FAC" w:rsidP="00A54FAC">
      <w:pPr>
        <w:jc w:val="center"/>
        <w:rPr>
          <w:b/>
          <w:spacing w:val="20"/>
          <w:sz w:val="22"/>
        </w:rPr>
      </w:pPr>
    </w:p>
    <w:p w:rsidR="00A54FAC" w:rsidRDefault="00A54FAC" w:rsidP="00A54FAC">
      <w:pPr>
        <w:jc w:val="center"/>
        <w:rPr>
          <w:b/>
          <w:spacing w:val="20"/>
          <w:sz w:val="22"/>
        </w:rPr>
      </w:pPr>
    </w:p>
    <w:p w:rsidR="00A54FAC" w:rsidRPr="00A54FAC" w:rsidRDefault="00A54FAC" w:rsidP="00A54FAC">
      <w:pPr>
        <w:pStyle w:val="Antrat9"/>
        <w:jc w:val="center"/>
        <w:rPr>
          <w:rFonts w:ascii="Times New Roman" w:hAnsi="Times New Roman" w:cs="Times New Roman"/>
          <w:b/>
          <w:bCs w:val="0"/>
          <w:sz w:val="32"/>
          <w:szCs w:val="32"/>
        </w:rPr>
      </w:pPr>
      <w:r w:rsidRPr="00A54FAC">
        <w:rPr>
          <w:rFonts w:ascii="Times New Roman" w:hAnsi="Times New Roman" w:cs="Times New Roman"/>
          <w:b/>
          <w:bCs w:val="0"/>
          <w:sz w:val="32"/>
          <w:szCs w:val="32"/>
        </w:rPr>
        <w:t>Magistro darbas</w:t>
      </w:r>
    </w:p>
    <w:p w:rsidR="00A54FAC" w:rsidRDefault="00A54FAC" w:rsidP="00A54FAC">
      <w:pPr>
        <w:jc w:val="center"/>
        <w:rPr>
          <w:b/>
          <w:sz w:val="22"/>
        </w:rPr>
      </w:pPr>
    </w:p>
    <w:p w:rsidR="00A54FAC" w:rsidRDefault="00A54FAC" w:rsidP="00A54FAC">
      <w:pPr>
        <w:jc w:val="center"/>
        <w:rPr>
          <w:b/>
          <w:sz w:val="22"/>
        </w:rPr>
      </w:pPr>
    </w:p>
    <w:p w:rsidR="00A54FAC" w:rsidRDefault="00A54FAC" w:rsidP="00A54FAC">
      <w:pPr>
        <w:jc w:val="center"/>
        <w:rPr>
          <w:b/>
          <w:sz w:val="22"/>
        </w:rPr>
      </w:pPr>
    </w:p>
    <w:p w:rsidR="00A54FAC" w:rsidRDefault="00A54FAC" w:rsidP="00A54FAC">
      <w:pPr>
        <w:jc w:val="center"/>
        <w:rPr>
          <w:b/>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Default="00A54FAC" w:rsidP="00A54FAC">
      <w:pPr>
        <w:jc w:val="both"/>
        <w:rPr>
          <w:sz w:val="22"/>
        </w:rPr>
      </w:pPr>
    </w:p>
    <w:p w:rsidR="00A54FAC" w:rsidRPr="00482E05" w:rsidRDefault="00A54FAC" w:rsidP="00A54FAC">
      <w:pPr>
        <w:jc w:val="center"/>
      </w:pPr>
      <w:r>
        <w:t>Šiauliai, 2011</w:t>
      </w:r>
    </w:p>
    <w:p w:rsidR="00A54FAC" w:rsidRPr="00A54FAC" w:rsidRDefault="00A54FAC" w:rsidP="00A54FAC">
      <w:pPr>
        <w:jc w:val="center"/>
        <w:rPr>
          <w:b/>
          <w:sz w:val="32"/>
        </w:rPr>
      </w:pPr>
      <w:r>
        <w:rPr>
          <w:sz w:val="28"/>
        </w:rPr>
        <w:br w:type="page"/>
      </w:r>
      <w:r w:rsidRPr="00A54FAC">
        <w:rPr>
          <w:b/>
          <w:sz w:val="32"/>
        </w:rPr>
        <w:lastRenderedPageBreak/>
        <w:t>ŠIAULIŲ UNIVERSITETAS</w:t>
      </w:r>
    </w:p>
    <w:p w:rsidR="00A54FAC" w:rsidRPr="00A54FAC" w:rsidRDefault="00A54FAC" w:rsidP="00A54FAC">
      <w:pPr>
        <w:jc w:val="center"/>
        <w:rPr>
          <w:b/>
          <w:sz w:val="32"/>
        </w:rPr>
      </w:pPr>
      <w:r w:rsidRPr="00A54FAC">
        <w:rPr>
          <w:b/>
          <w:sz w:val="32"/>
        </w:rPr>
        <w:t>SOCIALINIŲ MOKSLŲ FAKULTETAS</w:t>
      </w:r>
    </w:p>
    <w:p w:rsidR="00A54FAC" w:rsidRPr="00A54FAC" w:rsidRDefault="00A54FAC" w:rsidP="00A54FAC">
      <w:pPr>
        <w:pStyle w:val="Antrat4"/>
        <w:spacing w:before="0" w:after="0"/>
        <w:jc w:val="center"/>
        <w:rPr>
          <w:rFonts w:ascii="Times New Roman" w:eastAsia="Times New Roman" w:hAnsi="Times New Roman" w:cs="Times New Roman"/>
          <w:sz w:val="32"/>
        </w:rPr>
      </w:pPr>
      <w:r w:rsidRPr="00A54FAC">
        <w:rPr>
          <w:rFonts w:ascii="Times New Roman" w:eastAsia="Times New Roman" w:hAnsi="Times New Roman" w:cs="Times New Roman"/>
          <w:sz w:val="32"/>
        </w:rPr>
        <w:t>VIEŠOJO ADMINISTRAVIMO KATEDRA</w:t>
      </w: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Pr="00A54FAC" w:rsidRDefault="00A54FAC" w:rsidP="00A54FAC">
      <w:pPr>
        <w:pStyle w:val="Antrat9"/>
        <w:jc w:val="center"/>
        <w:rPr>
          <w:rFonts w:ascii="Times New Roman" w:hAnsi="Times New Roman" w:cs="Times New Roman"/>
          <w:b/>
          <w:sz w:val="32"/>
          <w:szCs w:val="32"/>
        </w:rPr>
      </w:pPr>
      <w:r w:rsidRPr="00A54FAC">
        <w:rPr>
          <w:rFonts w:ascii="Times New Roman" w:hAnsi="Times New Roman" w:cs="Times New Roman"/>
          <w:b/>
          <w:sz w:val="32"/>
          <w:szCs w:val="32"/>
        </w:rPr>
        <w:t>Diana ŠIRVINSKAITĖ</w:t>
      </w: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Default="00A54FAC" w:rsidP="00A54FAC">
      <w:pPr>
        <w:jc w:val="center"/>
        <w:rPr>
          <w:sz w:val="32"/>
        </w:rPr>
      </w:pPr>
    </w:p>
    <w:p w:rsidR="00A54FAC" w:rsidRPr="0042469E" w:rsidRDefault="00A54FAC" w:rsidP="00A54FAC">
      <w:pPr>
        <w:spacing w:line="360" w:lineRule="auto"/>
        <w:jc w:val="center"/>
        <w:rPr>
          <w:b/>
          <w:sz w:val="32"/>
          <w:szCs w:val="32"/>
        </w:rPr>
      </w:pPr>
      <w:r w:rsidRPr="0042469E">
        <w:rPr>
          <w:b/>
          <w:sz w:val="32"/>
          <w:szCs w:val="32"/>
        </w:rPr>
        <w:t xml:space="preserve">VISUOMENĖS </w:t>
      </w:r>
      <w:r>
        <w:rPr>
          <w:b/>
          <w:sz w:val="32"/>
          <w:szCs w:val="32"/>
        </w:rPr>
        <w:t>SVEIKATOS BIURO VEIKLOS STRATEGINIAI PRIORITETAI</w:t>
      </w:r>
      <w:r w:rsidRPr="0042469E">
        <w:rPr>
          <w:b/>
          <w:sz w:val="32"/>
          <w:szCs w:val="32"/>
        </w:rPr>
        <w:t>: ŠIAULIŲ MIESTO ATVEJIS</w:t>
      </w:r>
    </w:p>
    <w:p w:rsidR="00A54FAC" w:rsidRDefault="00A54FAC" w:rsidP="00A54FAC">
      <w:pPr>
        <w:jc w:val="center"/>
        <w:rPr>
          <w:b/>
          <w:spacing w:val="20"/>
          <w:sz w:val="32"/>
        </w:rPr>
      </w:pPr>
    </w:p>
    <w:p w:rsidR="00A54FAC" w:rsidRDefault="00A54FAC" w:rsidP="00A54FAC">
      <w:pPr>
        <w:jc w:val="center"/>
        <w:rPr>
          <w:b/>
          <w:spacing w:val="20"/>
          <w:sz w:val="32"/>
        </w:rPr>
      </w:pPr>
    </w:p>
    <w:p w:rsidR="00A54FAC" w:rsidRDefault="00A54FAC" w:rsidP="00A54FAC">
      <w:pPr>
        <w:jc w:val="center"/>
        <w:rPr>
          <w:b/>
          <w:spacing w:val="20"/>
          <w:sz w:val="32"/>
        </w:rPr>
      </w:pPr>
    </w:p>
    <w:p w:rsidR="00A54FAC" w:rsidRDefault="00A54FAC" w:rsidP="00A54FAC">
      <w:pPr>
        <w:jc w:val="center"/>
        <w:rPr>
          <w:b/>
          <w:sz w:val="28"/>
        </w:rPr>
      </w:pPr>
      <w:r>
        <w:rPr>
          <w:b/>
          <w:sz w:val="28"/>
        </w:rPr>
        <w:t>Magistro darbas</w:t>
      </w:r>
    </w:p>
    <w:p w:rsidR="00A54FAC" w:rsidRDefault="00A54FAC" w:rsidP="00A54FAC">
      <w:pPr>
        <w:jc w:val="center"/>
        <w:rPr>
          <w:b/>
          <w:sz w:val="28"/>
        </w:rPr>
      </w:pPr>
      <w:r>
        <w:rPr>
          <w:b/>
          <w:sz w:val="28"/>
        </w:rPr>
        <w:t>Socialiniai mokslai, vadyba ir verslo administravimas (03S1)</w:t>
      </w:r>
    </w:p>
    <w:p w:rsidR="00A54FAC" w:rsidRDefault="00A54FAC" w:rsidP="00A54FAC">
      <w:pPr>
        <w:jc w:val="center"/>
        <w:rPr>
          <w:b/>
          <w:sz w:val="32"/>
        </w:rPr>
      </w:pPr>
      <w:r>
        <w:rPr>
          <w:b/>
          <w:sz w:val="28"/>
        </w:rPr>
        <w:t>Šaka- viešasis administravimas</w:t>
      </w:r>
    </w:p>
    <w:p w:rsidR="00A54FAC" w:rsidRDefault="00A54FAC" w:rsidP="00A54FAC">
      <w:pPr>
        <w:jc w:val="center"/>
        <w:rPr>
          <w:b/>
          <w:sz w:val="32"/>
        </w:rPr>
      </w:pPr>
    </w:p>
    <w:p w:rsidR="00A54FAC" w:rsidRDefault="00A54FAC" w:rsidP="00A54FAC">
      <w:pPr>
        <w:jc w:val="center"/>
        <w:rPr>
          <w:b/>
          <w:sz w:val="32"/>
        </w:rPr>
      </w:pPr>
    </w:p>
    <w:p w:rsidR="00A54FAC" w:rsidRDefault="00A54FAC" w:rsidP="00A54FAC">
      <w:pPr>
        <w:jc w:val="center"/>
        <w:rPr>
          <w:b/>
          <w:sz w:val="32"/>
        </w:rPr>
      </w:pPr>
    </w:p>
    <w:p w:rsidR="00A54FAC" w:rsidRDefault="00A54FAC" w:rsidP="00A54FAC">
      <w:pPr>
        <w:jc w:val="center"/>
        <w:rPr>
          <w:b/>
          <w:sz w:val="32"/>
        </w:rPr>
      </w:pPr>
    </w:p>
    <w:p w:rsidR="00A54FAC" w:rsidRDefault="00A54FAC" w:rsidP="00A54FAC">
      <w:pPr>
        <w:jc w:val="both"/>
        <w:rPr>
          <w:bCs/>
        </w:rPr>
      </w:pPr>
      <w:r w:rsidRPr="00FD2002">
        <w:rPr>
          <w:b/>
        </w:rPr>
        <w:t>Teigiu, kad magistro studijų baigiamasis darbas, kurį teikiu vadybos studijų programos magistro kvalifikaciniam laipsniui įgyti yra originalus autorinis darbas</w:t>
      </w:r>
      <w:r>
        <w:rPr>
          <w:b/>
        </w:rPr>
        <w:t>:</w:t>
      </w:r>
      <w:r w:rsidRPr="00FD2002">
        <w:rPr>
          <w:bCs/>
        </w:rPr>
        <w:t xml:space="preserve"> </w:t>
      </w:r>
    </w:p>
    <w:p w:rsidR="00A54FAC" w:rsidRPr="00FD2002" w:rsidRDefault="00A54FAC" w:rsidP="00A54FAC">
      <w:pPr>
        <w:jc w:val="both"/>
        <w:rPr>
          <w:bCs/>
        </w:rPr>
      </w:pPr>
    </w:p>
    <w:p w:rsidR="00A54FAC" w:rsidRDefault="00A54FAC" w:rsidP="00A54FAC">
      <w:pPr>
        <w:tabs>
          <w:tab w:val="left" w:leader="dot" w:pos="6237"/>
        </w:tabs>
        <w:jc w:val="both"/>
        <w:rPr>
          <w:b/>
          <w:bCs/>
        </w:rPr>
      </w:pPr>
    </w:p>
    <w:p w:rsidR="00A54FAC" w:rsidRDefault="00A54FAC" w:rsidP="00A54FAC">
      <w:pPr>
        <w:tabs>
          <w:tab w:val="left" w:leader="dot" w:pos="6237"/>
        </w:tabs>
        <w:jc w:val="both"/>
        <w:rPr>
          <w:b/>
          <w:bCs/>
        </w:rPr>
      </w:pPr>
    </w:p>
    <w:p w:rsidR="00A54FAC" w:rsidRDefault="00A54FAC" w:rsidP="00A54FAC">
      <w:pPr>
        <w:tabs>
          <w:tab w:val="left" w:leader="dot" w:pos="6237"/>
        </w:tabs>
        <w:jc w:val="both"/>
      </w:pPr>
      <w:r>
        <w:rPr>
          <w:b/>
          <w:bCs/>
        </w:rPr>
        <w:t>Magistro darbo autorius</w:t>
      </w:r>
      <w:r>
        <w:tab/>
      </w:r>
    </w:p>
    <w:p w:rsidR="00A54FAC" w:rsidRPr="00523CB1" w:rsidRDefault="00A54FAC" w:rsidP="00A54FAC">
      <w:pPr>
        <w:tabs>
          <w:tab w:val="left" w:leader="dot" w:pos="6237"/>
        </w:tabs>
        <w:ind w:right="3280"/>
        <w:jc w:val="center"/>
        <w:rPr>
          <w:sz w:val="18"/>
          <w:szCs w:val="18"/>
        </w:rPr>
      </w:pPr>
      <w:r>
        <w:rPr>
          <w:sz w:val="18"/>
          <w:szCs w:val="18"/>
        </w:rPr>
        <w:t xml:space="preserve">                                                  </w:t>
      </w:r>
      <w:r w:rsidRPr="00523CB1">
        <w:rPr>
          <w:sz w:val="18"/>
          <w:szCs w:val="18"/>
        </w:rPr>
        <w:t>(vardas, pavardė, parašas)</w:t>
      </w:r>
    </w:p>
    <w:p w:rsidR="00A54FAC" w:rsidRPr="00171C40" w:rsidRDefault="00A54FAC" w:rsidP="00A54FAC">
      <w:pPr>
        <w:tabs>
          <w:tab w:val="left" w:leader="dot" w:pos="6237"/>
        </w:tabs>
        <w:jc w:val="both"/>
      </w:pPr>
    </w:p>
    <w:p w:rsidR="00A54FAC" w:rsidRDefault="00A54FAC" w:rsidP="00A54FAC">
      <w:pPr>
        <w:tabs>
          <w:tab w:val="left" w:leader="dot" w:pos="6237"/>
        </w:tabs>
        <w:jc w:val="both"/>
      </w:pPr>
      <w:r>
        <w:rPr>
          <w:b/>
          <w:bCs/>
        </w:rPr>
        <w:t>Vadovas</w:t>
      </w:r>
      <w:r>
        <w:tab/>
      </w:r>
    </w:p>
    <w:p w:rsidR="00A54FAC" w:rsidRPr="00523CB1" w:rsidRDefault="00A54FAC" w:rsidP="00A54FAC">
      <w:pPr>
        <w:tabs>
          <w:tab w:val="left" w:leader="dot" w:pos="6237"/>
        </w:tabs>
        <w:ind w:right="3280"/>
        <w:jc w:val="center"/>
        <w:rPr>
          <w:sz w:val="18"/>
          <w:szCs w:val="18"/>
        </w:rPr>
      </w:pPr>
      <w:r>
        <w:rPr>
          <w:sz w:val="18"/>
          <w:szCs w:val="18"/>
        </w:rPr>
        <w:t xml:space="preserve">                   </w:t>
      </w:r>
      <w:r w:rsidRPr="00523CB1">
        <w:rPr>
          <w:sz w:val="18"/>
          <w:szCs w:val="18"/>
        </w:rPr>
        <w:t>(pareigos, vardas, pavardė, parašas)</w:t>
      </w:r>
    </w:p>
    <w:p w:rsidR="00A54FAC" w:rsidRPr="00171C40" w:rsidRDefault="00A54FAC" w:rsidP="00A54FAC">
      <w:pPr>
        <w:tabs>
          <w:tab w:val="left" w:leader="dot" w:pos="6237"/>
        </w:tabs>
        <w:jc w:val="both"/>
      </w:pPr>
    </w:p>
    <w:p w:rsidR="00A54FAC" w:rsidRDefault="00A54FAC" w:rsidP="00A54FAC">
      <w:pPr>
        <w:tabs>
          <w:tab w:val="left" w:leader="dot" w:pos="6237"/>
        </w:tabs>
        <w:jc w:val="both"/>
      </w:pPr>
      <w:r>
        <w:rPr>
          <w:b/>
          <w:bCs/>
        </w:rPr>
        <w:t>Recenzentas</w:t>
      </w:r>
      <w:r>
        <w:tab/>
      </w:r>
    </w:p>
    <w:p w:rsidR="00A54FAC" w:rsidRPr="00523CB1" w:rsidRDefault="00A54FAC" w:rsidP="00A54FAC">
      <w:pPr>
        <w:tabs>
          <w:tab w:val="left" w:leader="dot" w:pos="6237"/>
        </w:tabs>
        <w:ind w:right="3280"/>
        <w:jc w:val="center"/>
        <w:rPr>
          <w:sz w:val="18"/>
          <w:szCs w:val="18"/>
        </w:rPr>
      </w:pPr>
      <w:r>
        <w:rPr>
          <w:sz w:val="18"/>
          <w:szCs w:val="18"/>
        </w:rPr>
        <w:t xml:space="preserve">                      </w:t>
      </w:r>
      <w:r w:rsidRPr="00523CB1">
        <w:rPr>
          <w:sz w:val="18"/>
          <w:szCs w:val="18"/>
        </w:rPr>
        <w:t>(pareigos, vardas, pavardė, parašas)</w:t>
      </w:r>
    </w:p>
    <w:p w:rsidR="00995BE0" w:rsidRDefault="00995BE0" w:rsidP="007A1BB4">
      <w:pPr>
        <w:pStyle w:val="Antrat1"/>
        <w:jc w:val="both"/>
      </w:pPr>
      <w:r>
        <w:lastRenderedPageBreak/>
        <w:t>SANTRAUKA</w:t>
      </w:r>
      <w:bookmarkEnd w:id="0"/>
    </w:p>
    <w:p w:rsidR="00995BE0" w:rsidRDefault="00995BE0" w:rsidP="008329D8">
      <w:pPr>
        <w:pStyle w:val="Default"/>
      </w:pPr>
      <w:r w:rsidRPr="00C36C35">
        <w:rPr>
          <w:b/>
          <w:bCs/>
        </w:rPr>
        <w:t xml:space="preserve">Diana Širvinskaitė. (2011). Visuomenės sveikatos biuro veiklos strateginiai </w:t>
      </w:r>
      <w:r>
        <w:rPr>
          <w:b/>
          <w:bCs/>
        </w:rPr>
        <w:t>prioritetai</w:t>
      </w:r>
      <w:r w:rsidRPr="00C36C35">
        <w:rPr>
          <w:b/>
          <w:bCs/>
        </w:rPr>
        <w:t>: Šiaulių miesto atvejis.</w:t>
      </w:r>
      <w:r>
        <w:t xml:space="preserve"> </w:t>
      </w:r>
      <w:r w:rsidRPr="007A1BB4">
        <w:t>Magistro darbas</w:t>
      </w:r>
      <w:r>
        <w:t xml:space="preserve">. Šiaulių universitetas, Vadybos ir verslo administravimo magistrantūros (viešojo administravimo šaka) programa. </w:t>
      </w:r>
    </w:p>
    <w:p w:rsidR="00995BE0" w:rsidRPr="007A1BB4" w:rsidRDefault="00995BE0" w:rsidP="007E39DD">
      <w:pPr>
        <w:spacing w:line="360" w:lineRule="auto"/>
        <w:jc w:val="both"/>
      </w:pPr>
    </w:p>
    <w:p w:rsidR="00995BE0" w:rsidRPr="00675022" w:rsidRDefault="00995BE0" w:rsidP="0062061A">
      <w:pPr>
        <w:spacing w:line="360" w:lineRule="auto"/>
        <w:jc w:val="both"/>
      </w:pPr>
      <w:r>
        <w:t>Šiame magistro darbe atlikta teorinių šaltinių apie strateginį valdymą, strateginį planavimą analizė. Išanalizuotas strateginio valdymo taikymo viešajame sektoriuje specifiškumas, pagrįsta nustatytinė strateginio valdymo metodologija. Atlikta Lietuvos sveikatos politikos pokyčių analizė, strateginio valdymo pritaikymo sveikatos apsaugos sistemoje galimybės, pirminės sveikatos priežiūros svarba. Tyrimo metu išanalizuota naujų visuomenės sveikatos institucijų – savivaldybių visuomenės sveikatos biurų veikla. Darbe nagrinėjamas Šiaulių miesto savivaldybės visuomenės sveikatos biuro atvejis, jo veiklos prioritetai. Šios įstaigos atlieka pagrindinį vaidmenį pirminėje sveikatos priežiūroje. Tyrimo metu atlikta Šiaulių miesto gyventojų sveikatos būklės analizė, ES ir Lietuvoje visuomenės sveikatą reglamentuojančių dokumentų analizė, SSGG ir PEST analizės. Apklausti 8 ekspertai, dirbantys visuomenės sveikatos srityje. Suformuoti ir pagrįsti 4 strateginiai veiklos prioritetai: lėtinių neinfekcinių ligų prevencija, vaikų sveikatos stiprinimas, sveikas senėjimas, socialinių netolygumų visuomenės sveikatos sistemoje mažinimas. Apibendrinta ekspertų nuostatų analizė. Suformuoti pagrindiniai pasiūlymai ir išvados.</w:t>
      </w:r>
    </w:p>
    <w:p w:rsidR="00995BE0" w:rsidRDefault="00995BE0" w:rsidP="007E39DD">
      <w:pPr>
        <w:spacing w:line="360" w:lineRule="auto"/>
        <w:jc w:val="both"/>
        <w:rPr>
          <w:b/>
        </w:rPr>
      </w:pPr>
    </w:p>
    <w:p w:rsidR="00995BE0" w:rsidRDefault="00995BE0" w:rsidP="002E627E">
      <w:pPr>
        <w:pStyle w:val="Antrat1"/>
        <w:jc w:val="both"/>
      </w:pPr>
      <w:bookmarkStart w:id="9" w:name="_Toc292286848"/>
      <w:bookmarkStart w:id="10" w:name="_Toc292829959"/>
      <w:bookmarkStart w:id="11" w:name="_Toc293039959"/>
      <w:bookmarkStart w:id="12" w:name="_Toc293248607"/>
      <w:r>
        <w:t>SUMMARY</w:t>
      </w:r>
      <w:bookmarkEnd w:id="9"/>
      <w:bookmarkEnd w:id="10"/>
      <w:bookmarkEnd w:id="11"/>
      <w:bookmarkEnd w:id="12"/>
    </w:p>
    <w:p w:rsidR="00995BE0" w:rsidRPr="00730F37" w:rsidRDefault="00995BE0" w:rsidP="00701609">
      <w:pPr>
        <w:jc w:val="both"/>
        <w:rPr>
          <w:lang w:val="en-GB"/>
        </w:rPr>
      </w:pPr>
      <w:r w:rsidRPr="00D52812">
        <w:rPr>
          <w:b/>
        </w:rPr>
        <w:t xml:space="preserve">Diana Širvinskaitė. (2011). </w:t>
      </w:r>
      <w:r w:rsidRPr="00D52812">
        <w:rPr>
          <w:b/>
          <w:lang w:val="en-GB"/>
        </w:rPr>
        <w:t>Strategic priorities of public</w:t>
      </w:r>
      <w:r w:rsidRPr="00D52812">
        <w:rPr>
          <w:b/>
        </w:rPr>
        <w:t xml:space="preserve"> health bureau: the case of </w:t>
      </w:r>
      <w:smartTag w:uri="urn:schemas-microsoft-com:office:smarttags" w:element="City">
        <w:smartTag w:uri="urn:schemas-microsoft-com:office:smarttags" w:element="place">
          <w:r w:rsidRPr="00D52812">
            <w:rPr>
              <w:b/>
            </w:rPr>
            <w:t>Siauliai</w:t>
          </w:r>
        </w:smartTag>
      </w:smartTag>
      <w:r w:rsidRPr="00D52812">
        <w:rPr>
          <w:b/>
        </w:rPr>
        <w:t xml:space="preserve"> </w:t>
      </w:r>
      <w:r w:rsidRPr="00730F37">
        <w:rPr>
          <w:b/>
          <w:lang w:val="en-GB"/>
        </w:rPr>
        <w:t>city.</w:t>
      </w:r>
      <w:r w:rsidRPr="00730F37">
        <w:rPr>
          <w:lang w:val="en-GB"/>
        </w:rPr>
        <w:t xml:space="preserve"> </w:t>
      </w:r>
      <w:r w:rsidRPr="00730F37">
        <w:rPr>
          <w:rStyle w:val="apple-style-span"/>
          <w:color w:val="000000"/>
          <w:lang w:val="en-GB"/>
        </w:rPr>
        <w:t>Master thesis.</w:t>
      </w:r>
      <w:r w:rsidRPr="00730F37">
        <w:rPr>
          <w:lang w:val="en-GB"/>
        </w:rPr>
        <w:t xml:space="preserve"> </w:t>
      </w:r>
      <w:smartTag w:uri="urn:schemas-microsoft-com:office:smarttags" w:element="PlaceType">
        <w:smartTag w:uri="urn:schemas-microsoft-com:office:smarttags" w:element="place">
          <w:r w:rsidRPr="00730F37">
            <w:rPr>
              <w:lang w:val="en-GB"/>
            </w:rPr>
            <w:t>University</w:t>
          </w:r>
        </w:smartTag>
        <w:r w:rsidRPr="00730F37">
          <w:rPr>
            <w:lang w:val="en-GB"/>
          </w:rPr>
          <w:t xml:space="preserve"> of </w:t>
        </w:r>
        <w:smartTag w:uri="urn:schemas-microsoft-com:office:smarttags" w:element="PlaceName">
          <w:r w:rsidRPr="00730F37">
            <w:rPr>
              <w:lang w:val="en-GB"/>
            </w:rPr>
            <w:t>Siauliai</w:t>
          </w:r>
        </w:smartTag>
      </w:smartTag>
      <w:r w:rsidRPr="00730F37">
        <w:rPr>
          <w:lang w:val="en-GB"/>
        </w:rPr>
        <w:t>, Faculty of social science, Management and business administration. Branch – public administration.</w:t>
      </w:r>
    </w:p>
    <w:p w:rsidR="00995BE0" w:rsidRDefault="00995BE0" w:rsidP="007E39DD">
      <w:pPr>
        <w:spacing w:line="360" w:lineRule="auto"/>
        <w:jc w:val="both"/>
        <w:rPr>
          <w:lang w:val="en-GB"/>
        </w:rPr>
      </w:pPr>
    </w:p>
    <w:p w:rsidR="00995BE0" w:rsidRPr="004763DC" w:rsidRDefault="00995BE0" w:rsidP="007E39DD">
      <w:pPr>
        <w:spacing w:line="360" w:lineRule="auto"/>
        <w:jc w:val="both"/>
        <w:rPr>
          <w:b/>
        </w:rPr>
      </w:pPr>
      <w:r w:rsidRPr="00730F37">
        <w:rPr>
          <w:lang w:val="en-GB"/>
        </w:rPr>
        <w:t xml:space="preserve">In this master‘s work </w:t>
      </w:r>
      <w:r>
        <w:rPr>
          <w:lang w:val="en-GB"/>
        </w:rPr>
        <w:t>the</w:t>
      </w:r>
      <w:r w:rsidRPr="00730F37">
        <w:rPr>
          <w:lang w:val="en-GB"/>
        </w:rPr>
        <w:t xml:space="preserve"> analysis </w:t>
      </w:r>
      <w:r>
        <w:rPr>
          <w:lang w:val="en-GB"/>
        </w:rPr>
        <w:t xml:space="preserve">of </w:t>
      </w:r>
      <w:r w:rsidRPr="00730F37">
        <w:rPr>
          <w:lang w:val="en-GB"/>
        </w:rPr>
        <w:t>theoretical literat</w:t>
      </w:r>
      <w:r>
        <w:rPr>
          <w:lang w:val="en-GB"/>
        </w:rPr>
        <w:t>ure on the strategic management and</w:t>
      </w:r>
      <w:r w:rsidRPr="00730F37">
        <w:rPr>
          <w:lang w:val="en-GB"/>
        </w:rPr>
        <w:t xml:space="preserve"> strategic planning</w:t>
      </w:r>
      <w:r>
        <w:rPr>
          <w:lang w:val="en-GB"/>
        </w:rPr>
        <w:t xml:space="preserve"> has been</w:t>
      </w:r>
      <w:r w:rsidRPr="00730F37">
        <w:rPr>
          <w:lang w:val="en-GB"/>
        </w:rPr>
        <w:t xml:space="preserve"> done.</w:t>
      </w:r>
      <w:r w:rsidRPr="00730F37">
        <w:rPr>
          <w:rStyle w:val="Antrat1Diagrama"/>
          <w:lang w:val="en-GB"/>
        </w:rPr>
        <w:t xml:space="preserve"> </w:t>
      </w:r>
      <w:r>
        <w:rPr>
          <w:lang w:val="en-GB"/>
        </w:rPr>
        <w:t>The</w:t>
      </w:r>
      <w:r w:rsidRPr="00730F37">
        <w:rPr>
          <w:lang w:val="en-GB"/>
        </w:rPr>
        <w:t xml:space="preserve"> specificities of strategic management application in the public sector,</w:t>
      </w:r>
      <w:r w:rsidRPr="00730F37">
        <w:rPr>
          <w:rStyle w:val="Antrat1Diagrama"/>
          <w:lang w:val="en-GB"/>
        </w:rPr>
        <w:t xml:space="preserve"> </w:t>
      </w:r>
      <w:r w:rsidRPr="00730F37">
        <w:rPr>
          <w:lang w:val="en-GB"/>
        </w:rPr>
        <w:t>based on the determined strategic management methodology</w:t>
      </w:r>
      <w:r>
        <w:rPr>
          <w:lang w:val="en-GB"/>
        </w:rPr>
        <w:t xml:space="preserve"> have been analysed</w:t>
      </w:r>
      <w:r w:rsidRPr="00730F37">
        <w:rPr>
          <w:lang w:val="en-GB"/>
        </w:rPr>
        <w:t>.</w:t>
      </w:r>
      <w:r>
        <w:rPr>
          <w:lang w:val="en-GB"/>
        </w:rPr>
        <w:t xml:space="preserve"> The</w:t>
      </w:r>
      <w:r w:rsidRPr="00730F37">
        <w:rPr>
          <w:lang w:val="en-GB"/>
        </w:rPr>
        <w:t xml:space="preserve"> changes </w:t>
      </w:r>
      <w:r>
        <w:rPr>
          <w:lang w:val="en-GB"/>
        </w:rPr>
        <w:t>of the Lithuanian health policy, the</w:t>
      </w:r>
      <w:r w:rsidRPr="00730F37">
        <w:rPr>
          <w:lang w:val="en-GB"/>
        </w:rPr>
        <w:t xml:space="preserve"> adaptation options of strategic manag</w:t>
      </w:r>
      <w:r>
        <w:rPr>
          <w:lang w:val="en-GB"/>
        </w:rPr>
        <w:t>ement in the health care system and</w:t>
      </w:r>
      <w:r w:rsidRPr="00730F37">
        <w:rPr>
          <w:lang w:val="en-GB"/>
        </w:rPr>
        <w:t xml:space="preserve"> the importance of primary health care</w:t>
      </w:r>
      <w:r>
        <w:rPr>
          <w:lang w:val="en-GB"/>
        </w:rPr>
        <w:t xml:space="preserve"> has been analysed</w:t>
      </w:r>
      <w:r w:rsidRPr="00730F37">
        <w:rPr>
          <w:lang w:val="en-GB"/>
        </w:rPr>
        <w:t>.</w:t>
      </w:r>
      <w:r w:rsidRPr="00730F37">
        <w:rPr>
          <w:rStyle w:val="Antrat1Diagrama"/>
          <w:lang w:val="en-GB"/>
        </w:rPr>
        <w:t xml:space="preserve"> </w:t>
      </w:r>
      <w:r w:rsidRPr="004763DC">
        <w:rPr>
          <w:rStyle w:val="Antrat1Diagrama"/>
          <w:rFonts w:ascii="Times New Roman" w:hAnsi="Times New Roman"/>
          <w:b w:val="0"/>
          <w:lang w:val="en-GB"/>
        </w:rPr>
        <w:t xml:space="preserve">In this study </w:t>
      </w:r>
      <w:r>
        <w:rPr>
          <w:rStyle w:val="Antrat1Diagrama"/>
          <w:rFonts w:ascii="Times New Roman" w:hAnsi="Times New Roman"/>
          <w:b w:val="0"/>
          <w:lang w:val="en-GB"/>
        </w:rPr>
        <w:t>the</w:t>
      </w:r>
      <w:r w:rsidRPr="004763DC">
        <w:rPr>
          <w:rStyle w:val="Antrat1Diagrama"/>
          <w:rFonts w:ascii="Times New Roman" w:hAnsi="Times New Roman"/>
          <w:b w:val="0"/>
          <w:lang w:val="en-GB"/>
        </w:rPr>
        <w:t xml:space="preserve"> activity </w:t>
      </w:r>
      <w:r>
        <w:rPr>
          <w:rStyle w:val="Antrat1Diagrama"/>
          <w:rFonts w:ascii="Times New Roman" w:hAnsi="Times New Roman"/>
          <w:b w:val="0"/>
          <w:lang w:val="en-GB"/>
        </w:rPr>
        <w:t>Šiauliai</w:t>
      </w:r>
      <w:r w:rsidRPr="004763DC">
        <w:rPr>
          <w:rStyle w:val="Antrat1Diagrama"/>
          <w:rFonts w:ascii="Times New Roman" w:hAnsi="Times New Roman"/>
          <w:b w:val="0"/>
          <w:lang w:val="en-GB"/>
        </w:rPr>
        <w:t xml:space="preserve"> municipality public health bureau </w:t>
      </w:r>
      <w:r>
        <w:rPr>
          <w:rStyle w:val="Antrat1Diagrama"/>
          <w:rFonts w:ascii="Times New Roman" w:hAnsi="Times New Roman"/>
          <w:b w:val="0"/>
          <w:lang w:val="en-GB"/>
        </w:rPr>
        <w:t>has been emphasized.</w:t>
      </w:r>
      <w:r w:rsidRPr="004763DC">
        <w:rPr>
          <w:rStyle w:val="Antrat1Diagrama"/>
          <w:rFonts w:ascii="Times New Roman" w:hAnsi="Times New Roman"/>
          <w:b w:val="0"/>
          <w:lang w:val="en-GB"/>
        </w:rPr>
        <w:t xml:space="preserve"> </w:t>
      </w:r>
      <w:r>
        <w:rPr>
          <w:rStyle w:val="Antrat1Diagrama"/>
          <w:rFonts w:ascii="Times New Roman" w:hAnsi="Times New Roman"/>
          <w:b w:val="0"/>
          <w:lang w:val="en-GB"/>
        </w:rPr>
        <w:t>A</w:t>
      </w:r>
      <w:r>
        <w:rPr>
          <w:lang w:val="en-GB"/>
        </w:rPr>
        <w:t xml:space="preserve"> new public health institution</w:t>
      </w:r>
      <w:r w:rsidRPr="00730F37">
        <w:rPr>
          <w:lang w:val="en-GB"/>
        </w:rPr>
        <w:t xml:space="preserve"> – </w:t>
      </w:r>
      <w:smartTag w:uri="urn:schemas-microsoft-com:office:smarttags" w:element="PlaceName">
        <w:smartTag w:uri="urn:schemas-microsoft-com:office:smarttags" w:element="place">
          <w:smartTag w:uri="urn:schemas-microsoft-com:office:smarttags" w:element="PlaceName">
            <w:r>
              <w:rPr>
                <w:lang w:val="en-GB"/>
              </w:rPr>
              <w:t>Šiauliai</w:t>
            </w:r>
          </w:smartTag>
          <w:r>
            <w:rPr>
              <w:lang w:val="en-GB"/>
            </w:rPr>
            <w:t xml:space="preserve"> </w:t>
          </w:r>
          <w:smartTag w:uri="urn:schemas-microsoft-com:office:smarttags" w:element="PlaceType">
            <w:r>
              <w:rPr>
                <w:lang w:val="en-GB"/>
              </w:rPr>
              <w:t>Municipality</w:t>
            </w:r>
          </w:smartTag>
        </w:smartTag>
      </w:smartTag>
      <w:r>
        <w:rPr>
          <w:lang w:val="en-GB"/>
        </w:rPr>
        <w:t xml:space="preserve"> P</w:t>
      </w:r>
      <w:r w:rsidRPr="00730F37">
        <w:rPr>
          <w:lang w:val="en-GB"/>
        </w:rPr>
        <w:t xml:space="preserve">ublic </w:t>
      </w:r>
      <w:r>
        <w:rPr>
          <w:lang w:val="en-GB"/>
        </w:rPr>
        <w:t>Health Bureaus</w:t>
      </w:r>
      <w:r w:rsidRPr="00730F37">
        <w:rPr>
          <w:lang w:val="en-GB"/>
        </w:rPr>
        <w:t xml:space="preserve"> started its activities in 2006. </w:t>
      </w:r>
      <w:r>
        <w:rPr>
          <w:lang w:val="en-GB"/>
        </w:rPr>
        <w:t>The institutions of this kind play the basic role in the primary</w:t>
      </w:r>
      <w:r w:rsidRPr="00730F37">
        <w:rPr>
          <w:lang w:val="en-GB"/>
        </w:rPr>
        <w:t xml:space="preserve"> health care. </w:t>
      </w:r>
      <w:r w:rsidRPr="00730F37">
        <w:rPr>
          <w:rStyle w:val="Antrat1Diagrama"/>
          <w:b w:val="0"/>
          <w:lang w:val="en-GB"/>
        </w:rPr>
        <w:t xml:space="preserve">In this </w:t>
      </w:r>
      <w:r w:rsidRPr="00730F37">
        <w:rPr>
          <w:lang w:val="en-GB"/>
        </w:rPr>
        <w:t>study</w:t>
      </w:r>
      <w:r w:rsidRPr="00730F37">
        <w:rPr>
          <w:b/>
          <w:lang w:val="en-GB"/>
        </w:rPr>
        <w:t xml:space="preserve"> </w:t>
      </w:r>
      <w:r w:rsidRPr="00E84ADA">
        <w:rPr>
          <w:lang w:val="en-GB"/>
        </w:rPr>
        <w:t>the assessment of Šiauliai city population has been done</w:t>
      </w:r>
      <w:r>
        <w:rPr>
          <w:lang w:val="en-GB"/>
        </w:rPr>
        <w:t xml:space="preserve"> and the doc</w:t>
      </w:r>
      <w:r w:rsidRPr="00730F37">
        <w:rPr>
          <w:lang w:val="en-GB"/>
        </w:rPr>
        <w:t>uments</w:t>
      </w:r>
      <w:r>
        <w:rPr>
          <w:lang w:val="en-GB"/>
        </w:rPr>
        <w:t xml:space="preserve">, regulating </w:t>
      </w:r>
      <w:r w:rsidRPr="00730F37">
        <w:rPr>
          <w:lang w:val="en-GB"/>
        </w:rPr>
        <w:t xml:space="preserve">public health in </w:t>
      </w:r>
      <w:smartTag w:uri="urn:schemas-microsoft-com:office:smarttags" w:element="country-region">
        <w:r w:rsidRPr="00730F37">
          <w:rPr>
            <w:lang w:val="en-GB"/>
          </w:rPr>
          <w:t>Lithuania</w:t>
        </w:r>
      </w:smartTag>
      <w:r w:rsidRPr="00730F37">
        <w:rPr>
          <w:lang w:val="en-GB"/>
        </w:rPr>
        <w:t xml:space="preserve"> and EU, SWOT and </w:t>
      </w:r>
      <w:smartTag w:uri="urn:schemas-microsoft-com:office:smarttags" w:element="place">
        <w:r w:rsidRPr="00730F37">
          <w:rPr>
            <w:lang w:val="en-GB"/>
          </w:rPr>
          <w:t>PEST</w:t>
        </w:r>
      </w:smartTag>
      <w:r>
        <w:rPr>
          <w:lang w:val="en-GB"/>
        </w:rPr>
        <w:t xml:space="preserve"> have been analysed</w:t>
      </w:r>
      <w:r w:rsidRPr="00730F37">
        <w:rPr>
          <w:lang w:val="en-GB"/>
        </w:rPr>
        <w:t xml:space="preserve">. </w:t>
      </w:r>
      <w:r>
        <w:rPr>
          <w:lang w:val="en-GB"/>
        </w:rPr>
        <w:t>E</w:t>
      </w:r>
      <w:r w:rsidRPr="00730F37">
        <w:rPr>
          <w:lang w:val="en-GB"/>
        </w:rPr>
        <w:t>ight public health</w:t>
      </w:r>
      <w:r w:rsidRPr="00440E7C">
        <w:rPr>
          <w:lang w:val="en-GB"/>
        </w:rPr>
        <w:t xml:space="preserve"> </w:t>
      </w:r>
      <w:r w:rsidRPr="00730F37">
        <w:rPr>
          <w:lang w:val="en-GB"/>
        </w:rPr>
        <w:t>experts</w:t>
      </w:r>
      <w:r>
        <w:rPr>
          <w:lang w:val="en-GB"/>
        </w:rPr>
        <w:t xml:space="preserve"> have been</w:t>
      </w:r>
      <w:r w:rsidRPr="00440E7C">
        <w:rPr>
          <w:lang w:val="en-GB"/>
        </w:rPr>
        <w:t xml:space="preserve"> </w:t>
      </w:r>
      <w:r>
        <w:rPr>
          <w:lang w:val="en-GB"/>
        </w:rPr>
        <w:t>i</w:t>
      </w:r>
      <w:r w:rsidRPr="00730F37">
        <w:rPr>
          <w:lang w:val="en-GB"/>
        </w:rPr>
        <w:t xml:space="preserve">nterviewed. </w:t>
      </w:r>
      <w:r>
        <w:rPr>
          <w:lang w:val="en-GB"/>
        </w:rPr>
        <w:t>F</w:t>
      </w:r>
      <w:r w:rsidRPr="00730F37">
        <w:rPr>
          <w:lang w:val="en-GB"/>
        </w:rPr>
        <w:t>our health</w:t>
      </w:r>
      <w:r w:rsidRPr="00C9084C">
        <w:t xml:space="preserve"> </w:t>
      </w:r>
      <w:r w:rsidRPr="00C9084C">
        <w:rPr>
          <w:lang w:val="en-CA"/>
        </w:rPr>
        <w:t>priorities</w:t>
      </w:r>
      <w:r w:rsidRPr="00730F37">
        <w:rPr>
          <w:lang w:val="en-GB"/>
        </w:rPr>
        <w:t xml:space="preserve"> </w:t>
      </w:r>
      <w:r>
        <w:rPr>
          <w:lang w:val="en-GB"/>
        </w:rPr>
        <w:t>have been i</w:t>
      </w:r>
      <w:r w:rsidRPr="00730F37">
        <w:rPr>
          <w:lang w:val="en-GB"/>
        </w:rPr>
        <w:t>dentified and based</w:t>
      </w:r>
      <w:r w:rsidRPr="00C9084C">
        <w:rPr>
          <w:lang w:val="en-CA"/>
        </w:rPr>
        <w:t>: chronic diseases prevention</w:t>
      </w:r>
      <w:r>
        <w:rPr>
          <w:lang w:val="en-CA"/>
        </w:rPr>
        <w:t>,</w:t>
      </w:r>
      <w:r w:rsidRPr="00C9084C">
        <w:rPr>
          <w:lang w:val="en-CA"/>
        </w:rPr>
        <w:t xml:space="preserve"> children's health, healthy aging, socioeconomic inequalities reduction</w:t>
      </w:r>
      <w:r>
        <w:rPr>
          <w:lang w:val="en-CA"/>
        </w:rPr>
        <w:t xml:space="preserve"> in the public</w:t>
      </w:r>
      <w:r w:rsidRPr="00C9084C">
        <w:rPr>
          <w:lang w:val="en-CA"/>
        </w:rPr>
        <w:t xml:space="preserve"> health </w:t>
      </w:r>
      <w:r>
        <w:rPr>
          <w:lang w:val="en-CA"/>
        </w:rPr>
        <w:t>system</w:t>
      </w:r>
      <w:r w:rsidRPr="00C9084C">
        <w:rPr>
          <w:lang w:val="en-CA"/>
        </w:rPr>
        <w:t>.</w:t>
      </w:r>
      <w:r w:rsidRPr="004763DC">
        <w:rPr>
          <w:rStyle w:val="Antrat2Diagrama"/>
          <w:rFonts w:ascii="Arial" w:hAnsi="Arial" w:cs="Arial"/>
          <w:color w:val="000000"/>
          <w:sz w:val="19"/>
          <w:szCs w:val="19"/>
        </w:rPr>
        <w:t xml:space="preserve"> </w:t>
      </w:r>
      <w:r w:rsidRPr="00F85BB5">
        <w:rPr>
          <w:rStyle w:val="Antrat2Diagrama"/>
          <w:b w:val="0"/>
          <w:color w:val="000000"/>
          <w:sz w:val="24"/>
          <w:szCs w:val="24"/>
        </w:rPr>
        <w:t>T</w:t>
      </w:r>
      <w:r w:rsidRPr="00F85BB5">
        <w:rPr>
          <w:color w:val="000000"/>
        </w:rPr>
        <w:t>he</w:t>
      </w:r>
      <w:r w:rsidRPr="004763DC">
        <w:rPr>
          <w:color w:val="000000"/>
        </w:rPr>
        <w:t xml:space="preserve"> experts provisions analysis </w:t>
      </w:r>
      <w:r>
        <w:rPr>
          <w:color w:val="000000"/>
        </w:rPr>
        <w:t>have been s</w:t>
      </w:r>
      <w:r w:rsidRPr="004763DC">
        <w:rPr>
          <w:color w:val="000000"/>
        </w:rPr>
        <w:t xml:space="preserve">ummarized. </w:t>
      </w:r>
      <w:r>
        <w:rPr>
          <w:color w:val="000000"/>
        </w:rPr>
        <w:t>T</w:t>
      </w:r>
      <w:r w:rsidRPr="004763DC">
        <w:rPr>
          <w:color w:val="000000"/>
        </w:rPr>
        <w:t>he main proposals and conclusions</w:t>
      </w:r>
      <w:r w:rsidRPr="00440E7C">
        <w:rPr>
          <w:color w:val="000000"/>
        </w:rPr>
        <w:t xml:space="preserve"> </w:t>
      </w:r>
      <w:r>
        <w:rPr>
          <w:color w:val="000000"/>
        </w:rPr>
        <w:t>have been f</w:t>
      </w:r>
      <w:r w:rsidRPr="004763DC">
        <w:rPr>
          <w:color w:val="000000"/>
        </w:rPr>
        <w:t>ormed.</w:t>
      </w:r>
    </w:p>
    <w:p w:rsidR="00995BE0" w:rsidRPr="001D71BB" w:rsidRDefault="00995BE0" w:rsidP="00A3155B">
      <w:pPr>
        <w:pStyle w:val="Antrat1"/>
      </w:pPr>
      <w:bookmarkStart w:id="13" w:name="_Toc292286849"/>
      <w:bookmarkStart w:id="14" w:name="_Toc292829960"/>
      <w:bookmarkStart w:id="15" w:name="_Toc293039960"/>
      <w:bookmarkStart w:id="16" w:name="_Toc293248608"/>
      <w:r w:rsidRPr="001D71BB">
        <w:lastRenderedPageBreak/>
        <w:t>Turinys</w:t>
      </w:r>
      <w:bookmarkEnd w:id="1"/>
      <w:bookmarkEnd w:id="2"/>
      <w:bookmarkEnd w:id="3"/>
      <w:bookmarkEnd w:id="4"/>
      <w:bookmarkEnd w:id="5"/>
      <w:bookmarkEnd w:id="6"/>
      <w:bookmarkEnd w:id="7"/>
      <w:bookmarkEnd w:id="13"/>
      <w:bookmarkEnd w:id="14"/>
      <w:bookmarkEnd w:id="15"/>
      <w:bookmarkEnd w:id="16"/>
    </w:p>
    <w:p w:rsidR="00995BE0" w:rsidRDefault="00CB16CF" w:rsidP="005C5FC9">
      <w:pPr>
        <w:pStyle w:val="Turinys1"/>
        <w:spacing w:line="240" w:lineRule="auto"/>
        <w:rPr>
          <w:noProof/>
        </w:rPr>
      </w:pPr>
      <w:r w:rsidRPr="001D71BB">
        <w:rPr>
          <w:lang w:eastAsia="ar-SA"/>
        </w:rPr>
        <w:fldChar w:fldCharType="begin"/>
      </w:r>
      <w:r w:rsidR="00995BE0" w:rsidRPr="001D71BB">
        <w:rPr>
          <w:lang w:eastAsia="ar-SA"/>
        </w:rPr>
        <w:instrText xml:space="preserve"> TOC \o "1-3" \h \z \u </w:instrText>
      </w:r>
      <w:r w:rsidRPr="001D71BB">
        <w:rPr>
          <w:lang w:eastAsia="ar-SA"/>
        </w:rPr>
        <w:fldChar w:fldCharType="separate"/>
      </w:r>
      <w:hyperlink w:anchor="_Toc293248606" w:history="1">
        <w:r w:rsidR="00995BE0" w:rsidRPr="00F140CF">
          <w:rPr>
            <w:rStyle w:val="Hipersaitas"/>
            <w:noProof/>
          </w:rPr>
          <w:t>SANTRAUKA</w:t>
        </w:r>
        <w:r w:rsidR="00995BE0">
          <w:rPr>
            <w:noProof/>
            <w:webHidden/>
          </w:rPr>
          <w:tab/>
        </w:r>
        <w:r>
          <w:rPr>
            <w:noProof/>
            <w:webHidden/>
          </w:rPr>
          <w:fldChar w:fldCharType="begin"/>
        </w:r>
        <w:r w:rsidR="00995BE0">
          <w:rPr>
            <w:noProof/>
            <w:webHidden/>
          </w:rPr>
          <w:instrText xml:space="preserve"> PAGEREF _Toc293248606 \h </w:instrText>
        </w:r>
        <w:r>
          <w:rPr>
            <w:noProof/>
            <w:webHidden/>
          </w:rPr>
        </w:r>
        <w:r>
          <w:rPr>
            <w:noProof/>
            <w:webHidden/>
          </w:rPr>
          <w:fldChar w:fldCharType="separate"/>
        </w:r>
        <w:r w:rsidR="00884C83">
          <w:rPr>
            <w:noProof/>
            <w:webHidden/>
          </w:rPr>
          <w:t>2</w:t>
        </w:r>
        <w:r>
          <w:rPr>
            <w:noProof/>
            <w:webHidden/>
          </w:rPr>
          <w:fldChar w:fldCharType="end"/>
        </w:r>
      </w:hyperlink>
    </w:p>
    <w:p w:rsidR="00995BE0" w:rsidRDefault="00CB16CF" w:rsidP="005C5FC9">
      <w:pPr>
        <w:pStyle w:val="Turinys1"/>
        <w:spacing w:line="240" w:lineRule="auto"/>
        <w:rPr>
          <w:noProof/>
        </w:rPr>
      </w:pPr>
      <w:hyperlink w:anchor="_Toc293248609" w:history="1">
        <w:r w:rsidR="00995BE0" w:rsidRPr="00F140CF">
          <w:rPr>
            <w:rStyle w:val="Hipersaitas"/>
            <w:noProof/>
          </w:rPr>
          <w:t>LENTELIŲ SĄRAŠAS</w:t>
        </w:r>
        <w:r w:rsidR="00995BE0">
          <w:rPr>
            <w:noProof/>
            <w:webHidden/>
          </w:rPr>
          <w:tab/>
        </w:r>
        <w:r>
          <w:rPr>
            <w:noProof/>
            <w:webHidden/>
          </w:rPr>
          <w:fldChar w:fldCharType="begin"/>
        </w:r>
        <w:r w:rsidR="00995BE0">
          <w:rPr>
            <w:noProof/>
            <w:webHidden/>
          </w:rPr>
          <w:instrText xml:space="preserve"> PAGEREF _Toc293248609 \h </w:instrText>
        </w:r>
        <w:r>
          <w:rPr>
            <w:noProof/>
            <w:webHidden/>
          </w:rPr>
        </w:r>
        <w:r>
          <w:rPr>
            <w:noProof/>
            <w:webHidden/>
          </w:rPr>
          <w:fldChar w:fldCharType="separate"/>
        </w:r>
        <w:r w:rsidR="00884C83">
          <w:rPr>
            <w:noProof/>
            <w:webHidden/>
          </w:rPr>
          <w:t>6</w:t>
        </w:r>
        <w:r>
          <w:rPr>
            <w:noProof/>
            <w:webHidden/>
          </w:rPr>
          <w:fldChar w:fldCharType="end"/>
        </w:r>
      </w:hyperlink>
    </w:p>
    <w:p w:rsidR="00995BE0" w:rsidRDefault="00CB16CF" w:rsidP="005C5FC9">
      <w:pPr>
        <w:pStyle w:val="Turinys1"/>
        <w:spacing w:line="240" w:lineRule="auto"/>
        <w:rPr>
          <w:noProof/>
        </w:rPr>
      </w:pPr>
      <w:hyperlink w:anchor="_Toc293248610" w:history="1">
        <w:r w:rsidR="00995BE0" w:rsidRPr="00F140CF">
          <w:rPr>
            <w:rStyle w:val="Hipersaitas"/>
            <w:noProof/>
          </w:rPr>
          <w:t>PAVEIKSLŲ SĄRAŠAS</w:t>
        </w:r>
        <w:r w:rsidR="00995BE0">
          <w:rPr>
            <w:noProof/>
            <w:webHidden/>
          </w:rPr>
          <w:tab/>
        </w:r>
        <w:r>
          <w:rPr>
            <w:noProof/>
            <w:webHidden/>
          </w:rPr>
          <w:fldChar w:fldCharType="begin"/>
        </w:r>
        <w:r w:rsidR="00995BE0">
          <w:rPr>
            <w:noProof/>
            <w:webHidden/>
          </w:rPr>
          <w:instrText xml:space="preserve"> PAGEREF _Toc293248610 \h </w:instrText>
        </w:r>
        <w:r>
          <w:rPr>
            <w:noProof/>
            <w:webHidden/>
          </w:rPr>
        </w:r>
        <w:r>
          <w:rPr>
            <w:noProof/>
            <w:webHidden/>
          </w:rPr>
          <w:fldChar w:fldCharType="separate"/>
        </w:r>
        <w:r w:rsidR="00884C83">
          <w:rPr>
            <w:noProof/>
            <w:webHidden/>
          </w:rPr>
          <w:t>6</w:t>
        </w:r>
        <w:r>
          <w:rPr>
            <w:noProof/>
            <w:webHidden/>
          </w:rPr>
          <w:fldChar w:fldCharType="end"/>
        </w:r>
      </w:hyperlink>
    </w:p>
    <w:p w:rsidR="00995BE0" w:rsidRDefault="00CB16CF" w:rsidP="005C5FC9">
      <w:pPr>
        <w:pStyle w:val="Turinys1"/>
        <w:spacing w:line="240" w:lineRule="auto"/>
        <w:rPr>
          <w:noProof/>
        </w:rPr>
      </w:pPr>
      <w:hyperlink w:anchor="_Toc293248611" w:history="1">
        <w:r w:rsidR="00995BE0" w:rsidRPr="00F140CF">
          <w:rPr>
            <w:rStyle w:val="Hipersaitas"/>
            <w:noProof/>
          </w:rPr>
          <w:t>PRIEDŲ SĄRAŠAS</w:t>
        </w:r>
        <w:r w:rsidR="00995BE0">
          <w:rPr>
            <w:noProof/>
            <w:webHidden/>
          </w:rPr>
          <w:tab/>
        </w:r>
        <w:r>
          <w:rPr>
            <w:noProof/>
            <w:webHidden/>
          </w:rPr>
          <w:fldChar w:fldCharType="begin"/>
        </w:r>
        <w:r w:rsidR="00995BE0">
          <w:rPr>
            <w:noProof/>
            <w:webHidden/>
          </w:rPr>
          <w:instrText xml:space="preserve"> PAGEREF _Toc293248611 \h </w:instrText>
        </w:r>
        <w:r>
          <w:rPr>
            <w:noProof/>
            <w:webHidden/>
          </w:rPr>
        </w:r>
        <w:r>
          <w:rPr>
            <w:noProof/>
            <w:webHidden/>
          </w:rPr>
          <w:fldChar w:fldCharType="separate"/>
        </w:r>
        <w:r w:rsidR="00884C83">
          <w:rPr>
            <w:noProof/>
            <w:webHidden/>
          </w:rPr>
          <w:t>7</w:t>
        </w:r>
        <w:r>
          <w:rPr>
            <w:noProof/>
            <w:webHidden/>
          </w:rPr>
          <w:fldChar w:fldCharType="end"/>
        </w:r>
      </w:hyperlink>
    </w:p>
    <w:p w:rsidR="00995BE0" w:rsidRDefault="00CB16CF" w:rsidP="005C5FC9">
      <w:pPr>
        <w:pStyle w:val="Turinys1"/>
        <w:spacing w:line="240" w:lineRule="auto"/>
        <w:rPr>
          <w:noProof/>
        </w:rPr>
      </w:pPr>
      <w:hyperlink w:anchor="_Toc293248612" w:history="1">
        <w:r w:rsidR="00995BE0" w:rsidRPr="00F140CF">
          <w:rPr>
            <w:rStyle w:val="Hipersaitas"/>
            <w:noProof/>
          </w:rPr>
          <w:t>ĮVADAS</w:t>
        </w:r>
        <w:r w:rsidR="00995BE0">
          <w:rPr>
            <w:noProof/>
            <w:webHidden/>
          </w:rPr>
          <w:tab/>
        </w:r>
        <w:r>
          <w:rPr>
            <w:noProof/>
            <w:webHidden/>
          </w:rPr>
          <w:fldChar w:fldCharType="begin"/>
        </w:r>
        <w:r w:rsidR="00995BE0">
          <w:rPr>
            <w:noProof/>
            <w:webHidden/>
          </w:rPr>
          <w:instrText xml:space="preserve"> PAGEREF _Toc293248612 \h </w:instrText>
        </w:r>
        <w:r>
          <w:rPr>
            <w:noProof/>
            <w:webHidden/>
          </w:rPr>
        </w:r>
        <w:r>
          <w:rPr>
            <w:noProof/>
            <w:webHidden/>
          </w:rPr>
          <w:fldChar w:fldCharType="separate"/>
        </w:r>
        <w:r w:rsidR="00884C83">
          <w:rPr>
            <w:noProof/>
            <w:webHidden/>
          </w:rPr>
          <w:t>8</w:t>
        </w:r>
        <w:r>
          <w:rPr>
            <w:noProof/>
            <w:webHidden/>
          </w:rPr>
          <w:fldChar w:fldCharType="end"/>
        </w:r>
      </w:hyperlink>
    </w:p>
    <w:p w:rsidR="00995BE0" w:rsidRDefault="00CB16CF" w:rsidP="005C5FC9">
      <w:pPr>
        <w:pStyle w:val="Turinys1"/>
        <w:spacing w:line="240" w:lineRule="auto"/>
        <w:rPr>
          <w:noProof/>
        </w:rPr>
      </w:pPr>
      <w:hyperlink w:anchor="_Toc293248613" w:history="1">
        <w:r w:rsidR="00995BE0" w:rsidRPr="00F140CF">
          <w:rPr>
            <w:rStyle w:val="Hipersaitas"/>
            <w:noProof/>
          </w:rPr>
          <w:t>1. STRATEGINIS VALDYMAS IR JO TAIKYMAS SVEIKATOS APSAUGOS SISTEMOJE</w:t>
        </w:r>
        <w:r w:rsidR="00995BE0">
          <w:rPr>
            <w:noProof/>
            <w:webHidden/>
          </w:rPr>
          <w:tab/>
        </w:r>
        <w:r>
          <w:rPr>
            <w:noProof/>
            <w:webHidden/>
          </w:rPr>
          <w:fldChar w:fldCharType="begin"/>
        </w:r>
        <w:r w:rsidR="00995BE0">
          <w:rPr>
            <w:noProof/>
            <w:webHidden/>
          </w:rPr>
          <w:instrText xml:space="preserve"> PAGEREF _Toc293248613 \h </w:instrText>
        </w:r>
        <w:r>
          <w:rPr>
            <w:noProof/>
            <w:webHidden/>
          </w:rPr>
        </w:r>
        <w:r>
          <w:rPr>
            <w:noProof/>
            <w:webHidden/>
          </w:rPr>
          <w:fldChar w:fldCharType="separate"/>
        </w:r>
        <w:r w:rsidR="00884C83">
          <w:rPr>
            <w:noProof/>
            <w:webHidden/>
          </w:rPr>
          <w:t>12</w:t>
        </w:r>
        <w:r>
          <w:rPr>
            <w:noProof/>
            <w:webHidden/>
          </w:rPr>
          <w:fldChar w:fldCharType="end"/>
        </w:r>
      </w:hyperlink>
    </w:p>
    <w:p w:rsidR="00995BE0" w:rsidRDefault="00CB16CF" w:rsidP="005C5FC9">
      <w:pPr>
        <w:pStyle w:val="Turinys2"/>
        <w:spacing w:line="240" w:lineRule="auto"/>
        <w:rPr>
          <w:noProof/>
        </w:rPr>
      </w:pPr>
      <w:hyperlink w:anchor="_Toc293248614" w:history="1">
        <w:r w:rsidR="00995BE0" w:rsidRPr="00F140CF">
          <w:rPr>
            <w:rStyle w:val="Hipersaitas"/>
            <w:noProof/>
          </w:rPr>
          <w:t>1.1 STRATEGINIO VALDYMO TEORINIAI ASPEKTAI IR YPATUMAI VIEŠOJO SEKTORIAUS ORGANIZACIJOSE</w:t>
        </w:r>
        <w:r w:rsidR="00995BE0">
          <w:rPr>
            <w:noProof/>
            <w:webHidden/>
          </w:rPr>
          <w:tab/>
        </w:r>
        <w:r>
          <w:rPr>
            <w:noProof/>
            <w:webHidden/>
          </w:rPr>
          <w:fldChar w:fldCharType="begin"/>
        </w:r>
        <w:r w:rsidR="00995BE0">
          <w:rPr>
            <w:noProof/>
            <w:webHidden/>
          </w:rPr>
          <w:instrText xml:space="preserve"> PAGEREF _Toc293248614 \h </w:instrText>
        </w:r>
        <w:r>
          <w:rPr>
            <w:noProof/>
            <w:webHidden/>
          </w:rPr>
        </w:r>
        <w:r>
          <w:rPr>
            <w:noProof/>
            <w:webHidden/>
          </w:rPr>
          <w:fldChar w:fldCharType="separate"/>
        </w:r>
        <w:r w:rsidR="00884C83">
          <w:rPr>
            <w:noProof/>
            <w:webHidden/>
          </w:rPr>
          <w:t>12</w:t>
        </w:r>
        <w:r>
          <w:rPr>
            <w:noProof/>
            <w:webHidden/>
          </w:rPr>
          <w:fldChar w:fldCharType="end"/>
        </w:r>
      </w:hyperlink>
    </w:p>
    <w:p w:rsidR="00995BE0" w:rsidRDefault="00CB16CF" w:rsidP="005C5FC9">
      <w:pPr>
        <w:pStyle w:val="Turinys3"/>
        <w:rPr>
          <w:noProof/>
        </w:rPr>
      </w:pPr>
      <w:hyperlink w:anchor="_Toc293248615" w:history="1">
        <w:r w:rsidR="00995BE0" w:rsidRPr="00F140CF">
          <w:rPr>
            <w:rStyle w:val="Hipersaitas"/>
            <w:noProof/>
          </w:rPr>
          <w:t>1.1.1 Strategija ir strateginis valdymas</w:t>
        </w:r>
        <w:r w:rsidR="00995BE0">
          <w:rPr>
            <w:noProof/>
            <w:webHidden/>
          </w:rPr>
          <w:tab/>
        </w:r>
        <w:r>
          <w:rPr>
            <w:noProof/>
            <w:webHidden/>
          </w:rPr>
          <w:fldChar w:fldCharType="begin"/>
        </w:r>
        <w:r w:rsidR="00995BE0">
          <w:rPr>
            <w:noProof/>
            <w:webHidden/>
          </w:rPr>
          <w:instrText xml:space="preserve"> PAGEREF _Toc293248615 \h </w:instrText>
        </w:r>
        <w:r>
          <w:rPr>
            <w:noProof/>
            <w:webHidden/>
          </w:rPr>
        </w:r>
        <w:r>
          <w:rPr>
            <w:noProof/>
            <w:webHidden/>
          </w:rPr>
          <w:fldChar w:fldCharType="separate"/>
        </w:r>
        <w:r w:rsidR="00884C83">
          <w:rPr>
            <w:noProof/>
            <w:webHidden/>
          </w:rPr>
          <w:t>12</w:t>
        </w:r>
        <w:r>
          <w:rPr>
            <w:noProof/>
            <w:webHidden/>
          </w:rPr>
          <w:fldChar w:fldCharType="end"/>
        </w:r>
      </w:hyperlink>
    </w:p>
    <w:p w:rsidR="00995BE0" w:rsidRDefault="00CB16CF" w:rsidP="005C5FC9">
      <w:pPr>
        <w:pStyle w:val="Turinys3"/>
        <w:rPr>
          <w:noProof/>
        </w:rPr>
      </w:pPr>
      <w:hyperlink w:anchor="_Toc293248616" w:history="1">
        <w:r w:rsidR="00995BE0" w:rsidRPr="00F140CF">
          <w:rPr>
            <w:rStyle w:val="Hipersaitas"/>
            <w:noProof/>
            <w:lang w:val="pl-PL"/>
          </w:rPr>
          <w:t xml:space="preserve">1.1.2 </w:t>
        </w:r>
        <w:r w:rsidR="00995BE0" w:rsidRPr="00F140CF">
          <w:rPr>
            <w:rStyle w:val="Hipersaitas"/>
            <w:noProof/>
          </w:rPr>
          <w:t>Prognozavimas</w:t>
        </w:r>
        <w:r w:rsidR="00995BE0" w:rsidRPr="00F140CF">
          <w:rPr>
            <w:rStyle w:val="Hipersaitas"/>
            <w:noProof/>
            <w:lang w:val="pl-PL"/>
          </w:rPr>
          <w:t xml:space="preserve"> ir strateginis valdymas</w:t>
        </w:r>
        <w:r w:rsidR="00995BE0">
          <w:rPr>
            <w:noProof/>
            <w:webHidden/>
          </w:rPr>
          <w:tab/>
        </w:r>
        <w:r>
          <w:rPr>
            <w:noProof/>
            <w:webHidden/>
          </w:rPr>
          <w:fldChar w:fldCharType="begin"/>
        </w:r>
        <w:r w:rsidR="00995BE0">
          <w:rPr>
            <w:noProof/>
            <w:webHidden/>
          </w:rPr>
          <w:instrText xml:space="preserve"> PAGEREF _Toc293248616 \h </w:instrText>
        </w:r>
        <w:r>
          <w:rPr>
            <w:noProof/>
            <w:webHidden/>
          </w:rPr>
        </w:r>
        <w:r>
          <w:rPr>
            <w:noProof/>
            <w:webHidden/>
          </w:rPr>
          <w:fldChar w:fldCharType="separate"/>
        </w:r>
        <w:r w:rsidR="00884C83">
          <w:rPr>
            <w:noProof/>
            <w:webHidden/>
          </w:rPr>
          <w:t>17</w:t>
        </w:r>
        <w:r>
          <w:rPr>
            <w:noProof/>
            <w:webHidden/>
          </w:rPr>
          <w:fldChar w:fldCharType="end"/>
        </w:r>
      </w:hyperlink>
    </w:p>
    <w:p w:rsidR="00995BE0" w:rsidRDefault="00CB16CF" w:rsidP="005C5FC9">
      <w:pPr>
        <w:pStyle w:val="Turinys3"/>
        <w:rPr>
          <w:noProof/>
        </w:rPr>
      </w:pPr>
      <w:hyperlink w:anchor="_Toc293248617" w:history="1">
        <w:r w:rsidR="00995BE0" w:rsidRPr="00F140CF">
          <w:rPr>
            <w:rStyle w:val="Hipersaitas"/>
            <w:noProof/>
          </w:rPr>
          <w:t>1.1.3 Strateginis planavimas</w:t>
        </w:r>
        <w:r w:rsidR="00995BE0">
          <w:rPr>
            <w:noProof/>
            <w:webHidden/>
          </w:rPr>
          <w:tab/>
        </w:r>
        <w:r>
          <w:rPr>
            <w:noProof/>
            <w:webHidden/>
          </w:rPr>
          <w:fldChar w:fldCharType="begin"/>
        </w:r>
        <w:r w:rsidR="00995BE0">
          <w:rPr>
            <w:noProof/>
            <w:webHidden/>
          </w:rPr>
          <w:instrText xml:space="preserve"> PAGEREF _Toc293248617 \h </w:instrText>
        </w:r>
        <w:r>
          <w:rPr>
            <w:noProof/>
            <w:webHidden/>
          </w:rPr>
        </w:r>
        <w:r>
          <w:rPr>
            <w:noProof/>
            <w:webHidden/>
          </w:rPr>
          <w:fldChar w:fldCharType="separate"/>
        </w:r>
        <w:r w:rsidR="00884C83">
          <w:rPr>
            <w:noProof/>
            <w:webHidden/>
          </w:rPr>
          <w:t>18</w:t>
        </w:r>
        <w:r>
          <w:rPr>
            <w:noProof/>
            <w:webHidden/>
          </w:rPr>
          <w:fldChar w:fldCharType="end"/>
        </w:r>
      </w:hyperlink>
    </w:p>
    <w:p w:rsidR="00995BE0" w:rsidRDefault="00CB16CF" w:rsidP="005C5FC9">
      <w:pPr>
        <w:pStyle w:val="Turinys3"/>
        <w:rPr>
          <w:noProof/>
        </w:rPr>
      </w:pPr>
      <w:hyperlink w:anchor="_Toc293248618" w:history="1">
        <w:r w:rsidR="00995BE0" w:rsidRPr="00F140CF">
          <w:rPr>
            <w:rStyle w:val="Hipersaitas"/>
            <w:noProof/>
          </w:rPr>
          <w:t>1.1.4 Viešojo sektoriaus strateginio valdymo specifiškumas</w:t>
        </w:r>
        <w:r w:rsidR="00995BE0">
          <w:rPr>
            <w:noProof/>
            <w:webHidden/>
          </w:rPr>
          <w:tab/>
        </w:r>
        <w:r>
          <w:rPr>
            <w:noProof/>
            <w:webHidden/>
          </w:rPr>
          <w:fldChar w:fldCharType="begin"/>
        </w:r>
        <w:r w:rsidR="00995BE0">
          <w:rPr>
            <w:noProof/>
            <w:webHidden/>
          </w:rPr>
          <w:instrText xml:space="preserve"> PAGEREF _Toc293248618 \h </w:instrText>
        </w:r>
        <w:r>
          <w:rPr>
            <w:noProof/>
            <w:webHidden/>
          </w:rPr>
        </w:r>
        <w:r>
          <w:rPr>
            <w:noProof/>
            <w:webHidden/>
          </w:rPr>
          <w:fldChar w:fldCharType="separate"/>
        </w:r>
        <w:r w:rsidR="00884C83">
          <w:rPr>
            <w:noProof/>
            <w:webHidden/>
          </w:rPr>
          <w:t>20</w:t>
        </w:r>
        <w:r>
          <w:rPr>
            <w:noProof/>
            <w:webHidden/>
          </w:rPr>
          <w:fldChar w:fldCharType="end"/>
        </w:r>
      </w:hyperlink>
    </w:p>
    <w:p w:rsidR="00995BE0" w:rsidRDefault="00CB16CF" w:rsidP="005C5FC9">
      <w:pPr>
        <w:pStyle w:val="Turinys3"/>
        <w:rPr>
          <w:noProof/>
        </w:rPr>
      </w:pPr>
      <w:hyperlink w:anchor="_Toc293248619" w:history="1">
        <w:r w:rsidR="00995BE0" w:rsidRPr="00F140CF">
          <w:rPr>
            <w:rStyle w:val="Hipersaitas"/>
            <w:noProof/>
          </w:rPr>
          <w:t>1.1.5 Nustatytinė strateginio valdymo metodologija</w:t>
        </w:r>
        <w:r w:rsidR="00995BE0">
          <w:rPr>
            <w:noProof/>
            <w:webHidden/>
          </w:rPr>
          <w:tab/>
        </w:r>
        <w:r>
          <w:rPr>
            <w:noProof/>
            <w:webHidden/>
          </w:rPr>
          <w:fldChar w:fldCharType="begin"/>
        </w:r>
        <w:r w:rsidR="00995BE0">
          <w:rPr>
            <w:noProof/>
            <w:webHidden/>
          </w:rPr>
          <w:instrText xml:space="preserve"> PAGEREF _Toc293248619 \h </w:instrText>
        </w:r>
        <w:r>
          <w:rPr>
            <w:noProof/>
            <w:webHidden/>
          </w:rPr>
        </w:r>
        <w:r>
          <w:rPr>
            <w:noProof/>
            <w:webHidden/>
          </w:rPr>
          <w:fldChar w:fldCharType="separate"/>
        </w:r>
        <w:r w:rsidR="00884C83">
          <w:rPr>
            <w:noProof/>
            <w:webHidden/>
          </w:rPr>
          <w:t>22</w:t>
        </w:r>
        <w:r>
          <w:rPr>
            <w:noProof/>
            <w:webHidden/>
          </w:rPr>
          <w:fldChar w:fldCharType="end"/>
        </w:r>
      </w:hyperlink>
    </w:p>
    <w:p w:rsidR="00995BE0" w:rsidRDefault="00CB16CF" w:rsidP="005C5FC9">
      <w:pPr>
        <w:pStyle w:val="Turinys2"/>
        <w:spacing w:line="240" w:lineRule="auto"/>
        <w:rPr>
          <w:noProof/>
        </w:rPr>
      </w:pPr>
      <w:hyperlink w:anchor="_Toc293248620" w:history="1">
        <w:r w:rsidR="00995BE0" w:rsidRPr="00F140CF">
          <w:rPr>
            <w:rStyle w:val="Hipersaitas"/>
            <w:noProof/>
            <w:lang w:val="pl-PL"/>
          </w:rPr>
          <w:t>1.2 LIETUVOS  SVEIKATOS POLITIKA IR STRATEGINIO VALDYMO TAIKYMAS LIETUVOS SVEIKATOS APSAUGOS SISTEMOJE</w:t>
        </w:r>
        <w:r w:rsidR="00995BE0">
          <w:rPr>
            <w:noProof/>
            <w:webHidden/>
          </w:rPr>
          <w:tab/>
        </w:r>
        <w:r>
          <w:rPr>
            <w:noProof/>
            <w:webHidden/>
          </w:rPr>
          <w:fldChar w:fldCharType="begin"/>
        </w:r>
        <w:r w:rsidR="00995BE0">
          <w:rPr>
            <w:noProof/>
            <w:webHidden/>
          </w:rPr>
          <w:instrText xml:space="preserve"> PAGEREF _Toc293248620 \h </w:instrText>
        </w:r>
        <w:r>
          <w:rPr>
            <w:noProof/>
            <w:webHidden/>
          </w:rPr>
        </w:r>
        <w:r>
          <w:rPr>
            <w:noProof/>
            <w:webHidden/>
          </w:rPr>
          <w:fldChar w:fldCharType="separate"/>
        </w:r>
        <w:r w:rsidR="00884C83">
          <w:rPr>
            <w:noProof/>
            <w:webHidden/>
          </w:rPr>
          <w:t>25</w:t>
        </w:r>
        <w:r>
          <w:rPr>
            <w:noProof/>
            <w:webHidden/>
          </w:rPr>
          <w:fldChar w:fldCharType="end"/>
        </w:r>
      </w:hyperlink>
    </w:p>
    <w:p w:rsidR="00995BE0" w:rsidRDefault="00CB16CF" w:rsidP="005C5FC9">
      <w:pPr>
        <w:pStyle w:val="Turinys3"/>
        <w:rPr>
          <w:noProof/>
        </w:rPr>
      </w:pPr>
      <w:hyperlink w:anchor="_Toc293248621" w:history="1">
        <w:r w:rsidR="00995BE0" w:rsidRPr="00F140CF">
          <w:rPr>
            <w:rStyle w:val="Hipersaitas"/>
            <w:noProof/>
          </w:rPr>
          <w:t>1.2.1  Lietuvos sveikatos politikos pokyčių analizė</w:t>
        </w:r>
        <w:r w:rsidR="00995BE0">
          <w:rPr>
            <w:noProof/>
            <w:webHidden/>
          </w:rPr>
          <w:tab/>
        </w:r>
        <w:r>
          <w:rPr>
            <w:noProof/>
            <w:webHidden/>
          </w:rPr>
          <w:fldChar w:fldCharType="begin"/>
        </w:r>
        <w:r w:rsidR="00995BE0">
          <w:rPr>
            <w:noProof/>
            <w:webHidden/>
          </w:rPr>
          <w:instrText xml:space="preserve"> PAGEREF _Toc293248621 \h </w:instrText>
        </w:r>
        <w:r>
          <w:rPr>
            <w:noProof/>
            <w:webHidden/>
          </w:rPr>
        </w:r>
        <w:r>
          <w:rPr>
            <w:noProof/>
            <w:webHidden/>
          </w:rPr>
          <w:fldChar w:fldCharType="separate"/>
        </w:r>
        <w:r w:rsidR="00884C83">
          <w:rPr>
            <w:noProof/>
            <w:webHidden/>
          </w:rPr>
          <w:t>25</w:t>
        </w:r>
        <w:r>
          <w:rPr>
            <w:noProof/>
            <w:webHidden/>
          </w:rPr>
          <w:fldChar w:fldCharType="end"/>
        </w:r>
      </w:hyperlink>
    </w:p>
    <w:p w:rsidR="00995BE0" w:rsidRDefault="00CB16CF" w:rsidP="005C5FC9">
      <w:pPr>
        <w:pStyle w:val="Turinys3"/>
        <w:rPr>
          <w:noProof/>
        </w:rPr>
      </w:pPr>
      <w:hyperlink w:anchor="_Toc293248622" w:history="1">
        <w:r w:rsidR="00995BE0" w:rsidRPr="00F140CF">
          <w:rPr>
            <w:rStyle w:val="Hipersaitas"/>
            <w:noProof/>
            <w:lang w:val="pt-BR"/>
          </w:rPr>
          <w:t>1.2.2 Strateginio valdymo pritaikymas Lietuvos sveikatos sistemoje</w:t>
        </w:r>
        <w:r w:rsidR="00995BE0">
          <w:rPr>
            <w:noProof/>
            <w:webHidden/>
          </w:rPr>
          <w:tab/>
        </w:r>
        <w:r>
          <w:rPr>
            <w:noProof/>
            <w:webHidden/>
          </w:rPr>
          <w:fldChar w:fldCharType="begin"/>
        </w:r>
        <w:r w:rsidR="00995BE0">
          <w:rPr>
            <w:noProof/>
            <w:webHidden/>
          </w:rPr>
          <w:instrText xml:space="preserve"> PAGEREF _Toc293248622 \h </w:instrText>
        </w:r>
        <w:r>
          <w:rPr>
            <w:noProof/>
            <w:webHidden/>
          </w:rPr>
        </w:r>
        <w:r>
          <w:rPr>
            <w:noProof/>
            <w:webHidden/>
          </w:rPr>
          <w:fldChar w:fldCharType="separate"/>
        </w:r>
        <w:r w:rsidR="00884C83">
          <w:rPr>
            <w:noProof/>
            <w:webHidden/>
          </w:rPr>
          <w:t>27</w:t>
        </w:r>
        <w:r>
          <w:rPr>
            <w:noProof/>
            <w:webHidden/>
          </w:rPr>
          <w:fldChar w:fldCharType="end"/>
        </w:r>
      </w:hyperlink>
    </w:p>
    <w:p w:rsidR="00995BE0" w:rsidRDefault="00CB16CF" w:rsidP="005C5FC9">
      <w:pPr>
        <w:pStyle w:val="Turinys1"/>
        <w:spacing w:line="240" w:lineRule="auto"/>
        <w:rPr>
          <w:noProof/>
        </w:rPr>
      </w:pPr>
      <w:hyperlink w:anchor="_Toc293248623" w:history="1">
        <w:r w:rsidR="00995BE0" w:rsidRPr="00F140CF">
          <w:rPr>
            <w:rStyle w:val="Hipersaitas"/>
            <w:noProof/>
          </w:rPr>
          <w:t>2. ŠIAULIŲ MIESTO SAVIVALDYBĖS VISUOMENĖS SVEIKATOS BIURO VEIKLOS ANALIZĖ IR JO VEIKLOS PRIORITETAI</w:t>
        </w:r>
        <w:r w:rsidR="00995BE0">
          <w:rPr>
            <w:noProof/>
            <w:webHidden/>
          </w:rPr>
          <w:tab/>
        </w:r>
        <w:r>
          <w:rPr>
            <w:noProof/>
            <w:webHidden/>
          </w:rPr>
          <w:fldChar w:fldCharType="begin"/>
        </w:r>
        <w:r w:rsidR="00995BE0">
          <w:rPr>
            <w:noProof/>
            <w:webHidden/>
          </w:rPr>
          <w:instrText xml:space="preserve"> PAGEREF _Toc293248623 \h </w:instrText>
        </w:r>
        <w:r>
          <w:rPr>
            <w:noProof/>
            <w:webHidden/>
          </w:rPr>
        </w:r>
        <w:r>
          <w:rPr>
            <w:noProof/>
            <w:webHidden/>
          </w:rPr>
          <w:fldChar w:fldCharType="separate"/>
        </w:r>
        <w:r w:rsidR="00884C83">
          <w:rPr>
            <w:noProof/>
            <w:webHidden/>
          </w:rPr>
          <w:t>33</w:t>
        </w:r>
        <w:r>
          <w:rPr>
            <w:noProof/>
            <w:webHidden/>
          </w:rPr>
          <w:fldChar w:fldCharType="end"/>
        </w:r>
      </w:hyperlink>
    </w:p>
    <w:p w:rsidR="00995BE0" w:rsidRDefault="00CB16CF" w:rsidP="005C5FC9">
      <w:pPr>
        <w:pStyle w:val="Turinys2"/>
        <w:spacing w:line="240" w:lineRule="auto"/>
        <w:rPr>
          <w:noProof/>
        </w:rPr>
      </w:pPr>
      <w:hyperlink w:anchor="_Toc293248624" w:history="1">
        <w:r w:rsidR="00995BE0" w:rsidRPr="00F140CF">
          <w:rPr>
            <w:rStyle w:val="Hipersaitas"/>
            <w:noProof/>
          </w:rPr>
          <w:t>2.1 Tyrimo metodika</w:t>
        </w:r>
        <w:r w:rsidR="00995BE0">
          <w:rPr>
            <w:noProof/>
            <w:webHidden/>
          </w:rPr>
          <w:tab/>
        </w:r>
        <w:r>
          <w:rPr>
            <w:noProof/>
            <w:webHidden/>
          </w:rPr>
          <w:fldChar w:fldCharType="begin"/>
        </w:r>
        <w:r w:rsidR="00995BE0">
          <w:rPr>
            <w:noProof/>
            <w:webHidden/>
          </w:rPr>
          <w:instrText xml:space="preserve"> PAGEREF _Toc293248624 \h </w:instrText>
        </w:r>
        <w:r>
          <w:rPr>
            <w:noProof/>
            <w:webHidden/>
          </w:rPr>
        </w:r>
        <w:r>
          <w:rPr>
            <w:noProof/>
            <w:webHidden/>
          </w:rPr>
          <w:fldChar w:fldCharType="separate"/>
        </w:r>
        <w:r w:rsidR="00884C83">
          <w:rPr>
            <w:noProof/>
            <w:webHidden/>
          </w:rPr>
          <w:t>33</w:t>
        </w:r>
        <w:r>
          <w:rPr>
            <w:noProof/>
            <w:webHidden/>
          </w:rPr>
          <w:fldChar w:fldCharType="end"/>
        </w:r>
      </w:hyperlink>
    </w:p>
    <w:p w:rsidR="00995BE0" w:rsidRDefault="00CB16CF" w:rsidP="005C5FC9">
      <w:pPr>
        <w:pStyle w:val="Turinys3"/>
        <w:rPr>
          <w:noProof/>
        </w:rPr>
      </w:pPr>
      <w:hyperlink w:anchor="_Toc293248625" w:history="1">
        <w:r w:rsidR="00995BE0" w:rsidRPr="00F140CF">
          <w:rPr>
            <w:rStyle w:val="Hipersaitas"/>
            <w:noProof/>
          </w:rPr>
          <w:t>2.1.1 Teoriniai šaltiniai</w:t>
        </w:r>
        <w:r w:rsidR="00995BE0">
          <w:rPr>
            <w:noProof/>
            <w:webHidden/>
          </w:rPr>
          <w:tab/>
        </w:r>
        <w:r>
          <w:rPr>
            <w:noProof/>
            <w:webHidden/>
          </w:rPr>
          <w:fldChar w:fldCharType="begin"/>
        </w:r>
        <w:r w:rsidR="00995BE0">
          <w:rPr>
            <w:noProof/>
            <w:webHidden/>
          </w:rPr>
          <w:instrText xml:space="preserve"> PAGEREF _Toc293248625 \h </w:instrText>
        </w:r>
        <w:r>
          <w:rPr>
            <w:noProof/>
            <w:webHidden/>
          </w:rPr>
        </w:r>
        <w:r>
          <w:rPr>
            <w:noProof/>
            <w:webHidden/>
          </w:rPr>
          <w:fldChar w:fldCharType="separate"/>
        </w:r>
        <w:r w:rsidR="00884C83">
          <w:rPr>
            <w:noProof/>
            <w:webHidden/>
          </w:rPr>
          <w:t>33</w:t>
        </w:r>
        <w:r>
          <w:rPr>
            <w:noProof/>
            <w:webHidden/>
          </w:rPr>
          <w:fldChar w:fldCharType="end"/>
        </w:r>
      </w:hyperlink>
    </w:p>
    <w:p w:rsidR="00995BE0" w:rsidRDefault="00CB16CF" w:rsidP="005C5FC9">
      <w:pPr>
        <w:pStyle w:val="Turinys3"/>
        <w:rPr>
          <w:noProof/>
        </w:rPr>
      </w:pPr>
      <w:hyperlink w:anchor="_Toc293248626" w:history="1">
        <w:r w:rsidR="00995BE0" w:rsidRPr="00F140CF">
          <w:rPr>
            <w:rStyle w:val="Hipersaitas"/>
            <w:noProof/>
            <w:lang w:eastAsia="ar-SA"/>
          </w:rPr>
          <w:t>2.1.2 Teisinė bazė</w:t>
        </w:r>
        <w:r w:rsidR="00995BE0">
          <w:rPr>
            <w:noProof/>
            <w:webHidden/>
          </w:rPr>
          <w:tab/>
        </w:r>
        <w:r>
          <w:rPr>
            <w:noProof/>
            <w:webHidden/>
          </w:rPr>
          <w:fldChar w:fldCharType="begin"/>
        </w:r>
        <w:r w:rsidR="00995BE0">
          <w:rPr>
            <w:noProof/>
            <w:webHidden/>
          </w:rPr>
          <w:instrText xml:space="preserve"> PAGEREF _Toc293248626 \h </w:instrText>
        </w:r>
        <w:r>
          <w:rPr>
            <w:noProof/>
            <w:webHidden/>
          </w:rPr>
        </w:r>
        <w:r>
          <w:rPr>
            <w:noProof/>
            <w:webHidden/>
          </w:rPr>
          <w:fldChar w:fldCharType="separate"/>
        </w:r>
        <w:r w:rsidR="00884C83">
          <w:rPr>
            <w:noProof/>
            <w:webHidden/>
          </w:rPr>
          <w:t>33</w:t>
        </w:r>
        <w:r>
          <w:rPr>
            <w:noProof/>
            <w:webHidden/>
          </w:rPr>
          <w:fldChar w:fldCharType="end"/>
        </w:r>
      </w:hyperlink>
    </w:p>
    <w:p w:rsidR="00995BE0" w:rsidRDefault="00CB16CF" w:rsidP="005C5FC9">
      <w:pPr>
        <w:pStyle w:val="Turinys3"/>
        <w:rPr>
          <w:noProof/>
        </w:rPr>
      </w:pPr>
      <w:hyperlink w:anchor="_Toc293248627" w:history="1">
        <w:r w:rsidR="00995BE0" w:rsidRPr="00F140CF">
          <w:rPr>
            <w:rStyle w:val="Hipersaitas"/>
            <w:noProof/>
            <w:lang w:eastAsia="ar-SA"/>
          </w:rPr>
          <w:t>2.1.3 Statistika</w:t>
        </w:r>
        <w:r w:rsidR="00995BE0">
          <w:rPr>
            <w:noProof/>
            <w:webHidden/>
          </w:rPr>
          <w:tab/>
        </w:r>
        <w:r>
          <w:rPr>
            <w:noProof/>
            <w:webHidden/>
          </w:rPr>
          <w:fldChar w:fldCharType="begin"/>
        </w:r>
        <w:r w:rsidR="00995BE0">
          <w:rPr>
            <w:noProof/>
            <w:webHidden/>
          </w:rPr>
          <w:instrText xml:space="preserve"> PAGEREF _Toc293248627 \h </w:instrText>
        </w:r>
        <w:r>
          <w:rPr>
            <w:noProof/>
            <w:webHidden/>
          </w:rPr>
        </w:r>
        <w:r>
          <w:rPr>
            <w:noProof/>
            <w:webHidden/>
          </w:rPr>
          <w:fldChar w:fldCharType="separate"/>
        </w:r>
        <w:r w:rsidR="00884C83">
          <w:rPr>
            <w:noProof/>
            <w:webHidden/>
          </w:rPr>
          <w:t>33</w:t>
        </w:r>
        <w:r>
          <w:rPr>
            <w:noProof/>
            <w:webHidden/>
          </w:rPr>
          <w:fldChar w:fldCharType="end"/>
        </w:r>
      </w:hyperlink>
    </w:p>
    <w:p w:rsidR="00995BE0" w:rsidRDefault="00CB16CF" w:rsidP="005C5FC9">
      <w:pPr>
        <w:pStyle w:val="Turinys3"/>
        <w:rPr>
          <w:noProof/>
        </w:rPr>
      </w:pPr>
      <w:hyperlink w:anchor="_Toc293248628" w:history="1">
        <w:r w:rsidR="00995BE0" w:rsidRPr="00F140CF">
          <w:rPr>
            <w:rStyle w:val="Hipersaitas"/>
            <w:noProof/>
            <w:lang w:eastAsia="ar-SA"/>
          </w:rPr>
          <w:t>2.1.4 Ekspertų imties charakteristika</w:t>
        </w:r>
        <w:r w:rsidR="00995BE0">
          <w:rPr>
            <w:noProof/>
            <w:webHidden/>
          </w:rPr>
          <w:tab/>
        </w:r>
        <w:r>
          <w:rPr>
            <w:noProof/>
            <w:webHidden/>
          </w:rPr>
          <w:fldChar w:fldCharType="begin"/>
        </w:r>
        <w:r w:rsidR="00995BE0">
          <w:rPr>
            <w:noProof/>
            <w:webHidden/>
          </w:rPr>
          <w:instrText xml:space="preserve"> PAGEREF _Toc293248628 \h </w:instrText>
        </w:r>
        <w:r>
          <w:rPr>
            <w:noProof/>
            <w:webHidden/>
          </w:rPr>
        </w:r>
        <w:r>
          <w:rPr>
            <w:noProof/>
            <w:webHidden/>
          </w:rPr>
          <w:fldChar w:fldCharType="separate"/>
        </w:r>
        <w:r w:rsidR="00884C83">
          <w:rPr>
            <w:noProof/>
            <w:webHidden/>
          </w:rPr>
          <w:t>34</w:t>
        </w:r>
        <w:r>
          <w:rPr>
            <w:noProof/>
            <w:webHidden/>
          </w:rPr>
          <w:fldChar w:fldCharType="end"/>
        </w:r>
      </w:hyperlink>
    </w:p>
    <w:p w:rsidR="00995BE0" w:rsidRDefault="00CB16CF" w:rsidP="005C5FC9">
      <w:pPr>
        <w:pStyle w:val="Turinys2"/>
        <w:spacing w:line="240" w:lineRule="auto"/>
        <w:rPr>
          <w:noProof/>
        </w:rPr>
      </w:pPr>
      <w:hyperlink w:anchor="_Toc293248629" w:history="1">
        <w:r w:rsidR="00995BE0" w:rsidRPr="00F140CF">
          <w:rPr>
            <w:rStyle w:val="Hipersaitas"/>
            <w:bCs/>
            <w:iCs/>
            <w:noProof/>
          </w:rPr>
          <w:t>2.2. Šiaulių miesto gyventojų sveikatos situacijos analizė</w:t>
        </w:r>
        <w:r w:rsidR="00995BE0">
          <w:rPr>
            <w:noProof/>
            <w:webHidden/>
          </w:rPr>
          <w:tab/>
        </w:r>
        <w:r>
          <w:rPr>
            <w:noProof/>
            <w:webHidden/>
          </w:rPr>
          <w:fldChar w:fldCharType="begin"/>
        </w:r>
        <w:r w:rsidR="00995BE0">
          <w:rPr>
            <w:noProof/>
            <w:webHidden/>
          </w:rPr>
          <w:instrText xml:space="preserve"> PAGEREF _Toc293248629 \h </w:instrText>
        </w:r>
        <w:r>
          <w:rPr>
            <w:noProof/>
            <w:webHidden/>
          </w:rPr>
        </w:r>
        <w:r>
          <w:rPr>
            <w:noProof/>
            <w:webHidden/>
          </w:rPr>
          <w:fldChar w:fldCharType="separate"/>
        </w:r>
        <w:r w:rsidR="00884C83">
          <w:rPr>
            <w:noProof/>
            <w:webHidden/>
          </w:rPr>
          <w:t>35</w:t>
        </w:r>
        <w:r>
          <w:rPr>
            <w:noProof/>
            <w:webHidden/>
          </w:rPr>
          <w:fldChar w:fldCharType="end"/>
        </w:r>
      </w:hyperlink>
    </w:p>
    <w:p w:rsidR="00995BE0" w:rsidRDefault="00CB16CF" w:rsidP="005C5FC9">
      <w:pPr>
        <w:pStyle w:val="Turinys3"/>
        <w:rPr>
          <w:noProof/>
        </w:rPr>
      </w:pPr>
      <w:hyperlink w:anchor="_Toc293248630" w:history="1">
        <w:r w:rsidR="00995BE0" w:rsidRPr="00F140CF">
          <w:rPr>
            <w:rStyle w:val="Hipersaitas"/>
            <w:noProof/>
          </w:rPr>
          <w:t>2.2.1 Šiaulių visuomenės sveikatos biuro veikla</w:t>
        </w:r>
        <w:r w:rsidR="00995BE0">
          <w:rPr>
            <w:noProof/>
            <w:webHidden/>
          </w:rPr>
          <w:tab/>
        </w:r>
        <w:r>
          <w:rPr>
            <w:noProof/>
            <w:webHidden/>
          </w:rPr>
          <w:fldChar w:fldCharType="begin"/>
        </w:r>
        <w:r w:rsidR="00995BE0">
          <w:rPr>
            <w:noProof/>
            <w:webHidden/>
          </w:rPr>
          <w:instrText xml:space="preserve"> PAGEREF _Toc293248630 \h </w:instrText>
        </w:r>
        <w:r>
          <w:rPr>
            <w:noProof/>
            <w:webHidden/>
          </w:rPr>
        </w:r>
        <w:r>
          <w:rPr>
            <w:noProof/>
            <w:webHidden/>
          </w:rPr>
          <w:fldChar w:fldCharType="separate"/>
        </w:r>
        <w:r w:rsidR="00884C83">
          <w:rPr>
            <w:noProof/>
            <w:webHidden/>
          </w:rPr>
          <w:t>42</w:t>
        </w:r>
        <w:r>
          <w:rPr>
            <w:noProof/>
            <w:webHidden/>
          </w:rPr>
          <w:fldChar w:fldCharType="end"/>
        </w:r>
      </w:hyperlink>
    </w:p>
    <w:p w:rsidR="00995BE0" w:rsidRDefault="00CB16CF" w:rsidP="005C5FC9">
      <w:pPr>
        <w:pStyle w:val="Turinys3"/>
        <w:rPr>
          <w:noProof/>
        </w:rPr>
      </w:pPr>
      <w:hyperlink w:anchor="_Toc293248631" w:history="1">
        <w:r w:rsidR="00995BE0" w:rsidRPr="00F140CF">
          <w:rPr>
            <w:rStyle w:val="Hipersaitas"/>
            <w:noProof/>
          </w:rPr>
          <w:t>2.2.2 Šiaulių miesto savivaldybės visuomenės sveikatos biuras kaip dizaino strateginės mokyklos organizacija</w:t>
        </w:r>
        <w:r w:rsidR="00995BE0">
          <w:rPr>
            <w:noProof/>
            <w:webHidden/>
          </w:rPr>
          <w:tab/>
        </w:r>
        <w:r>
          <w:rPr>
            <w:noProof/>
            <w:webHidden/>
          </w:rPr>
          <w:fldChar w:fldCharType="begin"/>
        </w:r>
        <w:r w:rsidR="00995BE0">
          <w:rPr>
            <w:noProof/>
            <w:webHidden/>
          </w:rPr>
          <w:instrText xml:space="preserve"> PAGEREF _Toc293248631 \h </w:instrText>
        </w:r>
        <w:r>
          <w:rPr>
            <w:noProof/>
            <w:webHidden/>
          </w:rPr>
        </w:r>
        <w:r>
          <w:rPr>
            <w:noProof/>
            <w:webHidden/>
          </w:rPr>
          <w:fldChar w:fldCharType="separate"/>
        </w:r>
        <w:r w:rsidR="00884C83">
          <w:rPr>
            <w:noProof/>
            <w:webHidden/>
          </w:rPr>
          <w:t>44</w:t>
        </w:r>
        <w:r>
          <w:rPr>
            <w:noProof/>
            <w:webHidden/>
          </w:rPr>
          <w:fldChar w:fldCharType="end"/>
        </w:r>
      </w:hyperlink>
    </w:p>
    <w:p w:rsidR="00995BE0" w:rsidRDefault="00CB16CF" w:rsidP="005C5FC9">
      <w:pPr>
        <w:pStyle w:val="Turinys3"/>
        <w:rPr>
          <w:noProof/>
        </w:rPr>
      </w:pPr>
      <w:hyperlink w:anchor="_Toc293248632" w:history="1">
        <w:r w:rsidR="00995BE0" w:rsidRPr="00F140CF">
          <w:rPr>
            <w:rStyle w:val="Hipersaitas"/>
            <w:noProof/>
          </w:rPr>
          <w:t>2.2.3 Šiaulių miesto savivaldybės visuomenės sveikatos biuro PEST analizė</w:t>
        </w:r>
        <w:r w:rsidR="00995BE0">
          <w:rPr>
            <w:noProof/>
            <w:webHidden/>
          </w:rPr>
          <w:tab/>
        </w:r>
        <w:r>
          <w:rPr>
            <w:noProof/>
            <w:webHidden/>
          </w:rPr>
          <w:fldChar w:fldCharType="begin"/>
        </w:r>
        <w:r w:rsidR="00995BE0">
          <w:rPr>
            <w:noProof/>
            <w:webHidden/>
          </w:rPr>
          <w:instrText xml:space="preserve"> PAGEREF _Toc293248632 \h </w:instrText>
        </w:r>
        <w:r>
          <w:rPr>
            <w:noProof/>
            <w:webHidden/>
          </w:rPr>
        </w:r>
        <w:r>
          <w:rPr>
            <w:noProof/>
            <w:webHidden/>
          </w:rPr>
          <w:fldChar w:fldCharType="separate"/>
        </w:r>
        <w:r w:rsidR="00884C83">
          <w:rPr>
            <w:noProof/>
            <w:webHidden/>
          </w:rPr>
          <w:t>45</w:t>
        </w:r>
        <w:r>
          <w:rPr>
            <w:noProof/>
            <w:webHidden/>
          </w:rPr>
          <w:fldChar w:fldCharType="end"/>
        </w:r>
      </w:hyperlink>
    </w:p>
    <w:p w:rsidR="00995BE0" w:rsidRDefault="00CB16CF" w:rsidP="005C5FC9">
      <w:pPr>
        <w:pStyle w:val="Turinys3"/>
        <w:rPr>
          <w:noProof/>
        </w:rPr>
      </w:pPr>
      <w:hyperlink w:anchor="_Toc293248633" w:history="1">
        <w:r w:rsidR="00995BE0" w:rsidRPr="00F140CF">
          <w:rPr>
            <w:rStyle w:val="Hipersaitas"/>
            <w:noProof/>
          </w:rPr>
          <w:t>2.2.4 Šiaulių visuomenės sveikatos biuro SSGG analizė</w:t>
        </w:r>
        <w:r w:rsidR="00995BE0">
          <w:rPr>
            <w:noProof/>
            <w:webHidden/>
          </w:rPr>
          <w:tab/>
        </w:r>
        <w:r>
          <w:rPr>
            <w:noProof/>
            <w:webHidden/>
          </w:rPr>
          <w:fldChar w:fldCharType="begin"/>
        </w:r>
        <w:r w:rsidR="00995BE0">
          <w:rPr>
            <w:noProof/>
            <w:webHidden/>
          </w:rPr>
          <w:instrText xml:space="preserve"> PAGEREF _Toc293248633 \h </w:instrText>
        </w:r>
        <w:r>
          <w:rPr>
            <w:noProof/>
            <w:webHidden/>
          </w:rPr>
        </w:r>
        <w:r>
          <w:rPr>
            <w:noProof/>
            <w:webHidden/>
          </w:rPr>
          <w:fldChar w:fldCharType="separate"/>
        </w:r>
        <w:r w:rsidR="00884C83">
          <w:rPr>
            <w:noProof/>
            <w:webHidden/>
          </w:rPr>
          <w:t>61</w:t>
        </w:r>
        <w:r>
          <w:rPr>
            <w:noProof/>
            <w:webHidden/>
          </w:rPr>
          <w:fldChar w:fldCharType="end"/>
        </w:r>
      </w:hyperlink>
    </w:p>
    <w:p w:rsidR="00995BE0" w:rsidRDefault="00CB16CF" w:rsidP="005C5FC9">
      <w:pPr>
        <w:pStyle w:val="Turinys2"/>
        <w:spacing w:line="240" w:lineRule="auto"/>
        <w:rPr>
          <w:noProof/>
        </w:rPr>
      </w:pPr>
      <w:hyperlink w:anchor="_Toc293248634" w:history="1">
        <w:r w:rsidR="00995BE0" w:rsidRPr="00F140CF">
          <w:rPr>
            <w:rStyle w:val="Hipersaitas"/>
            <w:noProof/>
          </w:rPr>
          <w:t>2.3 Šiaulių miesto savivaldybės visuomenės sveikatos biuro strateginių prioritetų pagrindimas</w:t>
        </w:r>
        <w:r w:rsidR="00995BE0">
          <w:rPr>
            <w:noProof/>
            <w:webHidden/>
          </w:rPr>
          <w:tab/>
        </w:r>
        <w:r>
          <w:rPr>
            <w:noProof/>
            <w:webHidden/>
          </w:rPr>
          <w:fldChar w:fldCharType="begin"/>
        </w:r>
        <w:r w:rsidR="00995BE0">
          <w:rPr>
            <w:noProof/>
            <w:webHidden/>
          </w:rPr>
          <w:instrText xml:space="preserve"> PAGEREF _Toc293248634 \h </w:instrText>
        </w:r>
        <w:r>
          <w:rPr>
            <w:noProof/>
            <w:webHidden/>
          </w:rPr>
        </w:r>
        <w:r>
          <w:rPr>
            <w:noProof/>
            <w:webHidden/>
          </w:rPr>
          <w:fldChar w:fldCharType="separate"/>
        </w:r>
        <w:r w:rsidR="00884C83">
          <w:rPr>
            <w:noProof/>
            <w:webHidden/>
          </w:rPr>
          <w:t>82</w:t>
        </w:r>
        <w:r>
          <w:rPr>
            <w:noProof/>
            <w:webHidden/>
          </w:rPr>
          <w:fldChar w:fldCharType="end"/>
        </w:r>
      </w:hyperlink>
    </w:p>
    <w:p w:rsidR="00995BE0" w:rsidRDefault="00CB16CF" w:rsidP="005C5FC9">
      <w:pPr>
        <w:pStyle w:val="Turinys3"/>
        <w:rPr>
          <w:noProof/>
        </w:rPr>
      </w:pPr>
      <w:hyperlink w:anchor="_Toc293248635" w:history="1">
        <w:r w:rsidR="00995BE0" w:rsidRPr="00F140CF">
          <w:rPr>
            <w:rStyle w:val="Hipersaitas"/>
            <w:noProof/>
          </w:rPr>
          <w:t>2.3.1 Pirmasis prioritetas: lėtinių neinfekcinių ligų prevencija</w:t>
        </w:r>
        <w:r w:rsidR="00995BE0">
          <w:rPr>
            <w:noProof/>
            <w:webHidden/>
          </w:rPr>
          <w:tab/>
        </w:r>
        <w:r>
          <w:rPr>
            <w:noProof/>
            <w:webHidden/>
          </w:rPr>
          <w:fldChar w:fldCharType="begin"/>
        </w:r>
        <w:r w:rsidR="00995BE0">
          <w:rPr>
            <w:noProof/>
            <w:webHidden/>
          </w:rPr>
          <w:instrText xml:space="preserve"> PAGEREF _Toc293248635 \h </w:instrText>
        </w:r>
        <w:r>
          <w:rPr>
            <w:noProof/>
            <w:webHidden/>
          </w:rPr>
        </w:r>
        <w:r>
          <w:rPr>
            <w:noProof/>
            <w:webHidden/>
          </w:rPr>
          <w:fldChar w:fldCharType="separate"/>
        </w:r>
        <w:r w:rsidR="00884C83">
          <w:rPr>
            <w:noProof/>
            <w:webHidden/>
          </w:rPr>
          <w:t>82</w:t>
        </w:r>
        <w:r>
          <w:rPr>
            <w:noProof/>
            <w:webHidden/>
          </w:rPr>
          <w:fldChar w:fldCharType="end"/>
        </w:r>
      </w:hyperlink>
    </w:p>
    <w:p w:rsidR="00995BE0" w:rsidRDefault="00CB16CF" w:rsidP="005C5FC9">
      <w:pPr>
        <w:pStyle w:val="Turinys3"/>
        <w:rPr>
          <w:noProof/>
        </w:rPr>
      </w:pPr>
      <w:hyperlink w:anchor="_Toc293248636" w:history="1">
        <w:r w:rsidR="00995BE0" w:rsidRPr="00F140CF">
          <w:rPr>
            <w:rStyle w:val="Hipersaitas"/>
            <w:noProof/>
          </w:rPr>
          <w:t>2.3.2 Antrasis prioritetas: vaikų sveikatos stiprinimas</w:t>
        </w:r>
        <w:r w:rsidR="00995BE0">
          <w:rPr>
            <w:noProof/>
            <w:webHidden/>
          </w:rPr>
          <w:tab/>
        </w:r>
        <w:r>
          <w:rPr>
            <w:noProof/>
            <w:webHidden/>
          </w:rPr>
          <w:fldChar w:fldCharType="begin"/>
        </w:r>
        <w:r w:rsidR="00995BE0">
          <w:rPr>
            <w:noProof/>
            <w:webHidden/>
          </w:rPr>
          <w:instrText xml:space="preserve"> PAGEREF _Toc293248636 \h </w:instrText>
        </w:r>
        <w:r>
          <w:rPr>
            <w:noProof/>
            <w:webHidden/>
          </w:rPr>
        </w:r>
        <w:r>
          <w:rPr>
            <w:noProof/>
            <w:webHidden/>
          </w:rPr>
          <w:fldChar w:fldCharType="separate"/>
        </w:r>
        <w:r w:rsidR="00884C83">
          <w:rPr>
            <w:noProof/>
            <w:webHidden/>
          </w:rPr>
          <w:t>86</w:t>
        </w:r>
        <w:r>
          <w:rPr>
            <w:noProof/>
            <w:webHidden/>
          </w:rPr>
          <w:fldChar w:fldCharType="end"/>
        </w:r>
      </w:hyperlink>
    </w:p>
    <w:p w:rsidR="00995BE0" w:rsidRDefault="00CB16CF" w:rsidP="005C5FC9">
      <w:pPr>
        <w:pStyle w:val="Turinys3"/>
        <w:rPr>
          <w:noProof/>
        </w:rPr>
      </w:pPr>
      <w:hyperlink w:anchor="_Toc293248637" w:history="1">
        <w:r w:rsidR="00995BE0" w:rsidRPr="00F140CF">
          <w:rPr>
            <w:rStyle w:val="Hipersaitas"/>
            <w:noProof/>
          </w:rPr>
          <w:t>2.3.3 Trečiasis prioritetas: sveikas senėjimas</w:t>
        </w:r>
        <w:r w:rsidR="00995BE0">
          <w:rPr>
            <w:noProof/>
            <w:webHidden/>
          </w:rPr>
          <w:tab/>
        </w:r>
        <w:r>
          <w:rPr>
            <w:noProof/>
            <w:webHidden/>
          </w:rPr>
          <w:fldChar w:fldCharType="begin"/>
        </w:r>
        <w:r w:rsidR="00995BE0">
          <w:rPr>
            <w:noProof/>
            <w:webHidden/>
          </w:rPr>
          <w:instrText xml:space="preserve"> PAGEREF _Toc293248637 \h </w:instrText>
        </w:r>
        <w:r>
          <w:rPr>
            <w:noProof/>
            <w:webHidden/>
          </w:rPr>
        </w:r>
        <w:r>
          <w:rPr>
            <w:noProof/>
            <w:webHidden/>
          </w:rPr>
          <w:fldChar w:fldCharType="separate"/>
        </w:r>
        <w:r w:rsidR="00884C83">
          <w:rPr>
            <w:noProof/>
            <w:webHidden/>
          </w:rPr>
          <w:t>93</w:t>
        </w:r>
        <w:r>
          <w:rPr>
            <w:noProof/>
            <w:webHidden/>
          </w:rPr>
          <w:fldChar w:fldCharType="end"/>
        </w:r>
      </w:hyperlink>
    </w:p>
    <w:p w:rsidR="00995BE0" w:rsidRDefault="00CB16CF" w:rsidP="005C5FC9">
      <w:pPr>
        <w:pStyle w:val="Turinys3"/>
        <w:rPr>
          <w:noProof/>
        </w:rPr>
      </w:pPr>
      <w:hyperlink w:anchor="_Toc293248638" w:history="1">
        <w:r w:rsidR="00995BE0" w:rsidRPr="00F140CF">
          <w:rPr>
            <w:rStyle w:val="Hipersaitas"/>
            <w:noProof/>
          </w:rPr>
          <w:t>2.3.4 Ketvirtasis prioritetas: socialinių netolygumų visuomenės sveikatos sistemoje mažinimas</w:t>
        </w:r>
        <w:r w:rsidR="00995BE0">
          <w:rPr>
            <w:noProof/>
            <w:webHidden/>
          </w:rPr>
          <w:tab/>
        </w:r>
        <w:r>
          <w:rPr>
            <w:noProof/>
            <w:webHidden/>
          </w:rPr>
          <w:fldChar w:fldCharType="begin"/>
        </w:r>
        <w:r w:rsidR="00995BE0">
          <w:rPr>
            <w:noProof/>
            <w:webHidden/>
          </w:rPr>
          <w:instrText xml:space="preserve"> PAGEREF _Toc293248638 \h </w:instrText>
        </w:r>
        <w:r>
          <w:rPr>
            <w:noProof/>
            <w:webHidden/>
          </w:rPr>
        </w:r>
        <w:r>
          <w:rPr>
            <w:noProof/>
            <w:webHidden/>
          </w:rPr>
          <w:fldChar w:fldCharType="separate"/>
        </w:r>
        <w:r w:rsidR="00884C83">
          <w:rPr>
            <w:noProof/>
            <w:webHidden/>
          </w:rPr>
          <w:t>95</w:t>
        </w:r>
        <w:r>
          <w:rPr>
            <w:noProof/>
            <w:webHidden/>
          </w:rPr>
          <w:fldChar w:fldCharType="end"/>
        </w:r>
      </w:hyperlink>
    </w:p>
    <w:p w:rsidR="00995BE0" w:rsidRDefault="00CB16CF" w:rsidP="005C5FC9">
      <w:pPr>
        <w:pStyle w:val="Turinys2"/>
        <w:spacing w:line="240" w:lineRule="auto"/>
        <w:rPr>
          <w:noProof/>
        </w:rPr>
      </w:pPr>
      <w:hyperlink w:anchor="_Toc293248639" w:history="1">
        <w:r w:rsidR="00995BE0" w:rsidRPr="00F140CF">
          <w:rPr>
            <w:rStyle w:val="Hipersaitas"/>
            <w:noProof/>
          </w:rPr>
          <w:t>2.4 Ekspertų nuostatų analizė</w:t>
        </w:r>
        <w:r w:rsidR="00995BE0">
          <w:rPr>
            <w:noProof/>
            <w:webHidden/>
          </w:rPr>
          <w:tab/>
        </w:r>
        <w:r>
          <w:rPr>
            <w:noProof/>
            <w:webHidden/>
          </w:rPr>
          <w:fldChar w:fldCharType="begin"/>
        </w:r>
        <w:r w:rsidR="00995BE0">
          <w:rPr>
            <w:noProof/>
            <w:webHidden/>
          </w:rPr>
          <w:instrText xml:space="preserve"> PAGEREF _Toc293248639 \h </w:instrText>
        </w:r>
        <w:r>
          <w:rPr>
            <w:noProof/>
            <w:webHidden/>
          </w:rPr>
        </w:r>
        <w:r>
          <w:rPr>
            <w:noProof/>
            <w:webHidden/>
          </w:rPr>
          <w:fldChar w:fldCharType="separate"/>
        </w:r>
        <w:r w:rsidR="00884C83">
          <w:rPr>
            <w:noProof/>
            <w:webHidden/>
          </w:rPr>
          <w:t>99</w:t>
        </w:r>
        <w:r>
          <w:rPr>
            <w:noProof/>
            <w:webHidden/>
          </w:rPr>
          <w:fldChar w:fldCharType="end"/>
        </w:r>
      </w:hyperlink>
    </w:p>
    <w:p w:rsidR="00995BE0" w:rsidRDefault="00CB16CF" w:rsidP="005C5FC9">
      <w:pPr>
        <w:pStyle w:val="Turinys1"/>
        <w:spacing w:line="240" w:lineRule="auto"/>
        <w:rPr>
          <w:noProof/>
        </w:rPr>
      </w:pPr>
      <w:hyperlink w:anchor="_Toc293248640" w:history="1">
        <w:r w:rsidR="00995BE0" w:rsidRPr="00F140CF">
          <w:rPr>
            <w:rStyle w:val="Hipersaitas"/>
            <w:noProof/>
          </w:rPr>
          <w:t>IŠVADOS</w:t>
        </w:r>
        <w:r w:rsidR="00995BE0">
          <w:rPr>
            <w:noProof/>
            <w:webHidden/>
          </w:rPr>
          <w:tab/>
        </w:r>
        <w:r>
          <w:rPr>
            <w:noProof/>
            <w:webHidden/>
          </w:rPr>
          <w:fldChar w:fldCharType="begin"/>
        </w:r>
        <w:r w:rsidR="00995BE0">
          <w:rPr>
            <w:noProof/>
            <w:webHidden/>
          </w:rPr>
          <w:instrText xml:space="preserve"> PAGEREF _Toc293248640 \h </w:instrText>
        </w:r>
        <w:r>
          <w:rPr>
            <w:noProof/>
            <w:webHidden/>
          </w:rPr>
        </w:r>
        <w:r>
          <w:rPr>
            <w:noProof/>
            <w:webHidden/>
          </w:rPr>
          <w:fldChar w:fldCharType="separate"/>
        </w:r>
        <w:r w:rsidR="00884C83">
          <w:rPr>
            <w:noProof/>
            <w:webHidden/>
          </w:rPr>
          <w:t>103</w:t>
        </w:r>
        <w:r>
          <w:rPr>
            <w:noProof/>
            <w:webHidden/>
          </w:rPr>
          <w:fldChar w:fldCharType="end"/>
        </w:r>
      </w:hyperlink>
    </w:p>
    <w:p w:rsidR="00995BE0" w:rsidRDefault="00CB16CF" w:rsidP="005C5FC9">
      <w:pPr>
        <w:pStyle w:val="Turinys1"/>
        <w:spacing w:line="240" w:lineRule="auto"/>
        <w:rPr>
          <w:noProof/>
        </w:rPr>
      </w:pPr>
      <w:hyperlink w:anchor="_Toc293248641" w:history="1">
        <w:r w:rsidR="00995BE0" w:rsidRPr="00F140CF">
          <w:rPr>
            <w:rStyle w:val="Hipersaitas"/>
            <w:noProof/>
          </w:rPr>
          <w:t>SIŪLYMAI</w:t>
        </w:r>
        <w:r w:rsidR="00995BE0">
          <w:rPr>
            <w:noProof/>
            <w:webHidden/>
          </w:rPr>
          <w:tab/>
        </w:r>
        <w:r>
          <w:rPr>
            <w:noProof/>
            <w:webHidden/>
          </w:rPr>
          <w:fldChar w:fldCharType="begin"/>
        </w:r>
        <w:r w:rsidR="00995BE0">
          <w:rPr>
            <w:noProof/>
            <w:webHidden/>
          </w:rPr>
          <w:instrText xml:space="preserve"> PAGEREF _Toc293248641 \h </w:instrText>
        </w:r>
        <w:r>
          <w:rPr>
            <w:noProof/>
            <w:webHidden/>
          </w:rPr>
        </w:r>
        <w:r>
          <w:rPr>
            <w:noProof/>
            <w:webHidden/>
          </w:rPr>
          <w:fldChar w:fldCharType="separate"/>
        </w:r>
        <w:r w:rsidR="00884C83">
          <w:rPr>
            <w:noProof/>
            <w:webHidden/>
          </w:rPr>
          <w:t>105</w:t>
        </w:r>
        <w:r>
          <w:rPr>
            <w:noProof/>
            <w:webHidden/>
          </w:rPr>
          <w:fldChar w:fldCharType="end"/>
        </w:r>
      </w:hyperlink>
    </w:p>
    <w:p w:rsidR="00995BE0" w:rsidRDefault="00CB16CF" w:rsidP="005C5FC9">
      <w:pPr>
        <w:pStyle w:val="Turinys1"/>
        <w:spacing w:line="240" w:lineRule="auto"/>
        <w:rPr>
          <w:noProof/>
        </w:rPr>
      </w:pPr>
      <w:hyperlink w:anchor="_Toc293248642" w:history="1">
        <w:r w:rsidR="00995BE0" w:rsidRPr="00F140CF">
          <w:rPr>
            <w:rStyle w:val="Hipersaitas"/>
            <w:noProof/>
          </w:rPr>
          <w:t>DISKUSIJA</w:t>
        </w:r>
        <w:r w:rsidR="00995BE0">
          <w:rPr>
            <w:noProof/>
            <w:webHidden/>
          </w:rPr>
          <w:tab/>
        </w:r>
        <w:r>
          <w:rPr>
            <w:noProof/>
            <w:webHidden/>
          </w:rPr>
          <w:fldChar w:fldCharType="begin"/>
        </w:r>
        <w:r w:rsidR="00995BE0">
          <w:rPr>
            <w:noProof/>
            <w:webHidden/>
          </w:rPr>
          <w:instrText xml:space="preserve"> PAGEREF _Toc293248642 \h </w:instrText>
        </w:r>
        <w:r>
          <w:rPr>
            <w:noProof/>
            <w:webHidden/>
          </w:rPr>
        </w:r>
        <w:r>
          <w:rPr>
            <w:noProof/>
            <w:webHidden/>
          </w:rPr>
          <w:fldChar w:fldCharType="separate"/>
        </w:r>
        <w:r w:rsidR="00884C83">
          <w:rPr>
            <w:noProof/>
            <w:webHidden/>
          </w:rPr>
          <w:t>106</w:t>
        </w:r>
        <w:r>
          <w:rPr>
            <w:noProof/>
            <w:webHidden/>
          </w:rPr>
          <w:fldChar w:fldCharType="end"/>
        </w:r>
      </w:hyperlink>
    </w:p>
    <w:p w:rsidR="00995BE0" w:rsidRDefault="00CB16CF" w:rsidP="005C5FC9">
      <w:pPr>
        <w:pStyle w:val="Turinys1"/>
        <w:spacing w:line="240" w:lineRule="auto"/>
        <w:rPr>
          <w:noProof/>
        </w:rPr>
      </w:pPr>
      <w:hyperlink w:anchor="_Toc293248643" w:history="1">
        <w:r w:rsidR="00995BE0" w:rsidRPr="00F140CF">
          <w:rPr>
            <w:rStyle w:val="Hipersaitas"/>
            <w:noProof/>
          </w:rPr>
          <w:t>LITERATŪROS SĄRAŠAS</w:t>
        </w:r>
        <w:r w:rsidR="00995BE0">
          <w:rPr>
            <w:noProof/>
            <w:webHidden/>
          </w:rPr>
          <w:tab/>
        </w:r>
        <w:r>
          <w:rPr>
            <w:noProof/>
            <w:webHidden/>
          </w:rPr>
          <w:fldChar w:fldCharType="begin"/>
        </w:r>
        <w:r w:rsidR="00995BE0">
          <w:rPr>
            <w:noProof/>
            <w:webHidden/>
          </w:rPr>
          <w:instrText xml:space="preserve"> PAGEREF _Toc293248643 \h </w:instrText>
        </w:r>
        <w:r>
          <w:rPr>
            <w:noProof/>
            <w:webHidden/>
          </w:rPr>
        </w:r>
        <w:r>
          <w:rPr>
            <w:noProof/>
            <w:webHidden/>
          </w:rPr>
          <w:fldChar w:fldCharType="separate"/>
        </w:r>
        <w:r w:rsidR="00884C83">
          <w:rPr>
            <w:noProof/>
            <w:webHidden/>
          </w:rPr>
          <w:t>107</w:t>
        </w:r>
        <w:r>
          <w:rPr>
            <w:noProof/>
            <w:webHidden/>
          </w:rPr>
          <w:fldChar w:fldCharType="end"/>
        </w:r>
      </w:hyperlink>
    </w:p>
    <w:p w:rsidR="00995BE0" w:rsidRDefault="00CB16CF" w:rsidP="005C5FC9">
      <w:pPr>
        <w:pStyle w:val="Turinys1"/>
        <w:spacing w:line="240" w:lineRule="auto"/>
        <w:rPr>
          <w:noProof/>
        </w:rPr>
      </w:pPr>
      <w:hyperlink w:anchor="_Toc293248644" w:history="1">
        <w:r w:rsidR="00995BE0" w:rsidRPr="00F140CF">
          <w:rPr>
            <w:rStyle w:val="Hipersaitas"/>
            <w:noProof/>
          </w:rPr>
          <w:t>PRIEDAI</w:t>
        </w:r>
        <w:r w:rsidR="00995BE0">
          <w:rPr>
            <w:noProof/>
            <w:webHidden/>
          </w:rPr>
          <w:tab/>
        </w:r>
        <w:r>
          <w:rPr>
            <w:noProof/>
            <w:webHidden/>
          </w:rPr>
          <w:fldChar w:fldCharType="begin"/>
        </w:r>
        <w:r w:rsidR="00995BE0">
          <w:rPr>
            <w:noProof/>
            <w:webHidden/>
          </w:rPr>
          <w:instrText xml:space="preserve"> PAGEREF _Toc293248644 \h </w:instrText>
        </w:r>
        <w:r>
          <w:rPr>
            <w:noProof/>
            <w:webHidden/>
          </w:rPr>
        </w:r>
        <w:r>
          <w:rPr>
            <w:noProof/>
            <w:webHidden/>
          </w:rPr>
          <w:fldChar w:fldCharType="separate"/>
        </w:r>
        <w:r w:rsidR="00884C83">
          <w:rPr>
            <w:noProof/>
            <w:webHidden/>
          </w:rPr>
          <w:t>119</w:t>
        </w:r>
        <w:r>
          <w:rPr>
            <w:noProof/>
            <w:webHidden/>
          </w:rPr>
          <w:fldChar w:fldCharType="end"/>
        </w:r>
      </w:hyperlink>
    </w:p>
    <w:p w:rsidR="00995BE0" w:rsidRPr="001D71BB" w:rsidRDefault="00CB16CF" w:rsidP="006E16C1">
      <w:pPr>
        <w:rPr>
          <w:lang w:eastAsia="ar-SA"/>
        </w:rPr>
      </w:pPr>
      <w:r w:rsidRPr="001D71BB">
        <w:rPr>
          <w:lang w:eastAsia="ar-SA"/>
        </w:rPr>
        <w:fldChar w:fldCharType="end"/>
      </w:r>
    </w:p>
    <w:p w:rsidR="00995BE0" w:rsidRDefault="00995BE0" w:rsidP="00A3155B">
      <w:pPr>
        <w:spacing w:line="360" w:lineRule="auto"/>
        <w:rPr>
          <w:lang w:eastAsia="ar-SA"/>
        </w:rPr>
      </w:pPr>
    </w:p>
    <w:p w:rsidR="00995BE0" w:rsidRDefault="00995BE0" w:rsidP="00E31F9E">
      <w:pPr>
        <w:pStyle w:val="Antrat1"/>
      </w:pPr>
    </w:p>
    <w:p w:rsidR="00995BE0" w:rsidRDefault="00995BE0" w:rsidP="003F6A9E">
      <w:pPr>
        <w:rPr>
          <w:lang w:eastAsia="ar-SA"/>
        </w:rPr>
      </w:pPr>
    </w:p>
    <w:p w:rsidR="00995BE0" w:rsidRPr="003F6A9E" w:rsidRDefault="00995BE0" w:rsidP="003F6A9E">
      <w:pPr>
        <w:rPr>
          <w:lang w:eastAsia="ar-SA"/>
        </w:rPr>
      </w:pPr>
    </w:p>
    <w:p w:rsidR="00995BE0" w:rsidRDefault="00995BE0" w:rsidP="00E31F9E">
      <w:pPr>
        <w:pStyle w:val="Antrat1"/>
      </w:pPr>
      <w:bookmarkStart w:id="17" w:name="_Toc293248609"/>
      <w:r>
        <w:lastRenderedPageBreak/>
        <w:t>LENTELIŲ SĄRAŠAS</w:t>
      </w:r>
      <w:bookmarkEnd w:id="17"/>
    </w:p>
    <w:p w:rsidR="00995BE0" w:rsidRPr="0033342A" w:rsidRDefault="00995BE0" w:rsidP="00E31F9E">
      <w:pPr>
        <w:tabs>
          <w:tab w:val="left" w:pos="360"/>
          <w:tab w:val="left" w:pos="397"/>
        </w:tabs>
        <w:autoSpaceDE w:val="0"/>
        <w:autoSpaceDN w:val="0"/>
        <w:adjustRightInd w:val="0"/>
        <w:spacing w:line="360" w:lineRule="auto"/>
        <w:jc w:val="both"/>
        <w:rPr>
          <w:b/>
          <w:sz w:val="16"/>
          <w:szCs w:val="16"/>
        </w:rPr>
      </w:pPr>
    </w:p>
    <w:tbl>
      <w:tblPr>
        <w:tblW w:w="9583" w:type="dxa"/>
        <w:tblLook w:val="01E0"/>
      </w:tblPr>
      <w:tblGrid>
        <w:gridCol w:w="9585"/>
      </w:tblGrid>
      <w:tr w:rsidR="00995BE0" w:rsidTr="00C734B5">
        <w:tc>
          <w:tcPr>
            <w:tcW w:w="9583" w:type="dxa"/>
          </w:tcPr>
          <w:p w:rsidR="00995BE0" w:rsidRPr="00F0185C" w:rsidRDefault="00995BE0" w:rsidP="00530CD2">
            <w:pPr>
              <w:tabs>
                <w:tab w:val="left" w:pos="360"/>
                <w:tab w:val="left" w:pos="397"/>
              </w:tabs>
              <w:autoSpaceDE w:val="0"/>
              <w:autoSpaceDN w:val="0"/>
              <w:adjustRightInd w:val="0"/>
              <w:jc w:val="both"/>
            </w:pPr>
            <w:r w:rsidRPr="00F0185C">
              <w:rPr>
                <w:sz w:val="22"/>
                <w:szCs w:val="22"/>
              </w:rPr>
              <w:t>1 lentelė. Požiūriai į strateginį valdymą........................................................</w:t>
            </w:r>
            <w:r>
              <w:rPr>
                <w:sz w:val="22"/>
                <w:szCs w:val="22"/>
              </w:rPr>
              <w:t>.............</w:t>
            </w:r>
            <w:r w:rsidRPr="00F0185C">
              <w:rPr>
                <w:sz w:val="22"/>
                <w:szCs w:val="22"/>
              </w:rPr>
              <w:t>...................</w:t>
            </w:r>
            <w:r>
              <w:rPr>
                <w:sz w:val="22"/>
                <w:szCs w:val="22"/>
              </w:rPr>
              <w:t>.</w:t>
            </w:r>
            <w:r w:rsidRPr="00F0185C">
              <w:rPr>
                <w:sz w:val="22"/>
                <w:szCs w:val="22"/>
              </w:rPr>
              <w:t>..............1</w:t>
            </w:r>
            <w:r>
              <w:rPr>
                <w:sz w:val="22"/>
                <w:szCs w:val="22"/>
              </w:rPr>
              <w:t>2</w:t>
            </w:r>
          </w:p>
        </w:tc>
      </w:tr>
      <w:tr w:rsidR="00995BE0" w:rsidTr="00C734B5">
        <w:tc>
          <w:tcPr>
            <w:tcW w:w="9583" w:type="dxa"/>
          </w:tcPr>
          <w:p w:rsidR="00995BE0" w:rsidRPr="00F0185C" w:rsidRDefault="00995BE0" w:rsidP="00C734B5">
            <w:pPr>
              <w:pStyle w:val="Antrat"/>
              <w:rPr>
                <w:b w:val="0"/>
                <w:sz w:val="22"/>
                <w:szCs w:val="22"/>
              </w:rPr>
            </w:pPr>
            <w:r w:rsidRPr="00F0185C">
              <w:rPr>
                <w:b w:val="0"/>
                <w:sz w:val="22"/>
                <w:szCs w:val="22"/>
              </w:rPr>
              <w:t>2 lentelė. Strateginio valdymo proceso stadijos, etapai ir technikos.............................</w:t>
            </w:r>
            <w:r>
              <w:rPr>
                <w:b w:val="0"/>
                <w:sz w:val="22"/>
                <w:szCs w:val="22"/>
              </w:rPr>
              <w:t>..............</w:t>
            </w:r>
            <w:r w:rsidRPr="00F0185C">
              <w:rPr>
                <w:b w:val="0"/>
                <w:sz w:val="22"/>
                <w:szCs w:val="22"/>
              </w:rPr>
              <w:t>...</w:t>
            </w:r>
            <w:r>
              <w:rPr>
                <w:b w:val="0"/>
                <w:sz w:val="22"/>
                <w:szCs w:val="22"/>
              </w:rPr>
              <w:t>.</w:t>
            </w:r>
            <w:r w:rsidRPr="00F0185C">
              <w:rPr>
                <w:b w:val="0"/>
                <w:sz w:val="22"/>
                <w:szCs w:val="22"/>
              </w:rPr>
              <w:t>.............1</w:t>
            </w:r>
            <w:r>
              <w:rPr>
                <w:b w:val="0"/>
                <w:sz w:val="22"/>
                <w:szCs w:val="22"/>
              </w:rPr>
              <w:t>4</w:t>
            </w:r>
          </w:p>
        </w:tc>
      </w:tr>
      <w:tr w:rsidR="00995BE0" w:rsidTr="00C734B5">
        <w:tc>
          <w:tcPr>
            <w:tcW w:w="9583" w:type="dxa"/>
          </w:tcPr>
          <w:p w:rsidR="00995BE0" w:rsidRPr="00F0185C" w:rsidRDefault="00995BE0" w:rsidP="00C734B5">
            <w:pPr>
              <w:autoSpaceDE w:val="0"/>
              <w:autoSpaceDN w:val="0"/>
              <w:adjustRightInd w:val="0"/>
              <w:jc w:val="both"/>
            </w:pPr>
            <w:r w:rsidRPr="00F0185C">
              <w:rPr>
                <w:sz w:val="22"/>
                <w:szCs w:val="22"/>
              </w:rPr>
              <w:t>3 lentelė. Strateginio valdymo ir planavimo skirtumai verslo organizacijose ir viešojo administravimo institucijose.......................................................................................................</w:t>
            </w:r>
            <w:r>
              <w:rPr>
                <w:sz w:val="22"/>
                <w:szCs w:val="22"/>
              </w:rPr>
              <w:t>............................................21</w:t>
            </w:r>
            <w:r w:rsidRPr="00F0185C">
              <w:rPr>
                <w:sz w:val="22"/>
                <w:szCs w:val="22"/>
              </w:rPr>
              <w:t xml:space="preserve"> </w:t>
            </w:r>
          </w:p>
        </w:tc>
      </w:tr>
      <w:tr w:rsidR="00995BE0" w:rsidTr="00C734B5">
        <w:tc>
          <w:tcPr>
            <w:tcW w:w="9583" w:type="dxa"/>
          </w:tcPr>
          <w:p w:rsidR="00995BE0" w:rsidRPr="00F0185C" w:rsidRDefault="00995BE0" w:rsidP="00C734B5">
            <w:pPr>
              <w:tabs>
                <w:tab w:val="left" w:pos="360"/>
                <w:tab w:val="left" w:pos="397"/>
              </w:tabs>
              <w:autoSpaceDE w:val="0"/>
              <w:autoSpaceDN w:val="0"/>
              <w:adjustRightInd w:val="0"/>
              <w:jc w:val="both"/>
            </w:pPr>
            <w:r w:rsidRPr="00F0185C">
              <w:rPr>
                <w:sz w:val="22"/>
                <w:szCs w:val="22"/>
              </w:rPr>
              <w:t>4 lentelė. Nustatytinės strateginio valdymo metodologijos pranašumai ir trūkumai........</w:t>
            </w:r>
            <w:r>
              <w:rPr>
                <w:sz w:val="22"/>
                <w:szCs w:val="22"/>
              </w:rPr>
              <w:t>..............</w:t>
            </w:r>
            <w:r w:rsidRPr="00F0185C">
              <w:rPr>
                <w:sz w:val="22"/>
                <w:szCs w:val="22"/>
              </w:rPr>
              <w:t>.............2</w:t>
            </w:r>
            <w:r>
              <w:rPr>
                <w:sz w:val="22"/>
                <w:szCs w:val="22"/>
              </w:rPr>
              <w:t>3</w:t>
            </w:r>
          </w:p>
        </w:tc>
      </w:tr>
      <w:tr w:rsidR="00995BE0" w:rsidTr="00C734B5">
        <w:tc>
          <w:tcPr>
            <w:tcW w:w="9583" w:type="dxa"/>
          </w:tcPr>
          <w:p w:rsidR="00995BE0" w:rsidRPr="00F0185C" w:rsidRDefault="00995BE0" w:rsidP="00C734B5">
            <w:pPr>
              <w:tabs>
                <w:tab w:val="left" w:pos="360"/>
                <w:tab w:val="left" w:pos="397"/>
              </w:tabs>
              <w:autoSpaceDE w:val="0"/>
              <w:autoSpaceDN w:val="0"/>
              <w:adjustRightInd w:val="0"/>
              <w:jc w:val="both"/>
            </w:pPr>
            <w:r w:rsidRPr="00F0185C">
              <w:rPr>
                <w:sz w:val="22"/>
                <w:szCs w:val="22"/>
              </w:rPr>
              <w:t>5 lentelė. Šiaulių miesto gyventojų vidutinė tikėtina gyvenimo trukmė (VGT0) ir jos palyginimas su Lietuvos miesto gyventojų VGT0................................................................................................................3</w:t>
            </w:r>
            <w:r>
              <w:rPr>
                <w:sz w:val="22"/>
                <w:szCs w:val="22"/>
              </w:rPr>
              <w:t>6</w:t>
            </w:r>
          </w:p>
        </w:tc>
      </w:tr>
      <w:tr w:rsidR="00995BE0" w:rsidTr="00C734B5">
        <w:tc>
          <w:tcPr>
            <w:tcW w:w="9583" w:type="dxa"/>
          </w:tcPr>
          <w:p w:rsidR="00995BE0" w:rsidRPr="00F0185C" w:rsidRDefault="00995BE0" w:rsidP="00C734B5">
            <w:pPr>
              <w:pStyle w:val="Antrat"/>
              <w:rPr>
                <w:b w:val="0"/>
                <w:sz w:val="22"/>
                <w:szCs w:val="22"/>
              </w:rPr>
            </w:pPr>
            <w:r w:rsidRPr="00F0185C">
              <w:rPr>
                <w:b w:val="0"/>
                <w:sz w:val="22"/>
                <w:szCs w:val="22"/>
              </w:rPr>
              <w:t>6 lentelė. Strategijos rengimo mokyklos.......................</w:t>
            </w:r>
            <w:r>
              <w:rPr>
                <w:b w:val="0"/>
                <w:sz w:val="22"/>
                <w:szCs w:val="22"/>
              </w:rPr>
              <w:t>...............</w:t>
            </w:r>
            <w:r w:rsidRPr="00F0185C">
              <w:rPr>
                <w:b w:val="0"/>
                <w:sz w:val="22"/>
                <w:szCs w:val="22"/>
              </w:rPr>
              <w:t>................................................................4</w:t>
            </w:r>
            <w:r>
              <w:rPr>
                <w:b w:val="0"/>
                <w:sz w:val="22"/>
                <w:szCs w:val="22"/>
              </w:rPr>
              <w:t>3</w:t>
            </w:r>
          </w:p>
        </w:tc>
      </w:tr>
      <w:tr w:rsidR="00995BE0" w:rsidTr="00C734B5">
        <w:tc>
          <w:tcPr>
            <w:tcW w:w="9583" w:type="dxa"/>
          </w:tcPr>
          <w:p w:rsidR="00995BE0" w:rsidRPr="00F0185C" w:rsidRDefault="00995BE0" w:rsidP="00C734B5">
            <w:pPr>
              <w:autoSpaceDE w:val="0"/>
              <w:autoSpaceDN w:val="0"/>
              <w:adjustRightInd w:val="0"/>
              <w:jc w:val="both"/>
            </w:pPr>
            <w:r w:rsidRPr="00F0185C">
              <w:rPr>
                <w:sz w:val="22"/>
                <w:szCs w:val="22"/>
              </w:rPr>
              <w:t>7 lentelė. Duo</w:t>
            </w:r>
            <w:r w:rsidRPr="00F0185C">
              <w:rPr>
                <w:sz w:val="22"/>
                <w:szCs w:val="22"/>
              </w:rPr>
              <w:softHyphen/>
              <w:t>me</w:t>
            </w:r>
            <w:r w:rsidRPr="00F0185C">
              <w:rPr>
                <w:sz w:val="22"/>
                <w:szCs w:val="22"/>
              </w:rPr>
              <w:softHyphen/>
              <w:t>nys apie per</w:t>
            </w:r>
            <w:r w:rsidRPr="00F0185C">
              <w:rPr>
                <w:sz w:val="22"/>
                <w:szCs w:val="22"/>
              </w:rPr>
              <w:softHyphen/>
              <w:t>so</w:t>
            </w:r>
            <w:r w:rsidRPr="00F0185C">
              <w:rPr>
                <w:sz w:val="22"/>
                <w:szCs w:val="22"/>
              </w:rPr>
              <w:softHyphen/>
              <w:t>na</w:t>
            </w:r>
            <w:r w:rsidRPr="00F0185C">
              <w:rPr>
                <w:sz w:val="22"/>
                <w:szCs w:val="22"/>
              </w:rPr>
              <w:softHyphen/>
              <w:t>lą, ku</w:t>
            </w:r>
            <w:r w:rsidRPr="00F0185C">
              <w:rPr>
                <w:sz w:val="22"/>
                <w:szCs w:val="22"/>
              </w:rPr>
              <w:softHyphen/>
              <w:t>rio pa</w:t>
            </w:r>
            <w:r w:rsidRPr="00F0185C">
              <w:rPr>
                <w:sz w:val="22"/>
                <w:szCs w:val="22"/>
              </w:rPr>
              <w:softHyphen/>
              <w:t>grin</w:t>
            </w:r>
            <w:r w:rsidRPr="00F0185C">
              <w:rPr>
                <w:sz w:val="22"/>
                <w:szCs w:val="22"/>
              </w:rPr>
              <w:softHyphen/>
              <w:t>di</w:t>
            </w:r>
            <w:r w:rsidRPr="00F0185C">
              <w:rPr>
                <w:sz w:val="22"/>
                <w:szCs w:val="22"/>
              </w:rPr>
              <w:softHyphen/>
              <w:t>nė funk</w:t>
            </w:r>
            <w:r w:rsidRPr="00F0185C">
              <w:rPr>
                <w:sz w:val="22"/>
                <w:szCs w:val="22"/>
              </w:rPr>
              <w:softHyphen/>
              <w:t>ci</w:t>
            </w:r>
            <w:r w:rsidRPr="00F0185C">
              <w:rPr>
                <w:sz w:val="22"/>
                <w:szCs w:val="22"/>
              </w:rPr>
              <w:softHyphen/>
              <w:t>ja – svei</w:t>
            </w:r>
            <w:r w:rsidRPr="00F0185C">
              <w:rPr>
                <w:sz w:val="22"/>
                <w:szCs w:val="22"/>
              </w:rPr>
              <w:softHyphen/>
              <w:t>ka</w:t>
            </w:r>
            <w:r w:rsidRPr="00F0185C">
              <w:rPr>
                <w:sz w:val="22"/>
                <w:szCs w:val="22"/>
              </w:rPr>
              <w:softHyphen/>
              <w:t>tos ug</w:t>
            </w:r>
            <w:r w:rsidRPr="00F0185C">
              <w:rPr>
                <w:sz w:val="22"/>
                <w:szCs w:val="22"/>
              </w:rPr>
              <w:softHyphen/>
              <w:t>dy</w:t>
            </w:r>
            <w:r w:rsidRPr="00F0185C">
              <w:rPr>
                <w:sz w:val="22"/>
                <w:szCs w:val="22"/>
              </w:rPr>
              <w:softHyphen/>
              <w:t>mas ir mo</w:t>
            </w:r>
            <w:r w:rsidRPr="00F0185C">
              <w:rPr>
                <w:sz w:val="22"/>
                <w:szCs w:val="22"/>
              </w:rPr>
              <w:softHyphen/>
              <w:t>ky</w:t>
            </w:r>
            <w:r w:rsidRPr="00F0185C">
              <w:rPr>
                <w:sz w:val="22"/>
                <w:szCs w:val="22"/>
              </w:rPr>
              <w:softHyphen/>
              <w:t>mas............</w:t>
            </w:r>
            <w:r>
              <w:rPr>
                <w:sz w:val="22"/>
                <w:szCs w:val="22"/>
              </w:rPr>
              <w:t>58</w:t>
            </w:r>
          </w:p>
        </w:tc>
      </w:tr>
      <w:tr w:rsidR="00995BE0" w:rsidTr="00C734B5">
        <w:tc>
          <w:tcPr>
            <w:tcW w:w="9583" w:type="dxa"/>
          </w:tcPr>
          <w:p w:rsidR="00995BE0" w:rsidRPr="00F0185C" w:rsidRDefault="00995BE0" w:rsidP="00761A5B">
            <w:pPr>
              <w:tabs>
                <w:tab w:val="left" w:pos="360"/>
                <w:tab w:val="left" w:pos="397"/>
              </w:tabs>
              <w:autoSpaceDE w:val="0"/>
              <w:autoSpaceDN w:val="0"/>
              <w:adjustRightInd w:val="0"/>
              <w:jc w:val="both"/>
            </w:pPr>
            <w:r w:rsidRPr="00F0185C">
              <w:rPr>
                <w:sz w:val="22"/>
                <w:szCs w:val="22"/>
              </w:rPr>
              <w:t>8 lentelė. Standartizuoti mirtingumo rodikliai pagal pagrindines priežastis 2007 m. (PSO DB)...........</w:t>
            </w:r>
            <w:r>
              <w:rPr>
                <w:sz w:val="22"/>
                <w:szCs w:val="22"/>
              </w:rPr>
              <w:t>.</w:t>
            </w:r>
            <w:r w:rsidRPr="00F0185C">
              <w:rPr>
                <w:sz w:val="22"/>
                <w:szCs w:val="22"/>
              </w:rPr>
              <w:t>....</w:t>
            </w:r>
            <w:r>
              <w:rPr>
                <w:sz w:val="22"/>
                <w:szCs w:val="22"/>
              </w:rPr>
              <w:t>82</w:t>
            </w:r>
          </w:p>
        </w:tc>
      </w:tr>
      <w:tr w:rsidR="00995BE0" w:rsidTr="00C734B5">
        <w:tc>
          <w:tcPr>
            <w:tcW w:w="9583" w:type="dxa"/>
          </w:tcPr>
          <w:p w:rsidR="00995BE0" w:rsidRPr="00F0185C" w:rsidRDefault="00995BE0" w:rsidP="00761A5B">
            <w:pPr>
              <w:spacing w:line="360" w:lineRule="auto"/>
              <w:ind w:right="-82"/>
              <w:jc w:val="both"/>
            </w:pPr>
            <w:r w:rsidRPr="00F0185C">
              <w:rPr>
                <w:bCs/>
                <w:sz w:val="22"/>
                <w:szCs w:val="22"/>
              </w:rPr>
              <w:t>9 lentelė. Savivaldybių visuomenės sveikatos biurų trūkumai...........................</w:t>
            </w:r>
            <w:r>
              <w:rPr>
                <w:bCs/>
                <w:sz w:val="22"/>
                <w:szCs w:val="22"/>
              </w:rPr>
              <w:t>..................</w:t>
            </w:r>
            <w:r w:rsidRPr="00F0185C">
              <w:rPr>
                <w:bCs/>
                <w:sz w:val="22"/>
                <w:szCs w:val="22"/>
              </w:rPr>
              <w:t>.........</w:t>
            </w:r>
            <w:r>
              <w:rPr>
                <w:bCs/>
                <w:sz w:val="22"/>
                <w:szCs w:val="22"/>
              </w:rPr>
              <w:t>.</w:t>
            </w:r>
            <w:r w:rsidRPr="00F0185C">
              <w:rPr>
                <w:bCs/>
                <w:sz w:val="22"/>
                <w:szCs w:val="22"/>
              </w:rPr>
              <w:t>.</w:t>
            </w:r>
            <w:r>
              <w:rPr>
                <w:bCs/>
                <w:sz w:val="22"/>
                <w:szCs w:val="22"/>
              </w:rPr>
              <w:t>.............99</w:t>
            </w:r>
          </w:p>
        </w:tc>
      </w:tr>
    </w:tbl>
    <w:p w:rsidR="00995BE0" w:rsidRDefault="00995BE0" w:rsidP="00E31F9E">
      <w:pPr>
        <w:pStyle w:val="Antrat1"/>
      </w:pPr>
      <w:bookmarkStart w:id="18" w:name="_Toc293248610"/>
      <w:r>
        <w:t>PAVEIKSLŲ SĄRAŠAS</w:t>
      </w:r>
      <w:bookmarkEnd w:id="18"/>
    </w:p>
    <w:tbl>
      <w:tblPr>
        <w:tblW w:w="0" w:type="auto"/>
        <w:tblLayout w:type="fixed"/>
        <w:tblLook w:val="01E0"/>
      </w:tblPr>
      <w:tblGrid>
        <w:gridCol w:w="9606"/>
      </w:tblGrid>
      <w:tr w:rsidR="00995BE0" w:rsidTr="00761A5B">
        <w:tc>
          <w:tcPr>
            <w:tcW w:w="9606" w:type="dxa"/>
          </w:tcPr>
          <w:p w:rsidR="00995BE0" w:rsidRPr="00F0185C" w:rsidRDefault="00995BE0" w:rsidP="00C734B5">
            <w:pPr>
              <w:tabs>
                <w:tab w:val="left" w:pos="360"/>
                <w:tab w:val="left" w:pos="397"/>
              </w:tabs>
              <w:autoSpaceDE w:val="0"/>
              <w:autoSpaceDN w:val="0"/>
              <w:adjustRightInd w:val="0"/>
              <w:jc w:val="both"/>
            </w:pPr>
            <w:r w:rsidRPr="00F0185C">
              <w:rPr>
                <w:sz w:val="22"/>
                <w:szCs w:val="22"/>
              </w:rPr>
              <w:t>1 pav. Strateginio valdymo evoliucijos etapai...........................................................</w:t>
            </w:r>
            <w:r>
              <w:rPr>
                <w:sz w:val="22"/>
                <w:szCs w:val="22"/>
              </w:rPr>
              <w:t>.......................</w:t>
            </w:r>
            <w:r w:rsidRPr="00F0185C">
              <w:rPr>
                <w:sz w:val="22"/>
                <w:szCs w:val="22"/>
              </w:rPr>
              <w:t>...</w:t>
            </w:r>
            <w:r>
              <w:rPr>
                <w:sz w:val="22"/>
                <w:szCs w:val="22"/>
              </w:rPr>
              <w:t>.</w:t>
            </w:r>
            <w:r w:rsidRPr="00F0185C">
              <w:rPr>
                <w:sz w:val="22"/>
                <w:szCs w:val="22"/>
              </w:rPr>
              <w:t>......1</w:t>
            </w:r>
            <w:r>
              <w:rPr>
                <w:sz w:val="22"/>
                <w:szCs w:val="22"/>
              </w:rPr>
              <w:t>3</w:t>
            </w:r>
          </w:p>
        </w:tc>
      </w:tr>
      <w:tr w:rsidR="00995BE0" w:rsidTr="00761A5B">
        <w:tc>
          <w:tcPr>
            <w:tcW w:w="9606" w:type="dxa"/>
          </w:tcPr>
          <w:p w:rsidR="00995BE0" w:rsidRPr="00F0185C" w:rsidRDefault="00995BE0" w:rsidP="00C734B5">
            <w:pPr>
              <w:tabs>
                <w:tab w:val="left" w:pos="360"/>
                <w:tab w:val="left" w:pos="397"/>
              </w:tabs>
              <w:autoSpaceDE w:val="0"/>
              <w:autoSpaceDN w:val="0"/>
              <w:adjustRightInd w:val="0"/>
              <w:jc w:val="both"/>
            </w:pPr>
            <w:r w:rsidRPr="00F0185C">
              <w:rPr>
                <w:sz w:val="22"/>
                <w:szCs w:val="22"/>
              </w:rPr>
              <w:t>2 pav. Strateginio valdymo modelis...............................</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1</w:t>
            </w:r>
            <w:r>
              <w:rPr>
                <w:sz w:val="22"/>
                <w:szCs w:val="22"/>
              </w:rPr>
              <w:t>3</w:t>
            </w:r>
          </w:p>
        </w:tc>
      </w:tr>
      <w:tr w:rsidR="00995BE0" w:rsidTr="00761A5B">
        <w:tc>
          <w:tcPr>
            <w:tcW w:w="9606" w:type="dxa"/>
          </w:tcPr>
          <w:p w:rsidR="00995BE0" w:rsidRPr="00F0185C" w:rsidRDefault="00995BE0" w:rsidP="00761A5B">
            <w:pPr>
              <w:autoSpaceDE w:val="0"/>
              <w:autoSpaceDN w:val="0"/>
              <w:adjustRightInd w:val="0"/>
              <w:jc w:val="both"/>
              <w:rPr>
                <w:noProof/>
              </w:rPr>
            </w:pPr>
            <w:r w:rsidRPr="00F0185C">
              <w:rPr>
                <w:noProof/>
                <w:sz w:val="22"/>
                <w:szCs w:val="22"/>
                <w:lang w:val="pt-BR"/>
              </w:rPr>
              <w:t>3</w:t>
            </w:r>
            <w:r w:rsidRPr="00F0185C">
              <w:rPr>
                <w:noProof/>
                <w:sz w:val="22"/>
                <w:szCs w:val="22"/>
              </w:rPr>
              <w:t xml:space="preserve"> pav. </w:t>
            </w:r>
            <w:r w:rsidRPr="00F0185C">
              <w:rPr>
                <w:rStyle w:val="Grietas"/>
                <w:b w:val="0"/>
                <w:sz w:val="22"/>
                <w:szCs w:val="22"/>
              </w:rPr>
              <w:t>Strateginio planavimo savybės...................................................................................</w:t>
            </w:r>
            <w:r>
              <w:rPr>
                <w:rStyle w:val="Grietas"/>
                <w:b w:val="0"/>
                <w:sz w:val="22"/>
                <w:szCs w:val="22"/>
              </w:rPr>
              <w:t>.................</w:t>
            </w:r>
            <w:r w:rsidRPr="00F0185C">
              <w:rPr>
                <w:rStyle w:val="Grietas"/>
                <w:b w:val="0"/>
                <w:sz w:val="22"/>
                <w:szCs w:val="22"/>
              </w:rPr>
              <w:t>..</w:t>
            </w:r>
            <w:r>
              <w:rPr>
                <w:rStyle w:val="Grietas"/>
                <w:b w:val="0"/>
                <w:sz w:val="22"/>
                <w:szCs w:val="22"/>
              </w:rPr>
              <w:t>...18</w:t>
            </w:r>
          </w:p>
        </w:tc>
      </w:tr>
      <w:tr w:rsidR="00995BE0" w:rsidTr="00761A5B">
        <w:tc>
          <w:tcPr>
            <w:tcW w:w="9606" w:type="dxa"/>
          </w:tcPr>
          <w:p w:rsidR="00995BE0" w:rsidRPr="00F0185C" w:rsidRDefault="00995BE0" w:rsidP="00530CD2">
            <w:pPr>
              <w:autoSpaceDE w:val="0"/>
              <w:autoSpaceDN w:val="0"/>
              <w:adjustRightInd w:val="0"/>
              <w:jc w:val="both"/>
              <w:rPr>
                <w:noProof/>
              </w:rPr>
            </w:pPr>
            <w:r w:rsidRPr="00F0185C">
              <w:rPr>
                <w:sz w:val="22"/>
                <w:szCs w:val="22"/>
              </w:rPr>
              <w:t>4 pav.  Lietuvos sveikatos apsaugos sistemos strateginio valdymo modelis.......................</w:t>
            </w:r>
            <w:r>
              <w:rPr>
                <w:sz w:val="22"/>
                <w:szCs w:val="22"/>
              </w:rPr>
              <w:t>................</w:t>
            </w:r>
            <w:r w:rsidRPr="00F0185C">
              <w:rPr>
                <w:sz w:val="22"/>
                <w:szCs w:val="22"/>
              </w:rPr>
              <w:t>.......3</w:t>
            </w:r>
            <w:r>
              <w:rPr>
                <w:sz w:val="22"/>
                <w:szCs w:val="22"/>
              </w:rPr>
              <w:t>0</w:t>
            </w:r>
          </w:p>
        </w:tc>
      </w:tr>
      <w:tr w:rsidR="00995BE0" w:rsidTr="00761A5B">
        <w:tc>
          <w:tcPr>
            <w:tcW w:w="9606" w:type="dxa"/>
          </w:tcPr>
          <w:p w:rsidR="00995BE0" w:rsidRPr="00F0185C" w:rsidRDefault="00995BE0" w:rsidP="00761A5B">
            <w:pPr>
              <w:tabs>
                <w:tab w:val="left" w:pos="360"/>
                <w:tab w:val="left" w:pos="397"/>
              </w:tabs>
              <w:autoSpaceDE w:val="0"/>
              <w:autoSpaceDN w:val="0"/>
              <w:adjustRightInd w:val="0"/>
              <w:jc w:val="both"/>
              <w:rPr>
                <w:bCs/>
              </w:rPr>
            </w:pPr>
            <w:r w:rsidRPr="00F0185C">
              <w:rPr>
                <w:bCs/>
                <w:sz w:val="22"/>
                <w:szCs w:val="22"/>
              </w:rPr>
              <w:t xml:space="preserve">5 pav. </w:t>
            </w:r>
            <w:r w:rsidRPr="00F0185C">
              <w:rPr>
                <w:sz w:val="22"/>
                <w:szCs w:val="22"/>
              </w:rPr>
              <w:t>Šiaulių miesto ir Lietuvos Respublikos gyventojų skaičius 2001-2010 m. pradžioje.......</w:t>
            </w:r>
            <w:r>
              <w:rPr>
                <w:sz w:val="22"/>
                <w:szCs w:val="22"/>
              </w:rPr>
              <w:t>.......</w:t>
            </w:r>
            <w:r w:rsidRPr="00F0185C">
              <w:rPr>
                <w:sz w:val="22"/>
                <w:szCs w:val="22"/>
              </w:rPr>
              <w:t>........3</w:t>
            </w:r>
            <w:r>
              <w:rPr>
                <w:sz w:val="22"/>
                <w:szCs w:val="22"/>
              </w:rPr>
              <w:t>4</w:t>
            </w:r>
          </w:p>
        </w:tc>
      </w:tr>
      <w:tr w:rsidR="00995BE0" w:rsidTr="00761A5B">
        <w:tc>
          <w:tcPr>
            <w:tcW w:w="9606" w:type="dxa"/>
          </w:tcPr>
          <w:p w:rsidR="00995BE0" w:rsidRPr="00F0185C" w:rsidRDefault="00995BE0" w:rsidP="00761A5B">
            <w:pPr>
              <w:tabs>
                <w:tab w:val="left" w:pos="360"/>
                <w:tab w:val="left" w:pos="397"/>
              </w:tabs>
              <w:autoSpaceDE w:val="0"/>
              <w:autoSpaceDN w:val="0"/>
              <w:adjustRightInd w:val="0"/>
              <w:jc w:val="both"/>
              <w:rPr>
                <w:bCs/>
              </w:rPr>
            </w:pPr>
            <w:r w:rsidRPr="00F0185C">
              <w:rPr>
                <w:sz w:val="22"/>
                <w:szCs w:val="22"/>
              </w:rPr>
              <w:t>6 pav. Gimstamumo ir mirtingumo rodiklių kitimas Šiaulių mieste 1996-2009 m. (1 000 gyv.).....</w:t>
            </w:r>
            <w:r>
              <w:rPr>
                <w:sz w:val="22"/>
                <w:szCs w:val="22"/>
              </w:rPr>
              <w:t>.</w:t>
            </w:r>
            <w:r w:rsidRPr="00F0185C">
              <w:rPr>
                <w:sz w:val="22"/>
                <w:szCs w:val="22"/>
              </w:rPr>
              <w:t>..</w:t>
            </w:r>
            <w:r>
              <w:rPr>
                <w:sz w:val="22"/>
                <w:szCs w:val="22"/>
              </w:rPr>
              <w:t>.....</w:t>
            </w:r>
            <w:r w:rsidRPr="00F0185C">
              <w:rPr>
                <w:sz w:val="22"/>
                <w:szCs w:val="22"/>
              </w:rPr>
              <w:t>..3</w:t>
            </w:r>
            <w:r>
              <w:rPr>
                <w:sz w:val="22"/>
                <w:szCs w:val="22"/>
              </w:rPr>
              <w:t>5</w:t>
            </w:r>
          </w:p>
        </w:tc>
      </w:tr>
      <w:tr w:rsidR="00995BE0" w:rsidTr="00761A5B">
        <w:tc>
          <w:tcPr>
            <w:tcW w:w="9606" w:type="dxa"/>
          </w:tcPr>
          <w:p w:rsidR="00995BE0" w:rsidRPr="00F0185C" w:rsidRDefault="00995BE0" w:rsidP="00761A5B">
            <w:pPr>
              <w:tabs>
                <w:tab w:val="left" w:pos="360"/>
                <w:tab w:val="left" w:pos="397"/>
              </w:tabs>
              <w:jc w:val="both"/>
            </w:pPr>
            <w:r w:rsidRPr="00F0185C">
              <w:rPr>
                <w:sz w:val="22"/>
                <w:szCs w:val="22"/>
              </w:rPr>
              <w:t>7 pav. Kūdikių iki 1 m. mirtingumas Šiaulių mieste ir Lietuvos Respublikoje 2006-2009 m. (1 000 gyvų gimusiųjų).............................................................................................................................</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3</w:t>
            </w:r>
            <w:r>
              <w:rPr>
                <w:sz w:val="22"/>
                <w:szCs w:val="22"/>
              </w:rPr>
              <w:t>5</w:t>
            </w:r>
          </w:p>
        </w:tc>
      </w:tr>
      <w:tr w:rsidR="00995BE0" w:rsidTr="00761A5B">
        <w:tc>
          <w:tcPr>
            <w:tcW w:w="9606" w:type="dxa"/>
          </w:tcPr>
          <w:p w:rsidR="00995BE0" w:rsidRPr="00F0185C" w:rsidRDefault="00995BE0" w:rsidP="00530CD2">
            <w:pPr>
              <w:tabs>
                <w:tab w:val="left" w:pos="360"/>
                <w:tab w:val="left" w:pos="397"/>
              </w:tabs>
              <w:autoSpaceDE w:val="0"/>
              <w:autoSpaceDN w:val="0"/>
              <w:adjustRightInd w:val="0"/>
              <w:jc w:val="both"/>
            </w:pPr>
            <w:r w:rsidRPr="00F0185C">
              <w:rPr>
                <w:sz w:val="22"/>
                <w:szCs w:val="22"/>
              </w:rPr>
              <w:t>8 pav. Mirtingumas pagal priežastis Šiaulių mieste ir Lietuvos Respublikoje 2009 m. (100 000 gyv.)..</w:t>
            </w:r>
            <w:r>
              <w:rPr>
                <w:sz w:val="22"/>
                <w:szCs w:val="22"/>
              </w:rPr>
              <w:t>...</w:t>
            </w:r>
            <w:r w:rsidRPr="00F0185C">
              <w:rPr>
                <w:sz w:val="22"/>
                <w:szCs w:val="22"/>
              </w:rPr>
              <w:t>.3</w:t>
            </w:r>
            <w:r>
              <w:rPr>
                <w:sz w:val="22"/>
                <w:szCs w:val="22"/>
              </w:rPr>
              <w:t>6</w:t>
            </w:r>
          </w:p>
        </w:tc>
      </w:tr>
      <w:tr w:rsidR="00995BE0" w:rsidTr="00761A5B">
        <w:tc>
          <w:tcPr>
            <w:tcW w:w="9606" w:type="dxa"/>
          </w:tcPr>
          <w:p w:rsidR="00995BE0" w:rsidRPr="00F0185C" w:rsidRDefault="00995BE0" w:rsidP="00530CD2">
            <w:pPr>
              <w:ind w:right="9"/>
              <w:jc w:val="both"/>
            </w:pPr>
            <w:r w:rsidRPr="00F0185C">
              <w:rPr>
                <w:sz w:val="22"/>
                <w:szCs w:val="22"/>
              </w:rPr>
              <w:t>9 pav. Mirtingumas pagal priežastis Šiaulių mieste ir Lietuvos Respublikoje 2009 m. (100 000 gy</w:t>
            </w:r>
            <w:r>
              <w:rPr>
                <w:sz w:val="22"/>
                <w:szCs w:val="22"/>
              </w:rPr>
              <w:t>v.)......</w:t>
            </w:r>
            <w:r w:rsidRPr="00F0185C">
              <w:rPr>
                <w:sz w:val="22"/>
                <w:szCs w:val="22"/>
              </w:rPr>
              <w:t>3</w:t>
            </w:r>
            <w:r>
              <w:rPr>
                <w:sz w:val="22"/>
                <w:szCs w:val="22"/>
              </w:rPr>
              <w:t>7</w:t>
            </w:r>
          </w:p>
        </w:tc>
      </w:tr>
      <w:tr w:rsidR="00995BE0" w:rsidTr="00761A5B">
        <w:tc>
          <w:tcPr>
            <w:tcW w:w="9606" w:type="dxa"/>
          </w:tcPr>
          <w:p w:rsidR="00995BE0" w:rsidRPr="00F0185C" w:rsidRDefault="00995BE0" w:rsidP="00530CD2">
            <w:pPr>
              <w:ind w:right="9"/>
              <w:jc w:val="both"/>
            </w:pPr>
            <w:r w:rsidRPr="00F0185C">
              <w:rPr>
                <w:sz w:val="22"/>
                <w:szCs w:val="22"/>
              </w:rPr>
              <w:t>10 pav. Mirtingumas dėl savižudybių kai kuriose Europos ša</w:t>
            </w:r>
            <w:r>
              <w:rPr>
                <w:sz w:val="22"/>
                <w:szCs w:val="22"/>
              </w:rPr>
              <w:t>lyse (100 000 gyv.).......</w:t>
            </w:r>
            <w:r w:rsidRPr="00F0185C">
              <w:rPr>
                <w:sz w:val="22"/>
                <w:szCs w:val="22"/>
              </w:rPr>
              <w:t>.......</w:t>
            </w:r>
            <w:r>
              <w:rPr>
                <w:sz w:val="22"/>
                <w:szCs w:val="22"/>
              </w:rPr>
              <w:t>....................</w:t>
            </w:r>
            <w:r w:rsidRPr="00F0185C">
              <w:rPr>
                <w:sz w:val="22"/>
                <w:szCs w:val="22"/>
              </w:rPr>
              <w:t>...</w:t>
            </w:r>
            <w:r>
              <w:rPr>
                <w:sz w:val="22"/>
                <w:szCs w:val="22"/>
              </w:rPr>
              <w:t>.</w:t>
            </w:r>
            <w:r w:rsidRPr="00F0185C">
              <w:rPr>
                <w:sz w:val="22"/>
                <w:szCs w:val="22"/>
              </w:rPr>
              <w:t>3</w:t>
            </w:r>
            <w:r>
              <w:rPr>
                <w:sz w:val="22"/>
                <w:szCs w:val="22"/>
              </w:rPr>
              <w:t>8</w:t>
            </w:r>
          </w:p>
        </w:tc>
      </w:tr>
      <w:tr w:rsidR="00995BE0" w:rsidTr="00761A5B">
        <w:tc>
          <w:tcPr>
            <w:tcW w:w="9606" w:type="dxa"/>
          </w:tcPr>
          <w:p w:rsidR="00995BE0" w:rsidRPr="00F0185C" w:rsidRDefault="00995BE0" w:rsidP="00C734B5">
            <w:pPr>
              <w:ind w:right="9"/>
              <w:jc w:val="both"/>
            </w:pPr>
            <w:r w:rsidRPr="00F0185C">
              <w:rPr>
                <w:sz w:val="22"/>
                <w:szCs w:val="22"/>
              </w:rPr>
              <w:t>11 pav. Gyventojų sergamumas kai kuriomis ligomis Šiaulių mieste 2009 m. (1 000 gyv.)...</w:t>
            </w:r>
            <w:r>
              <w:rPr>
                <w:sz w:val="22"/>
                <w:szCs w:val="22"/>
              </w:rPr>
              <w:t>..........</w:t>
            </w:r>
            <w:r w:rsidRPr="00F0185C">
              <w:rPr>
                <w:sz w:val="22"/>
                <w:szCs w:val="22"/>
              </w:rPr>
              <w:t>.</w:t>
            </w:r>
            <w:r>
              <w:rPr>
                <w:sz w:val="22"/>
                <w:szCs w:val="22"/>
              </w:rPr>
              <w:t>.....</w:t>
            </w:r>
            <w:r w:rsidRPr="00F0185C">
              <w:rPr>
                <w:sz w:val="22"/>
                <w:szCs w:val="22"/>
              </w:rPr>
              <w:t>....3</w:t>
            </w:r>
            <w:r>
              <w:rPr>
                <w:sz w:val="22"/>
                <w:szCs w:val="22"/>
              </w:rPr>
              <w:t>8</w:t>
            </w:r>
          </w:p>
        </w:tc>
      </w:tr>
      <w:tr w:rsidR="00995BE0" w:rsidTr="00761A5B">
        <w:tc>
          <w:tcPr>
            <w:tcW w:w="9606" w:type="dxa"/>
          </w:tcPr>
          <w:p w:rsidR="00995BE0" w:rsidRPr="00F0185C" w:rsidRDefault="00995BE0" w:rsidP="00C734B5">
            <w:pPr>
              <w:ind w:right="9"/>
              <w:jc w:val="both"/>
            </w:pPr>
            <w:r w:rsidRPr="00F0185C">
              <w:rPr>
                <w:sz w:val="22"/>
                <w:szCs w:val="22"/>
              </w:rPr>
              <w:t>12 pav. Sergamumas visomis piktybinių navikų lokalizacijomis Šiaulių mieste ir šalyje 2004-2009 m. (100 000 gyv.)............................................................................................................</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3</w:t>
            </w:r>
            <w:r>
              <w:rPr>
                <w:sz w:val="22"/>
                <w:szCs w:val="22"/>
              </w:rPr>
              <w:t>9</w:t>
            </w:r>
          </w:p>
        </w:tc>
      </w:tr>
      <w:tr w:rsidR="00995BE0" w:rsidTr="00761A5B">
        <w:tc>
          <w:tcPr>
            <w:tcW w:w="9606" w:type="dxa"/>
          </w:tcPr>
          <w:p w:rsidR="00995BE0" w:rsidRPr="00F0185C" w:rsidRDefault="00995BE0" w:rsidP="00C734B5">
            <w:pPr>
              <w:jc w:val="both"/>
            </w:pPr>
            <w:r w:rsidRPr="00F0185C">
              <w:rPr>
                <w:sz w:val="22"/>
                <w:szCs w:val="22"/>
              </w:rPr>
              <w:t>13 pav. Sergamumas piktybiniai navikais pagal lokalizacijas ir lytį  Šiaulių mieste 2009 m. (100 000 gyv.)...................................................................................................</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3</w:t>
            </w:r>
            <w:r>
              <w:rPr>
                <w:sz w:val="22"/>
                <w:szCs w:val="22"/>
              </w:rPr>
              <w:t>9</w:t>
            </w:r>
          </w:p>
        </w:tc>
      </w:tr>
      <w:tr w:rsidR="00995BE0" w:rsidTr="00761A5B">
        <w:tc>
          <w:tcPr>
            <w:tcW w:w="9606" w:type="dxa"/>
          </w:tcPr>
          <w:p w:rsidR="00995BE0" w:rsidRPr="00F0185C" w:rsidRDefault="00995BE0" w:rsidP="00C734B5">
            <w:pPr>
              <w:ind w:right="9"/>
              <w:jc w:val="both"/>
            </w:pPr>
            <w:r w:rsidRPr="00F0185C">
              <w:rPr>
                <w:sz w:val="22"/>
                <w:szCs w:val="22"/>
              </w:rPr>
              <w:t>14 pav. Sergamumas psichikos ligomis Šiaulių mieste ir Lietuvos Respublikoje 2004-2009 m. (100 000 gyv.)............................................................................................................</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....40</w:t>
            </w:r>
          </w:p>
        </w:tc>
      </w:tr>
      <w:tr w:rsidR="00995BE0" w:rsidTr="00761A5B">
        <w:tc>
          <w:tcPr>
            <w:tcW w:w="9606" w:type="dxa"/>
          </w:tcPr>
          <w:p w:rsidR="00995BE0" w:rsidRPr="00F0185C" w:rsidRDefault="00995BE0" w:rsidP="00C734B5">
            <w:pPr>
              <w:jc w:val="both"/>
            </w:pPr>
            <w:r w:rsidRPr="00F0185C">
              <w:rPr>
                <w:sz w:val="22"/>
                <w:szCs w:val="22"/>
              </w:rPr>
              <w:t>15 pav. Sergamumas aktyvia tuberkulioze Šiaulių mieste ir Lietuvos Respublikoje 2004-2009 m. (100 000 gyv.)................................................................................................................</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40</w:t>
            </w:r>
          </w:p>
        </w:tc>
      </w:tr>
      <w:tr w:rsidR="00995BE0" w:rsidTr="00761A5B">
        <w:tc>
          <w:tcPr>
            <w:tcW w:w="9606" w:type="dxa"/>
          </w:tcPr>
          <w:p w:rsidR="00995BE0" w:rsidRPr="00F0185C" w:rsidRDefault="00995BE0" w:rsidP="00C734B5">
            <w:pPr>
              <w:ind w:right="9"/>
              <w:jc w:val="both"/>
            </w:pPr>
            <w:r w:rsidRPr="00F0185C">
              <w:rPr>
                <w:sz w:val="22"/>
                <w:szCs w:val="22"/>
              </w:rPr>
              <w:t xml:space="preserve">16 pav. Sergamumas ŽIV Šiaulių mieste ir Lietuvos Respublikoje </w:t>
            </w:r>
            <w:r>
              <w:rPr>
                <w:sz w:val="22"/>
                <w:szCs w:val="22"/>
              </w:rPr>
              <w:t>2004-2009 m. (10 000 gyv.).</w:t>
            </w:r>
            <w:r w:rsidRPr="00F0185C">
              <w:rPr>
                <w:sz w:val="22"/>
                <w:szCs w:val="22"/>
              </w:rPr>
              <w:t>....</w:t>
            </w:r>
            <w:r>
              <w:rPr>
                <w:sz w:val="22"/>
                <w:szCs w:val="22"/>
              </w:rPr>
              <w:t>.....</w:t>
            </w:r>
            <w:r w:rsidRPr="00F0185C">
              <w:rPr>
                <w:sz w:val="22"/>
                <w:szCs w:val="22"/>
              </w:rPr>
              <w:t>....</w:t>
            </w:r>
            <w:r>
              <w:rPr>
                <w:sz w:val="22"/>
                <w:szCs w:val="22"/>
              </w:rPr>
              <w:t>41</w:t>
            </w:r>
          </w:p>
        </w:tc>
      </w:tr>
      <w:tr w:rsidR="00995BE0" w:rsidTr="00761A5B">
        <w:tc>
          <w:tcPr>
            <w:tcW w:w="9606" w:type="dxa"/>
          </w:tcPr>
          <w:p w:rsidR="00995BE0" w:rsidRPr="00F0185C" w:rsidRDefault="00995BE0" w:rsidP="00C734B5">
            <w:pPr>
              <w:ind w:right="9"/>
              <w:jc w:val="both"/>
            </w:pPr>
            <w:r w:rsidRPr="00F0185C">
              <w:rPr>
                <w:sz w:val="22"/>
                <w:szCs w:val="22"/>
              </w:rPr>
              <w:t>17 pav. Savivaldybių visuomenės sveikatos biurų plėtra (2009 m.) .....................</w:t>
            </w:r>
            <w:r>
              <w:rPr>
                <w:sz w:val="22"/>
                <w:szCs w:val="22"/>
              </w:rPr>
              <w:t>.......................</w:t>
            </w:r>
            <w:r w:rsidRPr="00F0185C">
              <w:rPr>
                <w:sz w:val="22"/>
                <w:szCs w:val="22"/>
              </w:rPr>
              <w:t>...</w:t>
            </w:r>
            <w:r>
              <w:rPr>
                <w:sz w:val="22"/>
                <w:szCs w:val="22"/>
              </w:rPr>
              <w:t>........</w:t>
            </w:r>
            <w:r w:rsidRPr="00F0185C">
              <w:rPr>
                <w:sz w:val="22"/>
                <w:szCs w:val="22"/>
              </w:rPr>
              <w:t>...6</w:t>
            </w:r>
            <w:r>
              <w:rPr>
                <w:sz w:val="22"/>
                <w:szCs w:val="22"/>
              </w:rPr>
              <w:t>3</w:t>
            </w:r>
          </w:p>
        </w:tc>
      </w:tr>
      <w:tr w:rsidR="00995BE0" w:rsidTr="00761A5B">
        <w:tc>
          <w:tcPr>
            <w:tcW w:w="9606" w:type="dxa"/>
          </w:tcPr>
          <w:p w:rsidR="00995BE0" w:rsidRPr="00F0185C" w:rsidRDefault="00995BE0" w:rsidP="00C734B5">
            <w:pPr>
              <w:ind w:right="9"/>
              <w:jc w:val="both"/>
            </w:pPr>
            <w:r w:rsidRPr="00F0185C">
              <w:rPr>
                <w:sz w:val="22"/>
                <w:szCs w:val="22"/>
              </w:rPr>
              <w:t>18 pav. Sveikatą stiprinančios mokyklos koncepcija..............................................</w:t>
            </w:r>
            <w:r>
              <w:rPr>
                <w:sz w:val="22"/>
                <w:szCs w:val="22"/>
              </w:rPr>
              <w:t>......................</w:t>
            </w:r>
            <w:r w:rsidRPr="00F0185C">
              <w:rPr>
                <w:sz w:val="22"/>
                <w:szCs w:val="22"/>
              </w:rPr>
              <w:t>.</w:t>
            </w:r>
            <w:r>
              <w:rPr>
                <w:sz w:val="22"/>
                <w:szCs w:val="22"/>
              </w:rPr>
              <w:t>...........</w:t>
            </w:r>
            <w:r w:rsidRPr="00F0185C">
              <w:rPr>
                <w:sz w:val="22"/>
                <w:szCs w:val="22"/>
              </w:rPr>
              <w:t>..7</w:t>
            </w:r>
            <w:r>
              <w:rPr>
                <w:sz w:val="22"/>
                <w:szCs w:val="22"/>
              </w:rPr>
              <w:t>2</w:t>
            </w:r>
          </w:p>
        </w:tc>
      </w:tr>
      <w:tr w:rsidR="00995BE0" w:rsidTr="00761A5B">
        <w:tc>
          <w:tcPr>
            <w:tcW w:w="9606" w:type="dxa"/>
          </w:tcPr>
          <w:p w:rsidR="00995BE0" w:rsidRPr="00F0185C" w:rsidRDefault="00995BE0" w:rsidP="00F85BB5">
            <w:pPr>
              <w:jc w:val="both"/>
            </w:pPr>
            <w:r w:rsidRPr="00F0185C">
              <w:rPr>
                <w:bCs/>
                <w:sz w:val="22"/>
                <w:szCs w:val="22"/>
              </w:rPr>
              <w:t xml:space="preserve">19 pav. </w:t>
            </w:r>
            <w:r w:rsidRPr="00F0185C">
              <w:rPr>
                <w:sz w:val="22"/>
                <w:szCs w:val="22"/>
              </w:rPr>
              <w:t>Suaugusių ir vaikų sergamumas Šiaulių mieste, Šiaulių apskrityje ir Lietuvos Respublikoje 2009 m. (naujai užregistruoti susirgimai ambulatorinę pagalbą teikiančiose įstaigose 1 000-ui vaikų ir 1 000-ui suaugusiųjų)</w:t>
            </w:r>
            <w:r>
              <w:rPr>
                <w:sz w:val="22"/>
                <w:szCs w:val="22"/>
              </w:rPr>
              <w:t>..............................................................................................</w:t>
            </w:r>
            <w:r w:rsidRPr="00F0185C">
              <w:rPr>
                <w:bCs/>
                <w:sz w:val="22"/>
                <w:szCs w:val="22"/>
              </w:rPr>
              <w:t>................</w:t>
            </w:r>
            <w:r>
              <w:rPr>
                <w:bCs/>
                <w:sz w:val="22"/>
                <w:szCs w:val="22"/>
              </w:rPr>
              <w:t>.......................</w:t>
            </w:r>
            <w:r w:rsidRPr="00F0185C">
              <w:rPr>
                <w:bCs/>
                <w:sz w:val="22"/>
                <w:szCs w:val="22"/>
              </w:rPr>
              <w:t>.</w:t>
            </w:r>
            <w:r>
              <w:rPr>
                <w:bCs/>
                <w:sz w:val="22"/>
                <w:szCs w:val="22"/>
              </w:rPr>
              <w:t>........</w:t>
            </w:r>
            <w:r w:rsidRPr="00F0185C">
              <w:rPr>
                <w:bCs/>
                <w:sz w:val="22"/>
                <w:szCs w:val="22"/>
              </w:rPr>
              <w:t>.</w:t>
            </w:r>
            <w:r>
              <w:rPr>
                <w:bCs/>
                <w:sz w:val="22"/>
                <w:szCs w:val="22"/>
              </w:rPr>
              <w:t>.</w:t>
            </w:r>
            <w:r w:rsidRPr="00F0185C">
              <w:rPr>
                <w:bCs/>
                <w:sz w:val="22"/>
                <w:szCs w:val="22"/>
              </w:rPr>
              <w:t>..8</w:t>
            </w:r>
            <w:r>
              <w:rPr>
                <w:bCs/>
                <w:sz w:val="22"/>
                <w:szCs w:val="22"/>
              </w:rPr>
              <w:t>6</w:t>
            </w:r>
          </w:p>
        </w:tc>
      </w:tr>
      <w:tr w:rsidR="00995BE0" w:rsidTr="00761A5B">
        <w:tc>
          <w:tcPr>
            <w:tcW w:w="9606" w:type="dxa"/>
          </w:tcPr>
          <w:p w:rsidR="00995BE0" w:rsidRPr="00F0185C" w:rsidRDefault="00995BE0" w:rsidP="00C734B5">
            <w:pPr>
              <w:ind w:right="9"/>
              <w:jc w:val="both"/>
            </w:pPr>
            <w:r w:rsidRPr="00F0185C">
              <w:rPr>
                <w:sz w:val="22"/>
                <w:szCs w:val="22"/>
              </w:rPr>
              <w:t>20 pav. Profilaktiškai pasitikrinusių mokinių sergamumas pagal ligų klases Šiaulių mieste 2010/11 m. m. (proc.)...............................................................</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w:t>
            </w:r>
            <w:r>
              <w:rPr>
                <w:sz w:val="22"/>
                <w:szCs w:val="22"/>
              </w:rPr>
              <w:t>.....</w:t>
            </w:r>
            <w:r w:rsidRPr="00F0185C">
              <w:rPr>
                <w:sz w:val="22"/>
                <w:szCs w:val="22"/>
              </w:rPr>
              <w:t>8</w:t>
            </w:r>
            <w:r>
              <w:rPr>
                <w:sz w:val="22"/>
                <w:szCs w:val="22"/>
              </w:rPr>
              <w:t>7</w:t>
            </w:r>
          </w:p>
        </w:tc>
      </w:tr>
      <w:tr w:rsidR="00995BE0" w:rsidTr="00761A5B">
        <w:tc>
          <w:tcPr>
            <w:tcW w:w="9606" w:type="dxa"/>
          </w:tcPr>
          <w:p w:rsidR="00995BE0" w:rsidRPr="00F0185C" w:rsidRDefault="00995BE0" w:rsidP="00C734B5">
            <w:pPr>
              <w:jc w:val="both"/>
            </w:pPr>
            <w:r w:rsidRPr="00F0185C">
              <w:rPr>
                <w:sz w:val="22"/>
                <w:szCs w:val="22"/>
              </w:rPr>
              <w:t>21 pav. Mokinių rūkymo dažnis (proc.)..</w:t>
            </w:r>
            <w:r>
              <w:rPr>
                <w:sz w:val="22"/>
                <w:szCs w:val="22"/>
              </w:rPr>
              <w:t>...............................................................................................</w:t>
            </w:r>
            <w:r w:rsidRPr="00F0185C">
              <w:rPr>
                <w:sz w:val="22"/>
                <w:szCs w:val="22"/>
              </w:rPr>
              <w:t>.</w:t>
            </w:r>
            <w:r>
              <w:rPr>
                <w:sz w:val="22"/>
                <w:szCs w:val="22"/>
              </w:rPr>
              <w:t>..</w:t>
            </w:r>
            <w:r w:rsidRPr="00F0185C">
              <w:rPr>
                <w:sz w:val="22"/>
                <w:szCs w:val="22"/>
              </w:rPr>
              <w:t>...8</w:t>
            </w:r>
            <w:r>
              <w:rPr>
                <w:sz w:val="22"/>
                <w:szCs w:val="22"/>
              </w:rPr>
              <w:t>8</w:t>
            </w:r>
          </w:p>
        </w:tc>
      </w:tr>
      <w:tr w:rsidR="00995BE0" w:rsidTr="00761A5B">
        <w:tc>
          <w:tcPr>
            <w:tcW w:w="9606" w:type="dxa"/>
          </w:tcPr>
          <w:p w:rsidR="00995BE0" w:rsidRPr="00F0185C" w:rsidRDefault="00995BE0" w:rsidP="00C734B5">
            <w:pPr>
              <w:jc w:val="both"/>
            </w:pPr>
            <w:r w:rsidRPr="00F0185C">
              <w:rPr>
                <w:sz w:val="22"/>
                <w:szCs w:val="22"/>
              </w:rPr>
              <w:t>22 pav. Amžius kada pirmą kartą mokiniai surūkė cigaretę (proc.)</w:t>
            </w:r>
            <w:r>
              <w:rPr>
                <w:sz w:val="22"/>
                <w:szCs w:val="22"/>
              </w:rPr>
              <w:t>.............................................................</w:t>
            </w:r>
            <w:r w:rsidRPr="00F0185C">
              <w:rPr>
                <w:sz w:val="22"/>
                <w:szCs w:val="22"/>
              </w:rPr>
              <w:t>8</w:t>
            </w:r>
            <w:r>
              <w:rPr>
                <w:sz w:val="22"/>
                <w:szCs w:val="22"/>
              </w:rPr>
              <w:t>8</w:t>
            </w:r>
          </w:p>
        </w:tc>
      </w:tr>
      <w:tr w:rsidR="00995BE0" w:rsidTr="00761A5B">
        <w:tc>
          <w:tcPr>
            <w:tcW w:w="9606" w:type="dxa"/>
          </w:tcPr>
          <w:p w:rsidR="00995BE0" w:rsidRPr="00F0185C" w:rsidRDefault="00995BE0" w:rsidP="00C734B5">
            <w:pPr>
              <w:jc w:val="both"/>
            </w:pPr>
            <w:r w:rsidRPr="00F0185C">
              <w:rPr>
                <w:sz w:val="22"/>
                <w:szCs w:val="22"/>
              </w:rPr>
              <w:t xml:space="preserve">23 pav. Mokinių pasiskirstymas pagal tai kiek kartų per pastaruosius </w:t>
            </w:r>
            <w:r>
              <w:rPr>
                <w:sz w:val="22"/>
                <w:szCs w:val="22"/>
              </w:rPr>
              <w:t>12 mėn. buvo susižeidę (proc.)</w:t>
            </w:r>
            <w:r w:rsidRPr="00F0185C">
              <w:rPr>
                <w:sz w:val="22"/>
                <w:szCs w:val="22"/>
              </w:rPr>
              <w:t>....</w:t>
            </w:r>
            <w:r>
              <w:rPr>
                <w:sz w:val="22"/>
                <w:szCs w:val="22"/>
              </w:rPr>
              <w:t>..91</w:t>
            </w:r>
          </w:p>
        </w:tc>
      </w:tr>
      <w:tr w:rsidR="00995BE0" w:rsidTr="00761A5B">
        <w:tc>
          <w:tcPr>
            <w:tcW w:w="9606" w:type="dxa"/>
          </w:tcPr>
          <w:p w:rsidR="00995BE0" w:rsidRPr="00F0185C" w:rsidRDefault="00995BE0" w:rsidP="00D07FC0">
            <w:pPr>
              <w:jc w:val="both"/>
            </w:pPr>
            <w:r>
              <w:rPr>
                <w:sz w:val="22"/>
                <w:szCs w:val="22"/>
              </w:rPr>
              <w:t>24 pav.</w:t>
            </w:r>
            <w:r w:rsidRPr="00F0185C">
              <w:rPr>
                <w:bCs/>
                <w:sz w:val="22"/>
                <w:szCs w:val="22"/>
              </w:rPr>
              <w:t xml:space="preserve"> ES valstybi</w:t>
            </w:r>
            <w:r w:rsidRPr="00F0185C">
              <w:rPr>
                <w:sz w:val="22"/>
                <w:szCs w:val="22"/>
              </w:rPr>
              <w:t xml:space="preserve">ų </w:t>
            </w:r>
            <w:r w:rsidRPr="00F0185C">
              <w:rPr>
                <w:bCs/>
                <w:sz w:val="22"/>
                <w:szCs w:val="22"/>
              </w:rPr>
              <w:t>nari</w:t>
            </w:r>
            <w:r w:rsidRPr="00F0185C">
              <w:rPr>
                <w:sz w:val="22"/>
                <w:szCs w:val="22"/>
              </w:rPr>
              <w:t xml:space="preserve">ų </w:t>
            </w:r>
            <w:r w:rsidRPr="00F0185C">
              <w:rPr>
                <w:bCs/>
                <w:sz w:val="22"/>
                <w:szCs w:val="22"/>
              </w:rPr>
              <w:t>gyventoj</w:t>
            </w:r>
            <w:r w:rsidRPr="00F0185C">
              <w:rPr>
                <w:sz w:val="22"/>
                <w:szCs w:val="22"/>
              </w:rPr>
              <w:t xml:space="preserve">ų </w:t>
            </w:r>
            <w:r w:rsidRPr="00F0185C">
              <w:rPr>
                <w:bCs/>
                <w:sz w:val="22"/>
                <w:szCs w:val="22"/>
              </w:rPr>
              <w:t>pasiskirstymas pagal amžiaus grupes</w:t>
            </w:r>
            <w:r>
              <w:rPr>
                <w:bCs/>
                <w:sz w:val="22"/>
                <w:szCs w:val="22"/>
              </w:rPr>
              <w:t xml:space="preserve"> (1950–2050 m.)</w:t>
            </w:r>
            <w:r>
              <w:rPr>
                <w:sz w:val="22"/>
                <w:szCs w:val="22"/>
              </w:rPr>
              <w:t>........</w:t>
            </w:r>
            <w:r w:rsidRPr="00F0185C">
              <w:rPr>
                <w:sz w:val="22"/>
                <w:szCs w:val="22"/>
              </w:rPr>
              <w:t>....</w:t>
            </w:r>
            <w:r>
              <w:rPr>
                <w:sz w:val="22"/>
                <w:szCs w:val="22"/>
              </w:rPr>
              <w:t>........93</w:t>
            </w:r>
          </w:p>
        </w:tc>
      </w:tr>
      <w:tr w:rsidR="00995BE0" w:rsidTr="00761A5B">
        <w:tc>
          <w:tcPr>
            <w:tcW w:w="9606" w:type="dxa"/>
          </w:tcPr>
          <w:p w:rsidR="00995BE0" w:rsidRPr="00F0185C" w:rsidRDefault="00995BE0" w:rsidP="00761A5B">
            <w:pPr>
              <w:jc w:val="both"/>
            </w:pPr>
            <w:r w:rsidRPr="00F0185C">
              <w:rPr>
                <w:sz w:val="22"/>
                <w:szCs w:val="22"/>
              </w:rPr>
              <w:t>25 pav.</w:t>
            </w:r>
            <w:r w:rsidRPr="00F0185C">
              <w:rPr>
                <w:bCs/>
                <w:sz w:val="22"/>
                <w:szCs w:val="22"/>
              </w:rPr>
              <w:t xml:space="preserve"> Socialinių – ekonominių veiksnių poveikis gyventojų sveikatai</w:t>
            </w:r>
            <w:r w:rsidRPr="00F0185C">
              <w:rPr>
                <w:sz w:val="22"/>
                <w:szCs w:val="22"/>
              </w:rPr>
              <w:t>..........</w:t>
            </w:r>
            <w:r>
              <w:rPr>
                <w:sz w:val="22"/>
                <w:szCs w:val="22"/>
              </w:rPr>
              <w:t>..........................</w:t>
            </w:r>
            <w:r w:rsidRPr="00F0185C">
              <w:rPr>
                <w:sz w:val="22"/>
                <w:szCs w:val="22"/>
              </w:rPr>
              <w:t>.</w:t>
            </w:r>
            <w:r>
              <w:rPr>
                <w:sz w:val="22"/>
                <w:szCs w:val="22"/>
              </w:rPr>
              <w:t>................95</w:t>
            </w:r>
          </w:p>
        </w:tc>
      </w:tr>
      <w:tr w:rsidR="00995BE0" w:rsidTr="00761A5B">
        <w:tc>
          <w:tcPr>
            <w:tcW w:w="9606" w:type="dxa"/>
          </w:tcPr>
          <w:p w:rsidR="00995BE0" w:rsidRPr="00F0185C" w:rsidRDefault="00995BE0" w:rsidP="00C734B5">
            <w:pPr>
              <w:jc w:val="both"/>
            </w:pPr>
            <w:r w:rsidRPr="00F0185C">
              <w:rPr>
                <w:sz w:val="22"/>
                <w:szCs w:val="22"/>
              </w:rPr>
              <w:t>26 pav. Vidutinė tikėtina gyvenimo trukmė Šiaulių mieste, Lietuvos Respublikoje ir ES pagal lytį. 2006-2008 metų vidurkis (metais)..</w:t>
            </w:r>
            <w:r>
              <w:rPr>
                <w:sz w:val="22"/>
                <w:szCs w:val="22"/>
              </w:rPr>
              <w:t>....................................................................................................................</w:t>
            </w:r>
            <w:r w:rsidRPr="00F0185C">
              <w:rPr>
                <w:sz w:val="22"/>
                <w:szCs w:val="22"/>
              </w:rPr>
              <w:t>..</w:t>
            </w:r>
            <w:r>
              <w:rPr>
                <w:sz w:val="22"/>
                <w:szCs w:val="22"/>
              </w:rPr>
              <w:t>.96</w:t>
            </w:r>
          </w:p>
        </w:tc>
      </w:tr>
      <w:tr w:rsidR="00995BE0" w:rsidTr="00761A5B">
        <w:tc>
          <w:tcPr>
            <w:tcW w:w="9606" w:type="dxa"/>
          </w:tcPr>
          <w:p w:rsidR="00995BE0" w:rsidRPr="00F0185C" w:rsidRDefault="00995BE0" w:rsidP="00D07FC0">
            <w:pPr>
              <w:jc w:val="both"/>
            </w:pPr>
            <w:r w:rsidRPr="00F0185C">
              <w:rPr>
                <w:sz w:val="22"/>
                <w:szCs w:val="22"/>
              </w:rPr>
              <w:t>27 pav. Gyventojų mirtingumas ES, Lietuvoje, Šiaulių mieste ir apsk</w:t>
            </w:r>
            <w:r>
              <w:rPr>
                <w:sz w:val="22"/>
                <w:szCs w:val="22"/>
              </w:rPr>
              <w:t>rityje 2008 m. (1 000 gyv.).....</w:t>
            </w:r>
            <w:r w:rsidRPr="00F0185C">
              <w:rPr>
                <w:sz w:val="22"/>
                <w:szCs w:val="22"/>
              </w:rPr>
              <w:t>..</w:t>
            </w:r>
            <w:r>
              <w:rPr>
                <w:sz w:val="22"/>
                <w:szCs w:val="22"/>
              </w:rPr>
              <w:t>......97</w:t>
            </w:r>
          </w:p>
        </w:tc>
      </w:tr>
      <w:tr w:rsidR="00995BE0" w:rsidTr="00761A5B">
        <w:tc>
          <w:tcPr>
            <w:tcW w:w="9606" w:type="dxa"/>
          </w:tcPr>
          <w:p w:rsidR="00995BE0" w:rsidRPr="00F0185C" w:rsidRDefault="00995BE0" w:rsidP="00C734B5">
            <w:pPr>
              <w:jc w:val="both"/>
            </w:pPr>
            <w:r w:rsidRPr="00F0185C">
              <w:rPr>
                <w:sz w:val="22"/>
                <w:szCs w:val="22"/>
              </w:rPr>
              <w:t>28 pav.</w:t>
            </w:r>
            <w:r>
              <w:rPr>
                <w:sz w:val="22"/>
                <w:szCs w:val="22"/>
              </w:rPr>
              <w:t xml:space="preserve"> Šiaulių visuomenės sveikatos biuro veiklos trūkumai ir jų tarpusavio ryšiai............................</w:t>
            </w:r>
            <w:r w:rsidRPr="00F0185C">
              <w:rPr>
                <w:sz w:val="22"/>
                <w:szCs w:val="22"/>
              </w:rPr>
              <w:t>.</w:t>
            </w:r>
            <w:r>
              <w:rPr>
                <w:sz w:val="22"/>
                <w:szCs w:val="22"/>
              </w:rPr>
              <w:t>..</w:t>
            </w:r>
            <w:r w:rsidRPr="00F0185C">
              <w:rPr>
                <w:sz w:val="22"/>
                <w:szCs w:val="22"/>
              </w:rPr>
              <w:t>.</w:t>
            </w:r>
            <w:r>
              <w:rPr>
                <w:sz w:val="22"/>
                <w:szCs w:val="22"/>
              </w:rPr>
              <w:t>101</w:t>
            </w:r>
          </w:p>
        </w:tc>
      </w:tr>
    </w:tbl>
    <w:p w:rsidR="00995BE0" w:rsidRPr="001D71BB" w:rsidRDefault="00995BE0" w:rsidP="00E31F9E">
      <w:pPr>
        <w:pStyle w:val="Antrat1"/>
      </w:pPr>
      <w:r>
        <w:br w:type="page"/>
      </w:r>
      <w:bookmarkStart w:id="19" w:name="_Toc293248611"/>
      <w:r>
        <w:lastRenderedPageBreak/>
        <w:t>PRIEDŲ SĄRAŠAS</w:t>
      </w:r>
      <w:bookmarkEnd w:id="19"/>
    </w:p>
    <w:tbl>
      <w:tblPr>
        <w:tblW w:w="0" w:type="auto"/>
        <w:tblLook w:val="01E0"/>
      </w:tblPr>
      <w:tblGrid>
        <w:gridCol w:w="9749"/>
      </w:tblGrid>
      <w:tr w:rsidR="00995BE0" w:rsidTr="00C734B5">
        <w:tc>
          <w:tcPr>
            <w:tcW w:w="9749" w:type="dxa"/>
          </w:tcPr>
          <w:p w:rsidR="00995BE0" w:rsidRPr="00761A5B" w:rsidRDefault="00995BE0" w:rsidP="00C734B5">
            <w:pPr>
              <w:tabs>
                <w:tab w:val="left" w:pos="360"/>
                <w:tab w:val="left" w:pos="397"/>
              </w:tabs>
              <w:autoSpaceDE w:val="0"/>
              <w:autoSpaceDN w:val="0"/>
              <w:adjustRightInd w:val="0"/>
              <w:jc w:val="both"/>
            </w:pPr>
            <w:r w:rsidRPr="00761A5B">
              <w:rPr>
                <w:sz w:val="22"/>
                <w:szCs w:val="22"/>
              </w:rPr>
              <w:t>1 priedas. Pagrindiniai teisės aktai, kuriais remiasi visuomenės sveikatos biuro stiprinimo skyriaus veikla.....................................................................................................................................</w:t>
            </w:r>
            <w:r>
              <w:rPr>
                <w:sz w:val="22"/>
                <w:szCs w:val="22"/>
              </w:rPr>
              <w:t>..........</w:t>
            </w:r>
            <w:r w:rsidRPr="00761A5B">
              <w:rPr>
                <w:sz w:val="22"/>
                <w:szCs w:val="22"/>
              </w:rPr>
              <w:t>.............1</w:t>
            </w:r>
            <w:r>
              <w:rPr>
                <w:sz w:val="22"/>
                <w:szCs w:val="22"/>
              </w:rPr>
              <w:t>20</w:t>
            </w:r>
          </w:p>
        </w:tc>
      </w:tr>
      <w:tr w:rsidR="00995BE0" w:rsidTr="00C734B5">
        <w:tc>
          <w:tcPr>
            <w:tcW w:w="9749" w:type="dxa"/>
          </w:tcPr>
          <w:p w:rsidR="00995BE0" w:rsidRPr="00761A5B" w:rsidRDefault="00995BE0" w:rsidP="00C734B5">
            <w:pPr>
              <w:tabs>
                <w:tab w:val="left" w:pos="360"/>
                <w:tab w:val="left" w:pos="397"/>
              </w:tabs>
              <w:autoSpaceDE w:val="0"/>
              <w:autoSpaceDN w:val="0"/>
              <w:adjustRightInd w:val="0"/>
              <w:jc w:val="both"/>
            </w:pPr>
            <w:r w:rsidRPr="00761A5B">
              <w:rPr>
                <w:sz w:val="22"/>
                <w:szCs w:val="22"/>
              </w:rPr>
              <w:t>2 priedas. S</w:t>
            </w:r>
            <w:r w:rsidRPr="00761A5B">
              <w:rPr>
                <w:iCs/>
                <w:sz w:val="22"/>
                <w:szCs w:val="22"/>
              </w:rPr>
              <w:t>veikatos stiprinimo programų kokybės ir atitikties pirmojo lygmens sveikatą stiprinančios mokyklos kriterijams vertinimo išvada...................................................................................</w:t>
            </w:r>
            <w:r>
              <w:rPr>
                <w:iCs/>
                <w:sz w:val="22"/>
                <w:szCs w:val="22"/>
              </w:rPr>
              <w:t>..</w:t>
            </w:r>
            <w:r w:rsidRPr="00761A5B">
              <w:rPr>
                <w:iCs/>
                <w:sz w:val="22"/>
                <w:szCs w:val="22"/>
              </w:rPr>
              <w:t>..</w:t>
            </w:r>
            <w:r>
              <w:rPr>
                <w:iCs/>
                <w:sz w:val="22"/>
                <w:szCs w:val="22"/>
              </w:rPr>
              <w:t>.......</w:t>
            </w:r>
            <w:r w:rsidRPr="00761A5B">
              <w:rPr>
                <w:iCs/>
                <w:sz w:val="22"/>
                <w:szCs w:val="22"/>
              </w:rPr>
              <w:t>...........</w:t>
            </w:r>
            <w:r w:rsidRPr="00761A5B">
              <w:rPr>
                <w:sz w:val="22"/>
                <w:szCs w:val="22"/>
              </w:rPr>
              <w:t>1</w:t>
            </w:r>
            <w:r>
              <w:rPr>
                <w:sz w:val="22"/>
                <w:szCs w:val="22"/>
              </w:rPr>
              <w:t>22</w:t>
            </w:r>
          </w:p>
        </w:tc>
      </w:tr>
      <w:tr w:rsidR="00995BE0" w:rsidTr="00C734B5">
        <w:tc>
          <w:tcPr>
            <w:tcW w:w="9749" w:type="dxa"/>
          </w:tcPr>
          <w:p w:rsidR="00995BE0" w:rsidRPr="00761A5B" w:rsidRDefault="00995BE0" w:rsidP="00C734B5">
            <w:pPr>
              <w:autoSpaceDE w:val="0"/>
              <w:autoSpaceDN w:val="0"/>
              <w:adjustRightInd w:val="0"/>
              <w:jc w:val="both"/>
              <w:rPr>
                <w:noProof/>
              </w:rPr>
            </w:pPr>
            <w:r w:rsidRPr="00761A5B">
              <w:rPr>
                <w:noProof/>
                <w:sz w:val="22"/>
                <w:szCs w:val="22"/>
              </w:rPr>
              <w:t>3 priedas. S</w:t>
            </w:r>
            <w:r w:rsidRPr="00761A5B">
              <w:rPr>
                <w:iCs/>
                <w:sz w:val="22"/>
                <w:szCs w:val="22"/>
              </w:rPr>
              <w:t>veikatos stiprinimo programų kokybės ir atitikties antrojo lygmens sveikatą stiprinančios mokyklos kriterijams vertinimo išvada................................................................................</w:t>
            </w:r>
            <w:r>
              <w:rPr>
                <w:iCs/>
                <w:sz w:val="22"/>
                <w:szCs w:val="22"/>
              </w:rPr>
              <w:t>..</w:t>
            </w:r>
            <w:r w:rsidRPr="00761A5B">
              <w:rPr>
                <w:iCs/>
                <w:sz w:val="22"/>
                <w:szCs w:val="22"/>
              </w:rPr>
              <w:t>....</w:t>
            </w:r>
            <w:r>
              <w:rPr>
                <w:iCs/>
                <w:sz w:val="22"/>
                <w:szCs w:val="22"/>
              </w:rPr>
              <w:t>......</w:t>
            </w:r>
            <w:r w:rsidRPr="00761A5B">
              <w:rPr>
                <w:iCs/>
                <w:sz w:val="22"/>
                <w:szCs w:val="22"/>
              </w:rPr>
              <w:t>............ 12</w:t>
            </w:r>
            <w:r>
              <w:rPr>
                <w:iCs/>
                <w:sz w:val="22"/>
                <w:szCs w:val="22"/>
              </w:rPr>
              <w:t>4</w:t>
            </w:r>
          </w:p>
        </w:tc>
      </w:tr>
      <w:tr w:rsidR="00995BE0" w:rsidTr="00C734B5">
        <w:tc>
          <w:tcPr>
            <w:tcW w:w="9749" w:type="dxa"/>
          </w:tcPr>
          <w:p w:rsidR="00995BE0" w:rsidRPr="00761A5B" w:rsidRDefault="00995BE0" w:rsidP="00C734B5">
            <w:pPr>
              <w:autoSpaceDE w:val="0"/>
              <w:autoSpaceDN w:val="0"/>
              <w:adjustRightInd w:val="0"/>
              <w:jc w:val="both"/>
              <w:rPr>
                <w:noProof/>
              </w:rPr>
            </w:pPr>
            <w:r w:rsidRPr="00761A5B">
              <w:rPr>
                <w:sz w:val="22"/>
                <w:szCs w:val="22"/>
              </w:rPr>
              <w:t>4 priedo 1 lentelė.</w:t>
            </w:r>
            <w:r w:rsidRPr="00761A5B">
              <w:rPr>
                <w:b/>
                <w:sz w:val="22"/>
                <w:szCs w:val="22"/>
              </w:rPr>
              <w:t xml:space="preserve"> </w:t>
            </w:r>
            <w:r w:rsidRPr="00761A5B">
              <w:rPr>
                <w:sz w:val="22"/>
                <w:szCs w:val="22"/>
              </w:rPr>
              <w:t>Privalomojo higienos įgūdžių mokymo programa...................................</w:t>
            </w:r>
            <w:r>
              <w:rPr>
                <w:sz w:val="22"/>
                <w:szCs w:val="22"/>
              </w:rPr>
              <w:t>.</w:t>
            </w:r>
            <w:r w:rsidRPr="00761A5B">
              <w:rPr>
                <w:sz w:val="22"/>
                <w:szCs w:val="22"/>
              </w:rPr>
              <w:t>.......</w:t>
            </w:r>
            <w:r>
              <w:rPr>
                <w:sz w:val="22"/>
                <w:szCs w:val="22"/>
              </w:rPr>
              <w:t>....</w:t>
            </w:r>
            <w:r w:rsidRPr="00761A5B">
              <w:rPr>
                <w:sz w:val="22"/>
                <w:szCs w:val="22"/>
              </w:rPr>
              <w:t>...........12</w:t>
            </w:r>
            <w:r>
              <w:rPr>
                <w:sz w:val="22"/>
                <w:szCs w:val="22"/>
              </w:rPr>
              <w:t>5</w:t>
            </w:r>
          </w:p>
        </w:tc>
      </w:tr>
      <w:tr w:rsidR="00995BE0" w:rsidTr="00C734B5">
        <w:tc>
          <w:tcPr>
            <w:tcW w:w="9749" w:type="dxa"/>
          </w:tcPr>
          <w:p w:rsidR="00995BE0" w:rsidRPr="00761A5B" w:rsidRDefault="00995BE0" w:rsidP="00C734B5">
            <w:pPr>
              <w:tabs>
                <w:tab w:val="left" w:pos="360"/>
                <w:tab w:val="left" w:pos="397"/>
              </w:tabs>
              <w:autoSpaceDE w:val="0"/>
              <w:autoSpaceDN w:val="0"/>
              <w:adjustRightInd w:val="0"/>
              <w:jc w:val="both"/>
              <w:rPr>
                <w:bCs/>
              </w:rPr>
            </w:pPr>
            <w:r w:rsidRPr="00761A5B">
              <w:rPr>
                <w:bCs/>
                <w:sz w:val="22"/>
                <w:szCs w:val="22"/>
              </w:rPr>
              <w:t>4 priedo 2 lentelė. P</w:t>
            </w:r>
            <w:r w:rsidRPr="00761A5B">
              <w:rPr>
                <w:sz w:val="22"/>
                <w:szCs w:val="22"/>
              </w:rPr>
              <w:t>rivalomojo mokymo apie alkoholio ir narkotikų žalą žmogaus sveikatai mokymo programa..........................................................................................................................................</w:t>
            </w:r>
            <w:r>
              <w:rPr>
                <w:sz w:val="22"/>
                <w:szCs w:val="22"/>
              </w:rPr>
              <w:t>........</w:t>
            </w:r>
            <w:r w:rsidRPr="00761A5B">
              <w:rPr>
                <w:sz w:val="22"/>
                <w:szCs w:val="22"/>
              </w:rPr>
              <w:t>.</w:t>
            </w:r>
            <w:r>
              <w:rPr>
                <w:sz w:val="22"/>
                <w:szCs w:val="22"/>
              </w:rPr>
              <w:t>..</w:t>
            </w:r>
            <w:r w:rsidRPr="00761A5B">
              <w:rPr>
                <w:sz w:val="22"/>
                <w:szCs w:val="22"/>
              </w:rPr>
              <w:t>.</w:t>
            </w:r>
            <w:r>
              <w:rPr>
                <w:sz w:val="22"/>
                <w:szCs w:val="22"/>
              </w:rPr>
              <w:t>.</w:t>
            </w:r>
            <w:r w:rsidRPr="00761A5B">
              <w:rPr>
                <w:sz w:val="22"/>
                <w:szCs w:val="22"/>
              </w:rPr>
              <w:t>12</w:t>
            </w:r>
            <w:r>
              <w:rPr>
                <w:sz w:val="22"/>
                <w:szCs w:val="22"/>
              </w:rPr>
              <w:t>8</w:t>
            </w:r>
          </w:p>
        </w:tc>
      </w:tr>
      <w:tr w:rsidR="00995BE0" w:rsidRPr="00761A5B" w:rsidTr="00C734B5">
        <w:tc>
          <w:tcPr>
            <w:tcW w:w="9749" w:type="dxa"/>
          </w:tcPr>
          <w:p w:rsidR="00995BE0" w:rsidRPr="00761A5B" w:rsidRDefault="00995BE0" w:rsidP="00C734B5">
            <w:pPr>
              <w:tabs>
                <w:tab w:val="left" w:pos="360"/>
                <w:tab w:val="left" w:pos="397"/>
              </w:tabs>
              <w:autoSpaceDE w:val="0"/>
              <w:autoSpaceDN w:val="0"/>
              <w:adjustRightInd w:val="0"/>
              <w:jc w:val="both"/>
              <w:rPr>
                <w:bCs/>
              </w:rPr>
            </w:pPr>
            <w:r w:rsidRPr="00761A5B">
              <w:rPr>
                <w:sz w:val="22"/>
                <w:szCs w:val="22"/>
              </w:rPr>
              <w:t>5 priedas. Privalomųjų higieninių įgūdžių ir pirmosios pagalbos mokymo kursų, įkainiai 1 asmeniui..........................................................................................................................................</w:t>
            </w:r>
            <w:r>
              <w:rPr>
                <w:sz w:val="22"/>
                <w:szCs w:val="22"/>
              </w:rPr>
              <w:t>........</w:t>
            </w:r>
            <w:r w:rsidRPr="00761A5B">
              <w:rPr>
                <w:sz w:val="22"/>
                <w:szCs w:val="22"/>
              </w:rPr>
              <w:t>..</w:t>
            </w:r>
            <w:r>
              <w:rPr>
                <w:sz w:val="22"/>
                <w:szCs w:val="22"/>
              </w:rPr>
              <w:t>...</w:t>
            </w:r>
            <w:r w:rsidRPr="00761A5B">
              <w:rPr>
                <w:sz w:val="22"/>
                <w:szCs w:val="22"/>
              </w:rPr>
              <w:t>1</w:t>
            </w:r>
            <w:r>
              <w:rPr>
                <w:sz w:val="22"/>
                <w:szCs w:val="22"/>
              </w:rPr>
              <w:t>30</w:t>
            </w:r>
          </w:p>
        </w:tc>
      </w:tr>
      <w:tr w:rsidR="00995BE0" w:rsidTr="00C734B5">
        <w:tc>
          <w:tcPr>
            <w:tcW w:w="9749" w:type="dxa"/>
          </w:tcPr>
          <w:p w:rsidR="00995BE0" w:rsidRPr="00761A5B" w:rsidRDefault="00995BE0" w:rsidP="00C734B5">
            <w:pPr>
              <w:tabs>
                <w:tab w:val="left" w:pos="360"/>
                <w:tab w:val="left" w:pos="397"/>
              </w:tabs>
              <w:jc w:val="both"/>
            </w:pPr>
            <w:r w:rsidRPr="00761A5B">
              <w:rPr>
                <w:sz w:val="22"/>
                <w:szCs w:val="22"/>
              </w:rPr>
              <w:t>6 priedas. Nelaimingi atsitikimai keliuose kai kuriuose Europos šalyse ir ES 2001-2008 m. bei pokytis (proc.)................................................................................................................................................</w:t>
            </w:r>
            <w:r>
              <w:rPr>
                <w:sz w:val="22"/>
                <w:szCs w:val="22"/>
              </w:rPr>
              <w:t>........</w:t>
            </w:r>
            <w:r w:rsidRPr="00761A5B">
              <w:rPr>
                <w:sz w:val="22"/>
                <w:szCs w:val="22"/>
              </w:rPr>
              <w:t>.</w:t>
            </w:r>
            <w:r>
              <w:rPr>
                <w:sz w:val="22"/>
                <w:szCs w:val="22"/>
              </w:rPr>
              <w:t>...131</w:t>
            </w:r>
          </w:p>
        </w:tc>
      </w:tr>
      <w:tr w:rsidR="00995BE0" w:rsidTr="00C734B5">
        <w:tc>
          <w:tcPr>
            <w:tcW w:w="9749" w:type="dxa"/>
          </w:tcPr>
          <w:p w:rsidR="00995BE0" w:rsidRPr="00761A5B" w:rsidRDefault="00995BE0" w:rsidP="00C734B5">
            <w:pPr>
              <w:tabs>
                <w:tab w:val="left" w:pos="360"/>
                <w:tab w:val="left" w:pos="397"/>
              </w:tabs>
              <w:autoSpaceDE w:val="0"/>
              <w:autoSpaceDN w:val="0"/>
              <w:adjustRightInd w:val="0"/>
              <w:jc w:val="both"/>
            </w:pPr>
            <w:r w:rsidRPr="00761A5B">
              <w:rPr>
                <w:sz w:val="22"/>
                <w:szCs w:val="22"/>
              </w:rPr>
              <w:t>7 priedas. Šiaulių miesto mokinių gyvensenos tyrimo rezultatai (2010 m.)....................</w:t>
            </w:r>
            <w:r>
              <w:rPr>
                <w:sz w:val="22"/>
                <w:szCs w:val="22"/>
              </w:rPr>
              <w:t>.............................132</w:t>
            </w:r>
          </w:p>
        </w:tc>
      </w:tr>
      <w:tr w:rsidR="00995BE0" w:rsidTr="00C734B5">
        <w:tc>
          <w:tcPr>
            <w:tcW w:w="9749" w:type="dxa"/>
          </w:tcPr>
          <w:p w:rsidR="00995BE0" w:rsidRPr="00761A5B" w:rsidRDefault="00995BE0" w:rsidP="00C734B5">
            <w:pPr>
              <w:autoSpaceDE w:val="0"/>
              <w:autoSpaceDN w:val="0"/>
              <w:adjustRightInd w:val="0"/>
              <w:jc w:val="both"/>
              <w:rPr>
                <w:b/>
                <w:iCs/>
              </w:rPr>
            </w:pPr>
            <w:r w:rsidRPr="00761A5B">
              <w:rPr>
                <w:sz w:val="22"/>
                <w:szCs w:val="22"/>
              </w:rPr>
              <w:t>8 priedas.</w:t>
            </w:r>
            <w:r w:rsidRPr="00761A5B">
              <w:rPr>
                <w:b/>
                <w:iCs/>
                <w:sz w:val="22"/>
                <w:szCs w:val="22"/>
              </w:rPr>
              <w:t xml:space="preserve"> </w:t>
            </w:r>
            <w:r w:rsidRPr="00761A5B">
              <w:rPr>
                <w:iCs/>
                <w:sz w:val="22"/>
                <w:szCs w:val="22"/>
              </w:rPr>
              <w:t>Lietuvos sveikatos priežiūros reformos istorija...............................................</w:t>
            </w:r>
            <w:r>
              <w:rPr>
                <w:iCs/>
                <w:sz w:val="22"/>
                <w:szCs w:val="22"/>
              </w:rPr>
              <w:t>.......</w:t>
            </w:r>
            <w:r w:rsidRPr="00761A5B">
              <w:rPr>
                <w:iCs/>
                <w:sz w:val="22"/>
                <w:szCs w:val="22"/>
              </w:rPr>
              <w:t>...........</w:t>
            </w:r>
            <w:r>
              <w:rPr>
                <w:iCs/>
                <w:sz w:val="22"/>
                <w:szCs w:val="22"/>
              </w:rPr>
              <w:t>......</w:t>
            </w:r>
            <w:r w:rsidRPr="00761A5B">
              <w:rPr>
                <w:iCs/>
                <w:sz w:val="22"/>
                <w:szCs w:val="22"/>
              </w:rPr>
              <w:t>.....13</w:t>
            </w:r>
            <w:r>
              <w:rPr>
                <w:iCs/>
                <w:sz w:val="22"/>
                <w:szCs w:val="22"/>
              </w:rPr>
              <w:t>8</w:t>
            </w:r>
          </w:p>
        </w:tc>
      </w:tr>
      <w:tr w:rsidR="00995BE0" w:rsidTr="00C734B5">
        <w:tc>
          <w:tcPr>
            <w:tcW w:w="9749" w:type="dxa"/>
          </w:tcPr>
          <w:p w:rsidR="00995BE0" w:rsidRPr="00761A5B" w:rsidRDefault="00995BE0" w:rsidP="00C734B5">
            <w:pPr>
              <w:ind w:right="9"/>
              <w:jc w:val="both"/>
            </w:pPr>
            <w:r w:rsidRPr="00761A5B">
              <w:rPr>
                <w:sz w:val="22"/>
                <w:szCs w:val="22"/>
              </w:rPr>
              <w:t>9 priedas. Tarptautinio HBSC (2006) tyrimo rezultatai..............................................................</w:t>
            </w:r>
            <w:r>
              <w:rPr>
                <w:sz w:val="22"/>
                <w:szCs w:val="22"/>
              </w:rPr>
              <w:t>......</w:t>
            </w:r>
            <w:r w:rsidRPr="00761A5B">
              <w:rPr>
                <w:sz w:val="22"/>
                <w:szCs w:val="22"/>
              </w:rPr>
              <w:t>.</w:t>
            </w:r>
            <w:r>
              <w:rPr>
                <w:sz w:val="22"/>
                <w:szCs w:val="22"/>
              </w:rPr>
              <w:t>.....</w:t>
            </w:r>
            <w:r w:rsidRPr="00761A5B">
              <w:rPr>
                <w:sz w:val="22"/>
                <w:szCs w:val="22"/>
              </w:rPr>
              <w:t>..</w:t>
            </w:r>
            <w:r>
              <w:rPr>
                <w:sz w:val="22"/>
                <w:szCs w:val="22"/>
              </w:rPr>
              <w:t>...</w:t>
            </w:r>
            <w:r w:rsidRPr="00761A5B">
              <w:rPr>
                <w:sz w:val="22"/>
                <w:szCs w:val="22"/>
              </w:rPr>
              <w:t>.1</w:t>
            </w:r>
            <w:r>
              <w:rPr>
                <w:sz w:val="22"/>
                <w:szCs w:val="22"/>
              </w:rPr>
              <w:t>41</w:t>
            </w:r>
          </w:p>
        </w:tc>
      </w:tr>
      <w:tr w:rsidR="00995BE0" w:rsidTr="00C734B5">
        <w:tc>
          <w:tcPr>
            <w:tcW w:w="9749" w:type="dxa"/>
          </w:tcPr>
          <w:p w:rsidR="00995BE0" w:rsidRPr="00761A5B" w:rsidRDefault="00995BE0" w:rsidP="00C734B5">
            <w:pPr>
              <w:ind w:right="9"/>
              <w:jc w:val="both"/>
            </w:pPr>
            <w:r w:rsidRPr="00761A5B">
              <w:rPr>
                <w:sz w:val="22"/>
                <w:szCs w:val="22"/>
              </w:rPr>
              <w:t>10 priedas. Šiaulių miesto suaugusių žmonių gyvensenos tyrimo rezultatai (2008)...................</w:t>
            </w:r>
            <w:r>
              <w:rPr>
                <w:sz w:val="22"/>
                <w:szCs w:val="22"/>
              </w:rPr>
              <w:t>.........</w:t>
            </w:r>
            <w:r w:rsidRPr="00761A5B">
              <w:rPr>
                <w:sz w:val="22"/>
                <w:szCs w:val="22"/>
              </w:rPr>
              <w:t>..</w:t>
            </w:r>
            <w:r>
              <w:rPr>
                <w:sz w:val="22"/>
                <w:szCs w:val="22"/>
              </w:rPr>
              <w:t>....</w:t>
            </w:r>
            <w:r w:rsidRPr="00761A5B">
              <w:rPr>
                <w:sz w:val="22"/>
                <w:szCs w:val="22"/>
              </w:rPr>
              <w:t>..1</w:t>
            </w:r>
            <w:r>
              <w:rPr>
                <w:sz w:val="22"/>
                <w:szCs w:val="22"/>
              </w:rPr>
              <w:t>51</w:t>
            </w:r>
          </w:p>
        </w:tc>
      </w:tr>
      <w:tr w:rsidR="00995BE0" w:rsidTr="00C734B5">
        <w:tc>
          <w:tcPr>
            <w:tcW w:w="9749" w:type="dxa"/>
          </w:tcPr>
          <w:p w:rsidR="00995BE0" w:rsidRPr="00761A5B" w:rsidRDefault="00995BE0" w:rsidP="00C734B5">
            <w:pPr>
              <w:ind w:right="9"/>
              <w:jc w:val="both"/>
            </w:pPr>
            <w:r w:rsidRPr="00761A5B">
              <w:rPr>
                <w:sz w:val="22"/>
                <w:szCs w:val="22"/>
              </w:rPr>
              <w:t>11 priedas. Šiaulių m. sav. VS biuro bendradarbiavimas.............................................................</w:t>
            </w:r>
            <w:r>
              <w:rPr>
                <w:sz w:val="22"/>
                <w:szCs w:val="22"/>
              </w:rPr>
              <w:t>........</w:t>
            </w:r>
            <w:r w:rsidRPr="00761A5B">
              <w:rPr>
                <w:sz w:val="22"/>
                <w:szCs w:val="22"/>
              </w:rPr>
              <w:t>.</w:t>
            </w:r>
            <w:r>
              <w:rPr>
                <w:sz w:val="22"/>
                <w:szCs w:val="22"/>
              </w:rPr>
              <w:t>....</w:t>
            </w:r>
            <w:r w:rsidRPr="00761A5B">
              <w:rPr>
                <w:sz w:val="22"/>
                <w:szCs w:val="22"/>
              </w:rPr>
              <w:t>..</w:t>
            </w:r>
            <w:r>
              <w:rPr>
                <w:sz w:val="22"/>
                <w:szCs w:val="22"/>
              </w:rPr>
              <w:t>.</w:t>
            </w:r>
            <w:r w:rsidRPr="00761A5B">
              <w:rPr>
                <w:sz w:val="22"/>
                <w:szCs w:val="22"/>
              </w:rPr>
              <w:t>15</w:t>
            </w:r>
            <w:r>
              <w:rPr>
                <w:sz w:val="22"/>
                <w:szCs w:val="22"/>
              </w:rPr>
              <w:t>5</w:t>
            </w:r>
          </w:p>
        </w:tc>
      </w:tr>
      <w:tr w:rsidR="00995BE0" w:rsidTr="00C734B5">
        <w:tc>
          <w:tcPr>
            <w:tcW w:w="9749" w:type="dxa"/>
          </w:tcPr>
          <w:p w:rsidR="00995BE0" w:rsidRPr="00761A5B" w:rsidRDefault="00995BE0" w:rsidP="00C734B5">
            <w:pPr>
              <w:jc w:val="both"/>
            </w:pPr>
            <w:r w:rsidRPr="00761A5B">
              <w:rPr>
                <w:sz w:val="22"/>
                <w:szCs w:val="22"/>
              </w:rPr>
              <w:t>12 priedas. Pagrindinės problemos susijusios su visuomenės sveikatos funkcijų finansavimu savivaldybėse.....................................................................................................................................</w:t>
            </w:r>
            <w:r>
              <w:rPr>
                <w:sz w:val="22"/>
                <w:szCs w:val="22"/>
              </w:rPr>
              <w:t>.</w:t>
            </w:r>
            <w:r w:rsidRPr="00761A5B">
              <w:rPr>
                <w:sz w:val="22"/>
                <w:szCs w:val="22"/>
              </w:rPr>
              <w:t>.........15</w:t>
            </w:r>
            <w:r>
              <w:rPr>
                <w:sz w:val="22"/>
                <w:szCs w:val="22"/>
              </w:rPr>
              <w:t>6</w:t>
            </w:r>
          </w:p>
        </w:tc>
      </w:tr>
      <w:tr w:rsidR="00995BE0" w:rsidTr="00C734B5">
        <w:tc>
          <w:tcPr>
            <w:tcW w:w="9749" w:type="dxa"/>
          </w:tcPr>
          <w:p w:rsidR="00995BE0" w:rsidRPr="00761A5B" w:rsidRDefault="00995BE0" w:rsidP="00C734B5">
            <w:pPr>
              <w:ind w:right="9"/>
              <w:jc w:val="both"/>
            </w:pPr>
            <w:r w:rsidRPr="00761A5B">
              <w:rPr>
                <w:sz w:val="22"/>
                <w:szCs w:val="22"/>
              </w:rPr>
              <w:t>13 priedas. 12 kriterijų, kuriais  vadovaujasi visos vaikų ugdymo institucijos, siekdamos įgyvendinti projekte numatytus uždavinius bei rengdamos konkrečius veiklos planus.............</w:t>
            </w:r>
            <w:r>
              <w:rPr>
                <w:sz w:val="22"/>
                <w:szCs w:val="22"/>
              </w:rPr>
              <w:t>.................................</w:t>
            </w:r>
            <w:r w:rsidRPr="00761A5B">
              <w:rPr>
                <w:sz w:val="22"/>
                <w:szCs w:val="22"/>
              </w:rPr>
              <w:t>...</w:t>
            </w:r>
            <w:r>
              <w:rPr>
                <w:sz w:val="22"/>
                <w:szCs w:val="22"/>
              </w:rPr>
              <w:t>.</w:t>
            </w:r>
            <w:r w:rsidRPr="00761A5B">
              <w:rPr>
                <w:sz w:val="22"/>
                <w:szCs w:val="22"/>
              </w:rPr>
              <w:t>15</w:t>
            </w:r>
            <w:r>
              <w:rPr>
                <w:sz w:val="22"/>
                <w:szCs w:val="22"/>
              </w:rPr>
              <w:t>7</w:t>
            </w:r>
          </w:p>
        </w:tc>
      </w:tr>
      <w:tr w:rsidR="00995BE0" w:rsidTr="006D0663">
        <w:trPr>
          <w:trHeight w:val="609"/>
        </w:trPr>
        <w:tc>
          <w:tcPr>
            <w:tcW w:w="9749" w:type="dxa"/>
          </w:tcPr>
          <w:p w:rsidR="00995BE0" w:rsidRPr="00761A5B" w:rsidRDefault="00995BE0" w:rsidP="00C734B5">
            <w:pPr>
              <w:autoSpaceDE w:val="0"/>
              <w:autoSpaceDN w:val="0"/>
              <w:adjustRightInd w:val="0"/>
              <w:jc w:val="both"/>
              <w:rPr>
                <w:iCs/>
              </w:rPr>
            </w:pPr>
            <w:r w:rsidRPr="00761A5B">
              <w:rPr>
                <w:sz w:val="22"/>
                <w:szCs w:val="22"/>
              </w:rPr>
              <w:t xml:space="preserve">14 priedas. </w:t>
            </w:r>
            <w:r w:rsidRPr="00761A5B">
              <w:rPr>
                <w:iCs/>
                <w:sz w:val="22"/>
                <w:szCs w:val="22"/>
              </w:rPr>
              <w:t>Tradicinės sveikatinimo veiklos ir sveikatos stiprinimo mokyklos principais grindžiamos</w:t>
            </w:r>
          </w:p>
          <w:p w:rsidR="00995BE0" w:rsidRPr="00761A5B" w:rsidRDefault="00995BE0" w:rsidP="00C734B5">
            <w:pPr>
              <w:jc w:val="both"/>
            </w:pPr>
            <w:r w:rsidRPr="00761A5B">
              <w:rPr>
                <w:iCs/>
                <w:sz w:val="22"/>
                <w:szCs w:val="22"/>
              </w:rPr>
              <w:t>veiklos palyginimas..................................................................................................................................</w:t>
            </w:r>
            <w:r>
              <w:rPr>
                <w:iCs/>
                <w:sz w:val="22"/>
                <w:szCs w:val="22"/>
              </w:rPr>
              <w:t>.</w:t>
            </w:r>
            <w:r w:rsidRPr="00761A5B">
              <w:rPr>
                <w:iCs/>
                <w:sz w:val="22"/>
                <w:szCs w:val="22"/>
              </w:rPr>
              <w:t>....15</w:t>
            </w:r>
            <w:r>
              <w:rPr>
                <w:iCs/>
                <w:sz w:val="22"/>
                <w:szCs w:val="22"/>
              </w:rPr>
              <w:t>8</w:t>
            </w:r>
          </w:p>
        </w:tc>
      </w:tr>
      <w:tr w:rsidR="00995BE0" w:rsidTr="00C734B5">
        <w:tc>
          <w:tcPr>
            <w:tcW w:w="9749" w:type="dxa"/>
          </w:tcPr>
          <w:p w:rsidR="00995BE0" w:rsidRPr="00761A5B" w:rsidRDefault="00995BE0" w:rsidP="00C734B5">
            <w:pPr>
              <w:ind w:right="9"/>
              <w:jc w:val="both"/>
            </w:pPr>
            <w:r w:rsidRPr="00761A5B">
              <w:rPr>
                <w:sz w:val="22"/>
                <w:szCs w:val="22"/>
              </w:rPr>
              <w:t>15 priedas. Lietuvos miestų ir rajonų paskirstymas pagal demografinės senatvės koeficientą 2007-2009 m. pradžioje....................................................................................................................</w:t>
            </w:r>
            <w:r>
              <w:rPr>
                <w:sz w:val="22"/>
                <w:szCs w:val="22"/>
              </w:rPr>
              <w:t>.........</w:t>
            </w:r>
            <w:r w:rsidRPr="00761A5B">
              <w:rPr>
                <w:sz w:val="22"/>
                <w:szCs w:val="22"/>
              </w:rPr>
              <w:t>...</w:t>
            </w:r>
            <w:r>
              <w:rPr>
                <w:sz w:val="22"/>
                <w:szCs w:val="22"/>
              </w:rPr>
              <w:t>..................</w:t>
            </w:r>
            <w:r w:rsidRPr="00761A5B">
              <w:rPr>
                <w:sz w:val="22"/>
                <w:szCs w:val="22"/>
              </w:rPr>
              <w:t>...</w:t>
            </w:r>
            <w:r>
              <w:rPr>
                <w:sz w:val="22"/>
                <w:szCs w:val="22"/>
              </w:rPr>
              <w:t>.</w:t>
            </w:r>
            <w:r w:rsidRPr="00761A5B">
              <w:rPr>
                <w:sz w:val="22"/>
                <w:szCs w:val="22"/>
              </w:rPr>
              <w:t>.15</w:t>
            </w:r>
            <w:r>
              <w:rPr>
                <w:sz w:val="22"/>
                <w:szCs w:val="22"/>
              </w:rPr>
              <w:t>9</w:t>
            </w:r>
          </w:p>
        </w:tc>
      </w:tr>
      <w:tr w:rsidR="00995BE0" w:rsidTr="00C734B5">
        <w:tc>
          <w:tcPr>
            <w:tcW w:w="9749" w:type="dxa"/>
          </w:tcPr>
          <w:p w:rsidR="00995BE0" w:rsidRPr="00761A5B" w:rsidRDefault="00995BE0" w:rsidP="00C734B5">
            <w:pPr>
              <w:ind w:right="9"/>
              <w:jc w:val="both"/>
            </w:pPr>
            <w:r w:rsidRPr="00761A5B">
              <w:rPr>
                <w:sz w:val="22"/>
                <w:szCs w:val="22"/>
              </w:rPr>
              <w:t>16 priedas. Šiaulių miesto 0-17 m. vaikų sergamumas kai kuriomis ligomis ir sutrikimais 2007 - 2009 m. (proc. nuo apsilankiusiųjų).............................................................................................</w:t>
            </w:r>
            <w:r>
              <w:rPr>
                <w:sz w:val="22"/>
                <w:szCs w:val="22"/>
              </w:rPr>
              <w:t>............................</w:t>
            </w:r>
            <w:r w:rsidRPr="00761A5B">
              <w:rPr>
                <w:sz w:val="22"/>
                <w:szCs w:val="22"/>
              </w:rPr>
              <w:t>..15</w:t>
            </w:r>
            <w:r>
              <w:rPr>
                <w:sz w:val="22"/>
                <w:szCs w:val="22"/>
              </w:rPr>
              <w:t>9</w:t>
            </w:r>
          </w:p>
        </w:tc>
      </w:tr>
      <w:tr w:rsidR="00995BE0" w:rsidTr="00C734B5">
        <w:tc>
          <w:tcPr>
            <w:tcW w:w="9749" w:type="dxa"/>
          </w:tcPr>
          <w:p w:rsidR="00995BE0" w:rsidRPr="00761A5B" w:rsidRDefault="00995BE0" w:rsidP="00C734B5">
            <w:pPr>
              <w:ind w:right="9"/>
              <w:jc w:val="both"/>
            </w:pPr>
            <w:r w:rsidRPr="00761A5B">
              <w:rPr>
                <w:sz w:val="22"/>
                <w:szCs w:val="22"/>
              </w:rPr>
              <w:t>17 priedas.  Šiaulių miesto savivaldybės visuomenės sveikatos biuro etatų struktūra.............</w:t>
            </w:r>
            <w:r>
              <w:rPr>
                <w:sz w:val="22"/>
                <w:szCs w:val="22"/>
              </w:rPr>
              <w:t>.............</w:t>
            </w:r>
            <w:r w:rsidRPr="00761A5B">
              <w:rPr>
                <w:sz w:val="22"/>
                <w:szCs w:val="22"/>
              </w:rPr>
              <w:t>.......1</w:t>
            </w:r>
            <w:r>
              <w:rPr>
                <w:sz w:val="22"/>
                <w:szCs w:val="22"/>
              </w:rPr>
              <w:t>60</w:t>
            </w:r>
          </w:p>
        </w:tc>
      </w:tr>
      <w:tr w:rsidR="00995BE0" w:rsidTr="00C734B5">
        <w:tc>
          <w:tcPr>
            <w:tcW w:w="9749" w:type="dxa"/>
          </w:tcPr>
          <w:p w:rsidR="00995BE0" w:rsidRPr="00761A5B" w:rsidRDefault="00995BE0" w:rsidP="00F537C8">
            <w:pPr>
              <w:jc w:val="both"/>
            </w:pPr>
            <w:r w:rsidRPr="00761A5B">
              <w:rPr>
                <w:bCs/>
                <w:sz w:val="22"/>
                <w:szCs w:val="22"/>
              </w:rPr>
              <w:t xml:space="preserve">18 priedas. </w:t>
            </w:r>
            <w:r w:rsidRPr="00761A5B">
              <w:rPr>
                <w:sz w:val="22"/>
                <w:szCs w:val="22"/>
              </w:rPr>
              <w:t>Interviu metodo rezultatai.................................................................................</w:t>
            </w:r>
            <w:r>
              <w:rPr>
                <w:sz w:val="22"/>
                <w:szCs w:val="22"/>
              </w:rPr>
              <w:t>....</w:t>
            </w:r>
            <w:r w:rsidRPr="00761A5B">
              <w:rPr>
                <w:sz w:val="22"/>
                <w:szCs w:val="22"/>
              </w:rPr>
              <w:t>.....</w:t>
            </w:r>
            <w:r>
              <w:rPr>
                <w:sz w:val="22"/>
                <w:szCs w:val="22"/>
              </w:rPr>
              <w:t>......</w:t>
            </w:r>
            <w:r w:rsidRPr="00761A5B">
              <w:rPr>
                <w:sz w:val="22"/>
                <w:szCs w:val="22"/>
              </w:rPr>
              <w:t>.......</w:t>
            </w:r>
            <w:r>
              <w:rPr>
                <w:sz w:val="22"/>
                <w:szCs w:val="22"/>
              </w:rPr>
              <w:t>..</w:t>
            </w:r>
            <w:r w:rsidRPr="00761A5B">
              <w:rPr>
                <w:sz w:val="22"/>
                <w:szCs w:val="22"/>
              </w:rPr>
              <w:t>.1</w:t>
            </w:r>
            <w:r>
              <w:rPr>
                <w:sz w:val="22"/>
                <w:szCs w:val="22"/>
              </w:rPr>
              <w:t>61</w:t>
            </w:r>
          </w:p>
        </w:tc>
      </w:tr>
      <w:tr w:rsidR="00995BE0" w:rsidTr="00C734B5">
        <w:tc>
          <w:tcPr>
            <w:tcW w:w="9749" w:type="dxa"/>
          </w:tcPr>
          <w:p w:rsidR="00995BE0" w:rsidRPr="00761A5B" w:rsidRDefault="00995BE0" w:rsidP="00F537C8">
            <w:pPr>
              <w:ind w:right="9"/>
              <w:jc w:val="both"/>
            </w:pPr>
            <w:r w:rsidRPr="00761A5B">
              <w:rPr>
                <w:sz w:val="22"/>
                <w:szCs w:val="22"/>
              </w:rPr>
              <w:t>19 priedas.</w:t>
            </w:r>
            <w:r w:rsidRPr="00761A5B">
              <w:rPr>
                <w:b/>
                <w:sz w:val="22"/>
                <w:szCs w:val="22"/>
              </w:rPr>
              <w:t xml:space="preserve"> </w:t>
            </w:r>
            <w:r w:rsidRPr="00F537C8">
              <w:rPr>
                <w:sz w:val="22"/>
                <w:szCs w:val="22"/>
              </w:rPr>
              <w:t>Šiaulių miesto VS 2007-2013 metų s</w:t>
            </w:r>
            <w:r w:rsidRPr="00761A5B">
              <w:rPr>
                <w:sz w:val="22"/>
                <w:szCs w:val="22"/>
              </w:rPr>
              <w:t>trategijos tikslų įgyvendinimo rodikliai..</w:t>
            </w:r>
            <w:r>
              <w:rPr>
                <w:sz w:val="22"/>
                <w:szCs w:val="22"/>
              </w:rPr>
              <w:t>...............</w:t>
            </w:r>
            <w:r w:rsidRPr="00761A5B">
              <w:rPr>
                <w:sz w:val="22"/>
                <w:szCs w:val="22"/>
              </w:rPr>
              <w:t>......</w:t>
            </w:r>
            <w:r>
              <w:rPr>
                <w:sz w:val="22"/>
                <w:szCs w:val="22"/>
              </w:rPr>
              <w:t>.</w:t>
            </w:r>
            <w:r w:rsidRPr="00761A5B">
              <w:rPr>
                <w:sz w:val="22"/>
                <w:szCs w:val="22"/>
              </w:rPr>
              <w:t>..16</w:t>
            </w:r>
            <w:r>
              <w:rPr>
                <w:sz w:val="22"/>
                <w:szCs w:val="22"/>
              </w:rPr>
              <w:t>5</w:t>
            </w:r>
          </w:p>
        </w:tc>
      </w:tr>
      <w:tr w:rsidR="00995BE0" w:rsidTr="00C734B5">
        <w:tc>
          <w:tcPr>
            <w:tcW w:w="9749" w:type="dxa"/>
          </w:tcPr>
          <w:p w:rsidR="00995BE0" w:rsidRPr="00761A5B" w:rsidRDefault="00995BE0" w:rsidP="00C734B5">
            <w:pPr>
              <w:jc w:val="both"/>
            </w:pPr>
            <w:r w:rsidRPr="00761A5B">
              <w:rPr>
                <w:sz w:val="22"/>
                <w:szCs w:val="22"/>
              </w:rPr>
              <w:t>20 priedas.  Sveikatą stiprinančių mokyklų tinklas Lietuvoje.........................................................</w:t>
            </w:r>
            <w:r>
              <w:rPr>
                <w:sz w:val="22"/>
                <w:szCs w:val="22"/>
              </w:rPr>
              <w:t>.</w:t>
            </w:r>
            <w:r w:rsidRPr="00761A5B">
              <w:rPr>
                <w:sz w:val="22"/>
                <w:szCs w:val="22"/>
              </w:rPr>
              <w:t>............1</w:t>
            </w:r>
            <w:r>
              <w:rPr>
                <w:sz w:val="22"/>
                <w:szCs w:val="22"/>
              </w:rPr>
              <w:t>71</w:t>
            </w:r>
          </w:p>
        </w:tc>
      </w:tr>
      <w:tr w:rsidR="00995BE0" w:rsidTr="00C734B5">
        <w:tc>
          <w:tcPr>
            <w:tcW w:w="9749" w:type="dxa"/>
          </w:tcPr>
          <w:p w:rsidR="00995BE0" w:rsidRPr="00761A5B" w:rsidRDefault="00995BE0" w:rsidP="00C45016">
            <w:pPr>
              <w:jc w:val="both"/>
            </w:pPr>
            <w:r w:rsidRPr="00761A5B">
              <w:rPr>
                <w:sz w:val="22"/>
                <w:szCs w:val="22"/>
              </w:rPr>
              <w:t xml:space="preserve">21 priedas.  </w:t>
            </w:r>
            <w:r w:rsidRPr="00761A5B">
              <w:rPr>
                <w:bCs/>
                <w:sz w:val="22"/>
                <w:szCs w:val="22"/>
              </w:rPr>
              <w:t>SMF 11-ąjai tarptautinei studentų mokslo darbų konferencijai pateiktas ir priimtas publikuoti straipsnis (2011-04-14)...........................................................................................</w:t>
            </w:r>
            <w:r>
              <w:rPr>
                <w:bCs/>
                <w:sz w:val="22"/>
                <w:szCs w:val="22"/>
              </w:rPr>
              <w:t>...............................</w:t>
            </w:r>
            <w:r w:rsidRPr="00761A5B">
              <w:rPr>
                <w:bCs/>
                <w:sz w:val="22"/>
                <w:szCs w:val="22"/>
              </w:rPr>
              <w:t>......1</w:t>
            </w:r>
            <w:r>
              <w:rPr>
                <w:bCs/>
                <w:sz w:val="22"/>
                <w:szCs w:val="22"/>
              </w:rPr>
              <w:t>72</w:t>
            </w:r>
          </w:p>
        </w:tc>
      </w:tr>
    </w:tbl>
    <w:p w:rsidR="00995BE0" w:rsidRDefault="00995BE0" w:rsidP="00E31F9E">
      <w:pPr>
        <w:jc w:val="both"/>
        <w:rPr>
          <w:lang w:eastAsia="ar-SA"/>
        </w:rPr>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A3155B">
      <w:pPr>
        <w:pStyle w:val="Antrat1"/>
      </w:pPr>
    </w:p>
    <w:p w:rsidR="00995BE0" w:rsidRPr="001D71BB" w:rsidRDefault="00995BE0" w:rsidP="00FF15E1">
      <w:pPr>
        <w:rPr>
          <w:lang w:eastAsia="ar-SA"/>
        </w:rPr>
      </w:pPr>
    </w:p>
    <w:p w:rsidR="00995BE0" w:rsidRPr="001D71BB" w:rsidRDefault="00995BE0" w:rsidP="00FF15E1">
      <w:pPr>
        <w:rPr>
          <w:lang w:eastAsia="ar-SA"/>
        </w:rPr>
      </w:pPr>
    </w:p>
    <w:p w:rsidR="00995BE0" w:rsidRPr="001D71BB" w:rsidRDefault="00995BE0" w:rsidP="00A3155B">
      <w:pPr>
        <w:pStyle w:val="Antrat1"/>
      </w:pPr>
      <w:bookmarkStart w:id="20" w:name="_Toc293248612"/>
      <w:r w:rsidRPr="001D71BB">
        <w:lastRenderedPageBreak/>
        <w:t>ĮVADAS</w:t>
      </w:r>
      <w:bookmarkEnd w:id="20"/>
    </w:p>
    <w:p w:rsidR="00995BE0" w:rsidRDefault="00995BE0" w:rsidP="00C869BA">
      <w:pPr>
        <w:spacing w:line="360" w:lineRule="auto"/>
        <w:ind w:firstLine="567"/>
        <w:jc w:val="both"/>
      </w:pPr>
      <w:r w:rsidRPr="001D71BB">
        <w:rPr>
          <w:b/>
          <w:lang w:eastAsia="ar-SA"/>
        </w:rPr>
        <w:t xml:space="preserve">Tyrimo aktualumas. </w:t>
      </w:r>
      <w:r>
        <w:rPr>
          <w:sz w:val="23"/>
          <w:szCs w:val="23"/>
        </w:rPr>
        <w:t>Visuomenės gyvenimas, ekonomika, valdymas turi būti grindžiami tokiais principais, kurie leistų greitai reaguoti į dinamišką pasaulio aplinką, išnaudoti naujas galimybes, keistis ir prisitaikyti prie aplinkos pokyčių. Atsiranda poreikis naujai valstybės strateginio valdymo instrumentų koncepcijai, kuri užtikrintų harmoningą valstybės raidą ir reikiamą visuomenės gyvenimo kokybę</w:t>
      </w:r>
      <w:r w:rsidRPr="00DC5FBB">
        <w:rPr>
          <w:b/>
          <w:lang w:eastAsia="ar-SA"/>
        </w:rPr>
        <w:t xml:space="preserve"> </w:t>
      </w:r>
      <w:r>
        <w:rPr>
          <w:lang w:eastAsia="ar-SA"/>
        </w:rPr>
        <w:t>(Lietuvos pažangos strategija</w:t>
      </w:r>
      <w:r w:rsidRPr="00006DDD">
        <w:rPr>
          <w:lang w:eastAsia="ar-SA"/>
        </w:rPr>
        <w:t xml:space="preserve"> „Lietuva 2030“)</w:t>
      </w:r>
      <w:r w:rsidRPr="00006DDD">
        <w:rPr>
          <w:sz w:val="23"/>
          <w:szCs w:val="23"/>
        </w:rPr>
        <w:t>.</w:t>
      </w:r>
      <w:r>
        <w:t xml:space="preserve"> Ateinančio dešimtmečio ES ekonomikos augimo strategijoje</w:t>
      </w:r>
      <w:r w:rsidRPr="00C869BA">
        <w:t xml:space="preserve"> </w:t>
      </w:r>
      <w:r>
        <w:t xml:space="preserve">„Europa 2020“ išskiriami pagrindiniai tikslai sveikatos srityje nukreipti į sveikatos stiprinimą, ligų prevenciją ir gydomąją priežiūrą. Vadinasi, pirminei sveikatos priežiūrai ES valstybės turėtų skirti kiek galima didesnį dėmesį siekiant prisidėti prie pažangios, tvarios ir integracinės ekonomikos kūrimo. </w:t>
      </w:r>
    </w:p>
    <w:p w:rsidR="00995BE0" w:rsidRPr="001D71BB" w:rsidRDefault="00995BE0" w:rsidP="00C869BA">
      <w:pPr>
        <w:spacing w:line="360" w:lineRule="auto"/>
        <w:ind w:firstLine="567"/>
        <w:jc w:val="both"/>
      </w:pPr>
      <w:r w:rsidRPr="001D71BB">
        <w:t>Sveikatos stiprinimo idėjos buvo kuriamos įgyvendinant Alma Atos pirminės sveikatos priežiūros deklaraciją (1977) ir PSO strategiją „Sveikata visiems“ (1984), apibrėžimas ir pagrindiniai principai suformuoti Otavos chartijoje (1986), toliau plėtoti konferencijose Adelaidėje („Dėl sveikos visuomenės“, 1988), Sundsvalyje („Apie sveikatą palaikančios aplinkos kūrimą“, 1991), Džakartoje (1997), Bankoke (2005). Sveikatos stiprinimas yra laikomas vienu iš visuomenės sveikatos kertinių akmenų, pabrėžiant sveikatos gyvensenos, rizikos veiksnių vengimo svarbą (Grabauskas ir kt., 2004). Tik šiuolaikinis visuomenės sveikatos problemų sprendimo suvokimas mobilizuos visą visuomenę ir visas sveikatą įtakojančias socialines bei ekonomines struktūras ir padės pasiekti visapusės fizinės, dvasinės ir socialinės gerovės (Kalėdienė</w:t>
      </w:r>
      <w:r>
        <w:t xml:space="preserve"> ir kt.</w:t>
      </w:r>
      <w:r w:rsidRPr="001D71BB">
        <w:t>, 1999).</w:t>
      </w:r>
    </w:p>
    <w:p w:rsidR="00995BE0" w:rsidRPr="001D71BB" w:rsidRDefault="00995BE0" w:rsidP="009522F2">
      <w:pPr>
        <w:autoSpaceDE w:val="0"/>
        <w:autoSpaceDN w:val="0"/>
        <w:adjustRightInd w:val="0"/>
        <w:spacing w:line="360" w:lineRule="auto"/>
        <w:ind w:firstLine="567"/>
        <w:jc w:val="both"/>
      </w:pPr>
      <w:r w:rsidRPr="001D71BB">
        <w:t>Vakarų Europos valstybių patirtis rodo – kuo daugiau žmonės jaučia atsakomybę už savo sveikatą ir kuo labiau stengiasi pakeisti savo gyvenimo būdą, tuo labiau gerėja sveikata ir mažėja gydymo išlaidos. Ligų prevencija visada pigesnė už gydymą. Taip laimi ne tik žmogus, bet ir valstybė. Pirminės grandies sveikatos apsaugos plėtojimas – tai prioritetinė praktinės sveikatos apsaugos kryptis. Esant gerai išvystytai ir funkcionuojančiai pirminės grandies medicinos pagalbai, galima išspręsti 80-90 proc. medicinos pagal</w:t>
      </w:r>
      <w:r>
        <w:t>bos problemų (LR nutarimas dėl Lietuvos</w:t>
      </w:r>
      <w:r w:rsidRPr="001D71BB">
        <w:t xml:space="preserve"> nacionalinės sveikatos koncepcijos ir jos įgyvendinimo</w:t>
      </w:r>
      <w:r>
        <w:t>, 1991</w:t>
      </w:r>
      <w:r w:rsidRPr="001D71BB">
        <w:t xml:space="preserve">). Otavos chartijoje (1986) teigiama, jog sveikatos sistema vis daugiau turi orientuotis į sveikatos stiprinimą, o ne vien teikti gydymo paslaugas. Liublianos chartijos (1996) vienas iš principų – Europos sveikatos priežiūros sistemų turėtų orientuotis į pirminę sveikatos priežiūrą. Esant tokiai situacijai tenka ieškoti būdų, kaip visuomenei suteikti sveikatos žinių, sudaryti galimybes tausoti ir stiprinti sveikatą. </w:t>
      </w:r>
    </w:p>
    <w:p w:rsidR="00995BE0" w:rsidRPr="001D71BB" w:rsidRDefault="00995BE0" w:rsidP="009522F2">
      <w:pPr>
        <w:autoSpaceDE w:val="0"/>
        <w:autoSpaceDN w:val="0"/>
        <w:adjustRightInd w:val="0"/>
        <w:spacing w:line="360" w:lineRule="auto"/>
        <w:ind w:firstLine="567"/>
        <w:jc w:val="both"/>
      </w:pPr>
      <w:r w:rsidRPr="0056651B">
        <w:t>Apibendrindama šalių narių sveikatos reformų patirtį per 30 metų, nuo Alma Atos deklaracijos paskelbimo 1978 m., PSO pabrėžė, kad reformų metu</w:t>
      </w:r>
      <w:r w:rsidRPr="001D71BB">
        <w:t xml:space="preserve"> dažnai daromos klaidos, nukrypstama nuo šios deklaracijos principų. Klaidos yra</w:t>
      </w:r>
      <w:r w:rsidRPr="006E16C1">
        <w:t xml:space="preserve"> skausmingos, jos akivaizdžiai rodo, kad pirminei sveikatos priežiūrai reikia daugiausia dėmesio. Tarptautiniais tyrimais įrodyta, kad pirminė </w:t>
      </w:r>
      <w:r w:rsidRPr="006E16C1">
        <w:lastRenderedPageBreak/>
        <w:t>sveikatos priežiūra yra labai svarbi norint racionaliau paskirstyti augančias sveikatos priežiūros išlaidas ir įveikti ryškėjančius sveikatos skirtumus tarp įvairių socialinių grupių.</w:t>
      </w:r>
    </w:p>
    <w:p w:rsidR="00995BE0" w:rsidRPr="001D71BB" w:rsidRDefault="00995BE0" w:rsidP="009522F2">
      <w:pPr>
        <w:autoSpaceDE w:val="0"/>
        <w:autoSpaceDN w:val="0"/>
        <w:adjustRightInd w:val="0"/>
        <w:spacing w:line="360" w:lineRule="auto"/>
        <w:ind w:firstLine="567"/>
        <w:jc w:val="both"/>
      </w:pPr>
      <w:r w:rsidRPr="001D71BB">
        <w:t>Ligų prevencijos funkcijai vykdyti pradėti steigti savivaldybių visuomenės sveikatos biurai. Visuomenės sveikatos biurų paskirtis – darbas bendruomenėje, šios įstaigos yra pagrindiniai sveikatos žinių propaguotojai bendruomenėje. Bendruomenės būklei vertinti kaupiami, analizuojami vietos gyventojų sveikatos, gyvensenos, aplinkos rodikliai, pagal kuriuos kuriamos ir įgyvendinamos sveikatinimo programos.</w:t>
      </w:r>
    </w:p>
    <w:p w:rsidR="00995BE0" w:rsidRPr="001D71BB" w:rsidRDefault="00995BE0" w:rsidP="009522F2">
      <w:pPr>
        <w:pStyle w:val="prastasistinklapis"/>
        <w:spacing w:before="0" w:beforeAutospacing="0" w:after="0" w:afterAutospacing="0" w:line="360" w:lineRule="auto"/>
        <w:ind w:firstLine="567"/>
        <w:jc w:val="both"/>
      </w:pPr>
      <w:r w:rsidRPr="001D71BB">
        <w:t>Įgyvendinant šalyje visuomenės sveikatos priežiūros reformą, Lietuvos Respublikos Vyriausybė 2006 m. patvirtino 2006 – 2013 metų Lietuvos nacionalinės visuomenės sveikatos priežiūros strategiją. Lietuvos nacionalinėje visuomenės sveikatos priežiūros strategijoje išdėstytos pagrindinės valstybės nuostatos, susijusios su visuomenės sveikatos priežiūros sistemos modernizavimu, kad ji visiškai atitiktų valstybės poreikius ir naujausius tarptautinius reikalavimus, taip pat priemonės šiam tikslui pasiekti. Viena prioritetinių šios pertvarkos krypčių – visuomenės sveikatos priežiūros plėtra savivaldybėse.</w:t>
      </w:r>
    </w:p>
    <w:p w:rsidR="00995BE0" w:rsidRPr="001D71BB" w:rsidRDefault="00995BE0" w:rsidP="009522F2">
      <w:pPr>
        <w:pStyle w:val="prastasistinklapis"/>
        <w:spacing w:before="0" w:beforeAutospacing="0" w:after="0" w:afterAutospacing="0" w:line="360" w:lineRule="auto"/>
        <w:ind w:firstLine="567"/>
        <w:jc w:val="both"/>
      </w:pPr>
      <w:r w:rsidRPr="001D71BB">
        <w:t>Vadovaujantis pažangiomis visuomenės sveikatos priežiūros nuostatomis, Šiaulių miesto savivaldybėje dar 2005 m. pritarta visuomenės sveikatos biuro steigimui, kuris buvo įsteigtas 2006 m. rugpjūčio 23 d., savo veiklą pradėjo spalio mėnesį, kurio pagrindinis veiklos tikslas – rūpintis savivaldybės bendruomenėje visuomenės sveikata ir ją stiprinti.</w:t>
      </w:r>
    </w:p>
    <w:p w:rsidR="00995BE0" w:rsidRPr="00001E66" w:rsidRDefault="00995BE0" w:rsidP="00E85516">
      <w:pPr>
        <w:spacing w:line="360" w:lineRule="auto"/>
        <w:ind w:firstLine="600"/>
        <w:jc w:val="both"/>
      </w:pPr>
      <w:r w:rsidRPr="001D71BB">
        <w:rPr>
          <w:b/>
          <w:lang w:eastAsia="ar-SA"/>
        </w:rPr>
        <w:t>Tyrimo problema</w:t>
      </w:r>
      <w:r w:rsidRPr="001D71BB">
        <w:rPr>
          <w:lang w:eastAsia="ar-SA"/>
        </w:rPr>
        <w:t xml:space="preserve">. </w:t>
      </w:r>
      <w:r w:rsidRPr="005449FB">
        <w:t>Nepaisant nemažo Lietuvos įdirbio rengiant sveikatos sistemos programinius dokumentus (Lietuvos sveikatos programa, Sveikatos priežiūros reformos tikslų ir uždavinių įgyvendinimo strategija), juose iškelti tikslai, uždaviniai bei rodikliai nėra susieti su strateginio planavimo procesu (tiek sveikatos sektoriaus, tiek ir visos šalies mastu). Neįvardinus atsakingų žinybų bei institucijų, konkrečių priemonių bei reikalingų lėšų, nuolat kaitaliojant ir menkai finansuojant sveikatos programas, dauguma siekiamų sveikatos rodiklių lieka nepasiekti, o kai kurie netgi blogėja (Sveikatos sistemos plėtros pagrindinės nuostatos, 2011).</w:t>
      </w:r>
      <w:r w:rsidRPr="00D27628">
        <w:t xml:space="preserve"> </w:t>
      </w:r>
      <w:r w:rsidRPr="00001E66">
        <w:t>Strateginio valdymo problematika sveikatos apsaugos sistemoje apima tikslų sistemos aspektą ir išteklius, tokius kaip: finansai, personalas, technologijos, valdymo schemos, informacija, patirtis ir žinios (</w:t>
      </w:r>
      <w:r w:rsidRPr="00D1088B">
        <w:t>Мintzberg, Lampel, Quinn, Ghoshal, 2002; Ackoff, 1981; Janušonis, 2000</w:t>
      </w:r>
      <w:r w:rsidRPr="00001E66">
        <w:t xml:space="preserve">). </w:t>
      </w:r>
    </w:p>
    <w:p w:rsidR="00995BE0" w:rsidRPr="001D71BB" w:rsidRDefault="00995BE0" w:rsidP="00DA167B">
      <w:pPr>
        <w:spacing w:line="360" w:lineRule="auto"/>
        <w:ind w:firstLine="540"/>
        <w:jc w:val="both"/>
      </w:pPr>
      <w:r w:rsidRPr="001D71BB">
        <w:t>Šiuolaikinė visuomenės naujosios sveikatos koncepcija susiformavo kilus sveikatos stiprinimo sąjūdžio bangai, mokslui įrodžius, kad pagrindinės visuomenės sveikatos problemos negali būti išspręstos vien medicinos sektoriuje (Javtokas, 2010). Esminis šiuolaikinės visuomenės sveikatos stiprinimo bruožas – ne tik įveikti ligas, bet ir ieškoti būdų, kaip nuo pat mažens saugoti ir stiprinti savo ir kitų sveikatą (</w:t>
      </w:r>
      <w:r>
        <w:t>Valstybinis aplinkos centras, 2006</w:t>
      </w:r>
      <w:r w:rsidRPr="001D71BB">
        <w:t xml:space="preserve">). Sprendžiant sveikatos problemas šalyje per didelis dėmesys skiriamas ligoms gydyti ir per mažas – profilaktikai. Be to, tenka abejoti, ar kryptingai ir efektyviai įgyvendinamos savivaldybių sveikatinimo programos, ar visada valstybinės </w:t>
      </w:r>
      <w:r w:rsidRPr="001D71BB">
        <w:lastRenderedPageBreak/>
        <w:t>sveikatos programos pasiekia atokesnius šalies rajonus ir jų gyventojus. Tenka sutikti, kad mūsų bendruomenė atsakomybę už savo sveikatą prisiima vangiai (Kligys, 2005).</w:t>
      </w:r>
    </w:p>
    <w:p w:rsidR="00995BE0" w:rsidRPr="0056651B" w:rsidRDefault="00995BE0" w:rsidP="00B67AD8">
      <w:pPr>
        <w:autoSpaceDE w:val="0"/>
        <w:autoSpaceDN w:val="0"/>
        <w:adjustRightInd w:val="0"/>
        <w:spacing w:line="360" w:lineRule="auto"/>
        <w:ind w:firstLine="600"/>
        <w:jc w:val="both"/>
      </w:pPr>
      <w:r w:rsidRPr="0056651B">
        <w:t>Tinkamai taikomi esminiai pirminės sveikatos priežiūros principai, t. y. visapusiška šeimos gydytojo konsultacija, apimanti rizikos veiksnių išaiškinimą ir poveikį individo elgsenai, tęstinis ryšys su aptarnaujama bendruomene ir aktyvi sveikatos stiprinimo veikla bendruomenėje, mažina bendrų LNL rizikos veiksnių paplitimą (Ovhed, 1998).</w:t>
      </w:r>
    </w:p>
    <w:p w:rsidR="00995BE0" w:rsidRPr="001D71BB" w:rsidRDefault="00995BE0" w:rsidP="00DA167B">
      <w:pPr>
        <w:spacing w:line="360" w:lineRule="auto"/>
        <w:ind w:firstLine="540"/>
        <w:jc w:val="both"/>
      </w:pPr>
      <w:r w:rsidRPr="001D71BB">
        <w:t>Visuomenės sveikatos būklei didžiausią įtaką turi žmonių gyvensena, socialinė ir fizinė aplinka bei pirminės sveikatos priežiūros, ypač jos pirminės grandies, kokybė. Šie veiksniai sąlygoja pagrindines civilizacijos ligas. Todėl lemiamas vaidmuo čia tenka sveikatos mokymui, sveikatos saugai ir ligų profilaktikai. Gyventojų sveikatos gerinimas ir sveikatos priežiūros užtikrinimas yra svarbi ir ekonominio augimo sąlyga. Visuomenės sveikatos infrastruktūra tiesiogiai lemia gyvenimo kokybę, žmonių darbingumą ir darbingo amžiaus trukmę (S</w:t>
      </w:r>
      <w:r>
        <w:t>veikatos apsaugos ministerijos</w:t>
      </w:r>
      <w:r w:rsidRPr="001D71BB">
        <w:t xml:space="preserve"> 2010 – 2012 metų strateginis veiklos planas</w:t>
      </w:r>
      <w:r>
        <w:t>, 2010</w:t>
      </w:r>
      <w:r w:rsidRPr="001D71BB">
        <w:t xml:space="preserve">). </w:t>
      </w:r>
    </w:p>
    <w:p w:rsidR="00995BE0" w:rsidRPr="001D71BB" w:rsidRDefault="00995BE0" w:rsidP="00DA167B">
      <w:pPr>
        <w:spacing w:line="360" w:lineRule="auto"/>
        <w:ind w:firstLine="540"/>
        <w:jc w:val="both"/>
      </w:pPr>
      <w:r w:rsidRPr="001D71BB">
        <w:t>Sveikata yra pagrindinė prasmingo ir kokybiško gyvenimo bei sėkmingo ekonomikos plėtojimosi sąlyga (Kalėdienė</w:t>
      </w:r>
      <w:r>
        <w:t xml:space="preserve"> ir kt.</w:t>
      </w:r>
      <w:r w:rsidRPr="001D71BB">
        <w:t>, 1999). Sveikatą ir jos kainą kiekvienas žmogus vertina individualiai. Įdomu tai, kad sveikatos kaina yra santykinai nedidelė, kai žmogus yra sveikas, ir smarkiai kyla, atsiradus sveikatos sutrikimams (Jociūtė ir kt., 2008).</w:t>
      </w:r>
    </w:p>
    <w:p w:rsidR="00995BE0" w:rsidRDefault="00995BE0" w:rsidP="00E46981">
      <w:pPr>
        <w:pStyle w:val="prastasistinklapis"/>
        <w:spacing w:before="0" w:beforeAutospacing="0" w:after="0" w:afterAutospacing="0" w:line="360" w:lineRule="auto"/>
        <w:ind w:firstLine="567"/>
        <w:jc w:val="both"/>
      </w:pPr>
      <w:r w:rsidRPr="00E46981">
        <w:t>Strateginio valdymo problemas tyrė P. Drucker (1995), H. Mintzberg (1994, 1998), M. E. Porter (1998), J. Thomson, F. Martin (2005), G. A. Cole (1994), A. Vasiliauskas (2002, 2004), J. A. F. Stoner, R. E., R. Freeman, Jr. D. R. Gilbert (2005), G. Navin (1998) ir kt. Lietuvos mokslininkai: E. Smilga, A. Grebliauskas (2000), B. Melnikas, R. Smaliukienė (2007), A. Bosas (2002, 2004), J. Staponkienė (2004) ir kt. Sveikatos politiką tyrinėjo V. Grabauskas (1997, 2004, 2009), R. Kalėdienė (2004), D. Jankauskienė, R. Pečiūra (2007), L. Gustaitienė (2003) R. Kalėdienė, J. Petrauskienė, A. Rimpela (1999). Sveikatos organizacijų strateginį valdymą išsamiai analizavo E. Smilga, K. Janušonienė (2003, 2005, 2006, 2007, 2009), V. Janušonis (2000), J. Koteen (1988), C. A. Enz (2010) ir kiti mokslininkai.</w:t>
      </w:r>
    </w:p>
    <w:p w:rsidR="00995BE0" w:rsidRPr="000975F7" w:rsidRDefault="00995BE0" w:rsidP="005F2C45">
      <w:pPr>
        <w:spacing w:line="360" w:lineRule="auto"/>
        <w:ind w:firstLine="567"/>
        <w:jc w:val="both"/>
        <w:rPr>
          <w:b/>
        </w:rPr>
      </w:pPr>
      <w:r w:rsidRPr="000975F7">
        <w:t xml:space="preserve">Dabartinėje 2007-2013 metų Šiaulių miesto visuomenės sveikatos priežiūros strategijoje iškelti prioritetai yra išeities tašku šiame magistro darbe. Tačiau, atlikus dokumentų ir ekspertų informacijos analizę, suformuoti ir pagrįsti nauji Šiaulių visuomenės sveikatos biuro veiklos strateginiai prioritetai. </w:t>
      </w:r>
    </w:p>
    <w:p w:rsidR="00995BE0" w:rsidRPr="00E46981" w:rsidRDefault="00995BE0" w:rsidP="00E46981">
      <w:pPr>
        <w:shd w:val="clear" w:color="auto" w:fill="FFFFFF"/>
        <w:spacing w:line="360" w:lineRule="auto"/>
        <w:jc w:val="both"/>
        <w:rPr>
          <w:spacing w:val="2"/>
        </w:rPr>
      </w:pPr>
      <w:r w:rsidRPr="00E46981">
        <w:rPr>
          <w:b/>
          <w:spacing w:val="2"/>
        </w:rPr>
        <w:t>Tyrimo objektas:</w:t>
      </w:r>
      <w:r w:rsidRPr="00E46981">
        <w:rPr>
          <w:b/>
          <w:i/>
          <w:spacing w:val="2"/>
        </w:rPr>
        <w:t xml:space="preserve"> </w:t>
      </w:r>
      <w:r w:rsidRPr="00E46981">
        <w:rPr>
          <w:spacing w:val="2"/>
        </w:rPr>
        <w:t>Šiaulių visuomenės sveikatos (toliau - VS) biuro</w:t>
      </w:r>
      <w:r w:rsidRPr="00E46981">
        <w:t xml:space="preserve"> veikla</w:t>
      </w:r>
      <w:r w:rsidRPr="00E46981">
        <w:rPr>
          <w:spacing w:val="2"/>
        </w:rPr>
        <w:t>.</w:t>
      </w:r>
    </w:p>
    <w:p w:rsidR="00995BE0" w:rsidRPr="00E46981" w:rsidRDefault="00995BE0" w:rsidP="00E46981">
      <w:pPr>
        <w:autoSpaceDE w:val="0"/>
        <w:autoSpaceDN w:val="0"/>
        <w:adjustRightInd w:val="0"/>
        <w:spacing w:line="360" w:lineRule="auto"/>
        <w:jc w:val="both"/>
      </w:pPr>
      <w:r w:rsidRPr="00E46981">
        <w:rPr>
          <w:b/>
        </w:rPr>
        <w:t>Tyrimo dalykas:</w:t>
      </w:r>
      <w:r w:rsidRPr="00E46981">
        <w:t xml:space="preserve"> Šiaulių miesto savivaldybės </w:t>
      </w:r>
      <w:r w:rsidRPr="00E46981">
        <w:rPr>
          <w:spacing w:val="2"/>
        </w:rPr>
        <w:t>VS</w:t>
      </w:r>
      <w:r w:rsidRPr="00E46981">
        <w:t xml:space="preserve"> biuro veiklos strateginiai prioritetai.</w:t>
      </w:r>
    </w:p>
    <w:p w:rsidR="00995BE0" w:rsidRPr="00E46981" w:rsidRDefault="00995BE0" w:rsidP="00E46981">
      <w:pPr>
        <w:spacing w:line="360" w:lineRule="auto"/>
        <w:jc w:val="both"/>
      </w:pPr>
      <w:r w:rsidRPr="00E46981">
        <w:rPr>
          <w:b/>
        </w:rPr>
        <w:t>Tyrimo tikslas:</w:t>
      </w:r>
      <w:r w:rsidRPr="00E46981">
        <w:t xml:space="preserve"> suformuoti ir pagrįsti </w:t>
      </w:r>
      <w:r>
        <w:t xml:space="preserve">Šiaulių miesto savivaldybės </w:t>
      </w:r>
      <w:r w:rsidRPr="00E46981">
        <w:rPr>
          <w:spacing w:val="2"/>
        </w:rPr>
        <w:t>VS</w:t>
      </w:r>
      <w:r w:rsidRPr="00E46981">
        <w:t xml:space="preserve"> biuro veiklos strateginius prioritetus.</w:t>
      </w:r>
    </w:p>
    <w:p w:rsidR="00995BE0" w:rsidRDefault="00995BE0" w:rsidP="00E46981">
      <w:pPr>
        <w:spacing w:line="360" w:lineRule="auto"/>
        <w:jc w:val="both"/>
        <w:rPr>
          <w:b/>
        </w:rPr>
      </w:pPr>
    </w:p>
    <w:p w:rsidR="00995BE0" w:rsidRPr="00E46981" w:rsidRDefault="00995BE0" w:rsidP="00E46981">
      <w:pPr>
        <w:spacing w:line="360" w:lineRule="auto"/>
        <w:jc w:val="both"/>
        <w:rPr>
          <w:b/>
        </w:rPr>
      </w:pPr>
      <w:r w:rsidRPr="00E46981">
        <w:rPr>
          <w:b/>
        </w:rPr>
        <w:lastRenderedPageBreak/>
        <w:t>Tyrimo uždaviniai:</w:t>
      </w:r>
    </w:p>
    <w:p w:rsidR="00995BE0" w:rsidRPr="00DE0266" w:rsidRDefault="00995BE0" w:rsidP="00DE0266">
      <w:pPr>
        <w:numPr>
          <w:ilvl w:val="0"/>
          <w:numId w:val="2"/>
        </w:numPr>
        <w:spacing w:line="360" w:lineRule="auto"/>
        <w:jc w:val="both"/>
        <w:rPr>
          <w:color w:val="FF0000"/>
        </w:rPr>
      </w:pPr>
      <w:r>
        <w:t xml:space="preserve">Atlikti teorinių šaltinių apie strateginį valdymą, sveikatos politikos pokyčius, </w:t>
      </w:r>
      <w:r w:rsidRPr="0056651B">
        <w:t>strateginio valdymo taikymo galimybes sveikatos apsaugos sistemoje analizę;</w:t>
      </w:r>
    </w:p>
    <w:p w:rsidR="00995BE0" w:rsidRPr="00E46981" w:rsidRDefault="00995BE0" w:rsidP="00E46981">
      <w:pPr>
        <w:numPr>
          <w:ilvl w:val="0"/>
          <w:numId w:val="2"/>
        </w:numPr>
        <w:spacing w:line="360" w:lineRule="auto"/>
        <w:jc w:val="both"/>
      </w:pPr>
      <w:r w:rsidRPr="00E46981">
        <w:t>Išanalizuoti Šiaulių miesto gyventojų sveikatos situaciją;</w:t>
      </w:r>
    </w:p>
    <w:p w:rsidR="00995BE0" w:rsidRPr="00E46981" w:rsidRDefault="00995BE0" w:rsidP="00E46981">
      <w:pPr>
        <w:numPr>
          <w:ilvl w:val="0"/>
          <w:numId w:val="2"/>
        </w:numPr>
        <w:spacing w:line="360" w:lineRule="auto"/>
        <w:jc w:val="both"/>
      </w:pPr>
      <w:r w:rsidRPr="00E46981">
        <w:t xml:space="preserve">Apibendrinti ekspertų nuostatas dėl </w:t>
      </w:r>
      <w:r w:rsidRPr="00E46981">
        <w:rPr>
          <w:spacing w:val="2"/>
        </w:rPr>
        <w:t>VS</w:t>
      </w:r>
      <w:r w:rsidRPr="00E46981">
        <w:t xml:space="preserve"> biuro veiklos tobulinimo;</w:t>
      </w:r>
    </w:p>
    <w:p w:rsidR="00995BE0" w:rsidRDefault="00995BE0" w:rsidP="00E46981">
      <w:pPr>
        <w:numPr>
          <w:ilvl w:val="0"/>
          <w:numId w:val="2"/>
        </w:numPr>
        <w:spacing w:line="360" w:lineRule="auto"/>
        <w:jc w:val="both"/>
      </w:pPr>
      <w:r>
        <w:t>Pagrįsti Šiaulių miesto VS biuro veiklos prioritetus</w:t>
      </w:r>
      <w:r w:rsidRPr="00E46981">
        <w:t>.</w:t>
      </w:r>
    </w:p>
    <w:p w:rsidR="00995BE0" w:rsidRDefault="00995BE0" w:rsidP="00911138">
      <w:pPr>
        <w:autoSpaceDE w:val="0"/>
        <w:autoSpaceDN w:val="0"/>
        <w:adjustRightInd w:val="0"/>
        <w:spacing w:line="360" w:lineRule="auto"/>
        <w:ind w:firstLine="567"/>
        <w:jc w:val="both"/>
      </w:pPr>
      <w:r w:rsidRPr="001D71BB">
        <w:rPr>
          <w:b/>
          <w:u w:val="single"/>
        </w:rPr>
        <w:t>Mokslinė hipotezė</w:t>
      </w:r>
      <w:r w:rsidRPr="001D71BB">
        <w:rPr>
          <w:b/>
        </w:rPr>
        <w:t xml:space="preserve">: </w:t>
      </w:r>
      <w:r w:rsidRPr="009427F6">
        <w:t xml:space="preserve">Pagrindinės Šiaulių miesto savivaldybės </w:t>
      </w:r>
      <w:r w:rsidRPr="00E46981">
        <w:rPr>
          <w:spacing w:val="2"/>
        </w:rPr>
        <w:t>VS</w:t>
      </w:r>
      <w:r w:rsidRPr="009427F6">
        <w:t xml:space="preserve"> biuro veiklos sritys</w:t>
      </w:r>
      <w:r>
        <w:t xml:space="preserve"> yra:</w:t>
      </w:r>
    </w:p>
    <w:p w:rsidR="00995BE0" w:rsidRDefault="00995BE0" w:rsidP="00663171">
      <w:pPr>
        <w:numPr>
          <w:ilvl w:val="3"/>
          <w:numId w:val="2"/>
        </w:numPr>
        <w:tabs>
          <w:tab w:val="clear" w:pos="2880"/>
          <w:tab w:val="num" w:pos="360"/>
        </w:tabs>
        <w:autoSpaceDE w:val="0"/>
        <w:autoSpaceDN w:val="0"/>
        <w:adjustRightInd w:val="0"/>
        <w:spacing w:line="360" w:lineRule="auto"/>
        <w:ind w:left="360"/>
        <w:jc w:val="both"/>
      </w:pPr>
      <w:r w:rsidRPr="00E46981">
        <w:rPr>
          <w:spacing w:val="2"/>
        </w:rPr>
        <w:t>VS</w:t>
      </w:r>
      <w:r>
        <w:t xml:space="preserve"> stebėsena ir jos pokyčių vertinimas, </w:t>
      </w:r>
    </w:p>
    <w:p w:rsidR="00995BE0" w:rsidRDefault="00995BE0" w:rsidP="00663171">
      <w:pPr>
        <w:numPr>
          <w:ilvl w:val="3"/>
          <w:numId w:val="2"/>
        </w:numPr>
        <w:tabs>
          <w:tab w:val="clear" w:pos="2880"/>
          <w:tab w:val="num" w:pos="360"/>
        </w:tabs>
        <w:autoSpaceDE w:val="0"/>
        <w:autoSpaceDN w:val="0"/>
        <w:adjustRightInd w:val="0"/>
        <w:spacing w:line="360" w:lineRule="auto"/>
        <w:ind w:left="360"/>
        <w:jc w:val="both"/>
      </w:pPr>
      <w:r>
        <w:t xml:space="preserve">vaikų ir jaunimo sveikatos stiprinimas bei ligų prevencija, kurios tikslu rengiamos prevencinės programos. </w:t>
      </w:r>
    </w:p>
    <w:p w:rsidR="00995BE0" w:rsidRDefault="00995BE0" w:rsidP="00663171">
      <w:pPr>
        <w:numPr>
          <w:ilvl w:val="3"/>
          <w:numId w:val="2"/>
        </w:numPr>
        <w:tabs>
          <w:tab w:val="clear" w:pos="2880"/>
          <w:tab w:val="num" w:pos="360"/>
        </w:tabs>
        <w:autoSpaceDE w:val="0"/>
        <w:autoSpaceDN w:val="0"/>
        <w:adjustRightInd w:val="0"/>
        <w:spacing w:line="360" w:lineRule="auto"/>
        <w:ind w:left="360"/>
        <w:jc w:val="both"/>
      </w:pPr>
      <w:r>
        <w:t>sveikatos mokymai, skleidžia žinias apie sveiką gyvenseną, propaguoja sveiką gyvenseną, teikia informaciją apie sveikatinimo priemones ir renginius miesto gyventojams.</w:t>
      </w:r>
    </w:p>
    <w:p w:rsidR="00995BE0" w:rsidRDefault="00995BE0" w:rsidP="00663171">
      <w:pPr>
        <w:autoSpaceDE w:val="0"/>
        <w:autoSpaceDN w:val="0"/>
        <w:adjustRightInd w:val="0"/>
        <w:spacing w:line="360" w:lineRule="auto"/>
        <w:ind w:firstLine="567"/>
        <w:jc w:val="both"/>
      </w:pPr>
      <w:r>
        <w:t xml:space="preserve"> Pagrindiniai Šiaulių miesto savivaldybės VS biuro veiklos prioritetai:</w:t>
      </w:r>
    </w:p>
    <w:p w:rsidR="00995BE0" w:rsidRPr="0056651B" w:rsidRDefault="00995BE0" w:rsidP="007C0EB6">
      <w:pPr>
        <w:numPr>
          <w:ilvl w:val="4"/>
          <w:numId w:val="2"/>
        </w:numPr>
        <w:tabs>
          <w:tab w:val="clear" w:pos="3600"/>
        </w:tabs>
        <w:autoSpaceDE w:val="0"/>
        <w:autoSpaceDN w:val="0"/>
        <w:adjustRightInd w:val="0"/>
        <w:spacing w:line="360" w:lineRule="auto"/>
        <w:ind w:hanging="1560"/>
        <w:jc w:val="both"/>
      </w:pPr>
      <w:r w:rsidRPr="0056651B">
        <w:t xml:space="preserve">lėtinių neinfekcinių ligų prevencija, </w:t>
      </w:r>
    </w:p>
    <w:p w:rsidR="00995BE0" w:rsidRPr="0056651B" w:rsidRDefault="00995BE0" w:rsidP="007C0EB6">
      <w:pPr>
        <w:numPr>
          <w:ilvl w:val="4"/>
          <w:numId w:val="2"/>
        </w:numPr>
        <w:tabs>
          <w:tab w:val="clear" w:pos="3600"/>
        </w:tabs>
        <w:autoSpaceDE w:val="0"/>
        <w:autoSpaceDN w:val="0"/>
        <w:adjustRightInd w:val="0"/>
        <w:spacing w:line="360" w:lineRule="auto"/>
        <w:ind w:hanging="1560"/>
        <w:jc w:val="both"/>
      </w:pPr>
      <w:r w:rsidRPr="0056651B">
        <w:t>vaikų sveikatos stiprinimas</w:t>
      </w:r>
      <w:r>
        <w:t>,</w:t>
      </w:r>
    </w:p>
    <w:p w:rsidR="00995BE0" w:rsidRDefault="00995BE0" w:rsidP="007C0EB6">
      <w:pPr>
        <w:numPr>
          <w:ilvl w:val="4"/>
          <w:numId w:val="2"/>
        </w:numPr>
        <w:tabs>
          <w:tab w:val="clear" w:pos="3600"/>
        </w:tabs>
        <w:autoSpaceDE w:val="0"/>
        <w:autoSpaceDN w:val="0"/>
        <w:adjustRightInd w:val="0"/>
        <w:spacing w:line="360" w:lineRule="auto"/>
        <w:ind w:hanging="1560"/>
        <w:jc w:val="both"/>
      </w:pPr>
      <w:r w:rsidRPr="0056651B">
        <w:t xml:space="preserve">sveikas senėjimas, </w:t>
      </w:r>
    </w:p>
    <w:p w:rsidR="00995BE0" w:rsidRPr="0056651B" w:rsidRDefault="00995BE0" w:rsidP="007C0EB6">
      <w:pPr>
        <w:numPr>
          <w:ilvl w:val="4"/>
          <w:numId w:val="2"/>
        </w:numPr>
        <w:tabs>
          <w:tab w:val="clear" w:pos="3600"/>
        </w:tabs>
        <w:autoSpaceDE w:val="0"/>
        <w:autoSpaceDN w:val="0"/>
        <w:adjustRightInd w:val="0"/>
        <w:spacing w:line="360" w:lineRule="auto"/>
        <w:ind w:hanging="1560"/>
        <w:jc w:val="both"/>
      </w:pPr>
      <w:r>
        <w:t>socialinių netolygumų visuomenės sveikatos sistemoje mažinimas.</w:t>
      </w:r>
      <w:r w:rsidRPr="0056651B">
        <w:t xml:space="preserve"> </w:t>
      </w:r>
    </w:p>
    <w:p w:rsidR="00995BE0" w:rsidRPr="001D71BB" w:rsidRDefault="00995BE0" w:rsidP="00A3155B">
      <w:pPr>
        <w:autoSpaceDE w:val="0"/>
        <w:autoSpaceDN w:val="0"/>
        <w:adjustRightInd w:val="0"/>
        <w:spacing w:line="360" w:lineRule="auto"/>
        <w:ind w:firstLine="567"/>
        <w:jc w:val="both"/>
        <w:rPr>
          <w:b/>
          <w:u w:val="single"/>
        </w:rPr>
      </w:pPr>
      <w:r w:rsidRPr="001D71BB">
        <w:rPr>
          <w:b/>
          <w:u w:val="single"/>
        </w:rPr>
        <w:t xml:space="preserve">Tyrimo metodai: </w:t>
      </w:r>
    </w:p>
    <w:p w:rsidR="00995BE0" w:rsidRPr="001D71BB" w:rsidRDefault="00995BE0" w:rsidP="00E75817">
      <w:pPr>
        <w:autoSpaceDE w:val="0"/>
        <w:autoSpaceDN w:val="0"/>
        <w:adjustRightInd w:val="0"/>
        <w:spacing w:line="360" w:lineRule="auto"/>
        <w:ind w:firstLine="567"/>
        <w:jc w:val="both"/>
      </w:pPr>
      <w:r w:rsidRPr="001D71BB">
        <w:rPr>
          <w:b/>
          <w:i/>
        </w:rPr>
        <w:t>Mokslinės literatūros analizė</w:t>
      </w:r>
      <w:r w:rsidRPr="001D71BB">
        <w:t xml:space="preserve">. Analizuojami strategijos, strateginio valdymo ypatumai ir aspektai, pagrindžiantys strateginio valdymo privalumus </w:t>
      </w:r>
      <w:r w:rsidRPr="00E46981">
        <w:rPr>
          <w:spacing w:val="2"/>
        </w:rPr>
        <w:t>VS</w:t>
      </w:r>
      <w:r w:rsidRPr="001D71BB">
        <w:t xml:space="preserve"> biurui. Aptariamos </w:t>
      </w:r>
      <w:r w:rsidRPr="00E46981">
        <w:rPr>
          <w:spacing w:val="2"/>
        </w:rPr>
        <w:t>VS</w:t>
      </w:r>
      <w:r w:rsidRPr="001D71BB">
        <w:t xml:space="preserve"> biurų kūrimosi priežastys, jų reikšmingumas, įgyvendinant šalyje </w:t>
      </w:r>
      <w:r w:rsidRPr="00E46981">
        <w:rPr>
          <w:spacing w:val="2"/>
        </w:rPr>
        <w:t>VS</w:t>
      </w:r>
      <w:r w:rsidRPr="001D71BB">
        <w:t xml:space="preserve"> priežiūros reformą.</w:t>
      </w:r>
    </w:p>
    <w:p w:rsidR="00995BE0" w:rsidRPr="001D71BB" w:rsidRDefault="00995BE0" w:rsidP="00303327">
      <w:pPr>
        <w:autoSpaceDE w:val="0"/>
        <w:autoSpaceDN w:val="0"/>
        <w:adjustRightInd w:val="0"/>
        <w:spacing w:line="360" w:lineRule="auto"/>
        <w:ind w:firstLine="567"/>
        <w:jc w:val="both"/>
      </w:pPr>
      <w:r w:rsidRPr="001D71BB">
        <w:rPr>
          <w:b/>
          <w:i/>
        </w:rPr>
        <w:t>Dokumentų turinio analizės metodas</w:t>
      </w:r>
      <w:r w:rsidRPr="001D71BB">
        <w:t>. Nagrin</w:t>
      </w:r>
      <w:r>
        <w:t>ėjami pasaulio, ES</w:t>
      </w:r>
      <w:r w:rsidRPr="001D71BB">
        <w:t xml:space="preserve">, Lietuvos ir Šiaulių </w:t>
      </w:r>
      <w:r>
        <w:t>VS</w:t>
      </w:r>
      <w:r w:rsidRPr="001D71BB">
        <w:t xml:space="preserve"> biuro teisiniai dokumentai, reglamentuojantys visuomenės sveikatos priežiūrą.</w:t>
      </w:r>
    </w:p>
    <w:p w:rsidR="00995BE0" w:rsidRPr="001D71BB" w:rsidRDefault="00995BE0" w:rsidP="00E75817">
      <w:pPr>
        <w:autoSpaceDE w:val="0"/>
        <w:autoSpaceDN w:val="0"/>
        <w:adjustRightInd w:val="0"/>
        <w:spacing w:line="360" w:lineRule="auto"/>
        <w:ind w:firstLine="567"/>
        <w:jc w:val="both"/>
      </w:pPr>
      <w:r w:rsidRPr="001D71BB">
        <w:rPr>
          <w:b/>
          <w:i/>
        </w:rPr>
        <w:t xml:space="preserve">Statistinė tyrimo duomenų analizės metodas. </w:t>
      </w:r>
      <w:r>
        <w:t>Atlikti skaičiavimai</w:t>
      </w:r>
      <w:r w:rsidRPr="001D71BB">
        <w:t xml:space="preserve"> MS Excel programa. Sudarant paveikslus ir lenteles naudota MS Excel programa. Diagramos buvo paruoštos naudojant MS Excel programą. Šioje analizėje Šiaulių miesto gyventojų sveikatos rodikliai lyginami su Lietuvos Respublikos rodikliais bei Europos Sąjungos valstybėmis. </w:t>
      </w:r>
    </w:p>
    <w:p w:rsidR="00995BE0" w:rsidRDefault="00995BE0" w:rsidP="00E75817">
      <w:pPr>
        <w:spacing w:line="360" w:lineRule="auto"/>
        <w:ind w:firstLine="567"/>
        <w:jc w:val="both"/>
      </w:pPr>
      <w:r w:rsidRPr="001D71BB">
        <w:rPr>
          <w:b/>
          <w:i/>
        </w:rPr>
        <w:t xml:space="preserve">Ekspertų metodas. </w:t>
      </w:r>
      <w:r w:rsidRPr="001D71BB">
        <w:t xml:space="preserve">Daugkartinio nestruktūrizuoto interviu metodu buvo apklausti </w:t>
      </w:r>
      <w:r>
        <w:t xml:space="preserve">8 </w:t>
      </w:r>
      <w:r w:rsidRPr="001D71BB">
        <w:t>ekspertai</w:t>
      </w:r>
      <w:r>
        <w:t>.</w:t>
      </w:r>
    </w:p>
    <w:p w:rsidR="00995BE0" w:rsidRDefault="00995BE0" w:rsidP="00E75817">
      <w:pPr>
        <w:autoSpaceDE w:val="0"/>
        <w:autoSpaceDN w:val="0"/>
        <w:adjustRightInd w:val="0"/>
        <w:spacing w:line="360" w:lineRule="auto"/>
        <w:ind w:firstLine="567"/>
        <w:jc w:val="both"/>
      </w:pPr>
      <w:r w:rsidRPr="001D71BB">
        <w:rPr>
          <w:b/>
        </w:rPr>
        <w:t xml:space="preserve">Praktinis tyrimo reikšmingumas </w:t>
      </w:r>
      <w:r w:rsidRPr="001D71BB">
        <w:t>susijęs su suformuota</w:t>
      </w:r>
      <w:r>
        <w:t>is</w:t>
      </w:r>
      <w:r w:rsidRPr="001D71BB">
        <w:t xml:space="preserve"> ir pagrįsta</w:t>
      </w:r>
      <w:r>
        <w:t>is</w:t>
      </w:r>
      <w:r w:rsidRPr="001D71BB">
        <w:t xml:space="preserve"> Šiaulių miesto savivaldybės </w:t>
      </w:r>
      <w:r>
        <w:t>VS biuro strateginiais prioritetais</w:t>
      </w:r>
      <w:r w:rsidRPr="001D71BB">
        <w:t xml:space="preserve">. Atlikta Šiaulių miesto gyventojų sveikatos situacijos analizė leidžia identifikuoti pagrindines sveikatos problemas tuo pačiu – prioritetines Šiaulių VS biuro veiklos kryptis. Šiuo metu biuras įgyvendina 2007-2013 metų strategiją, todėl </w:t>
      </w:r>
      <w:r>
        <w:t>šio tyrimo</w:t>
      </w:r>
      <w:r w:rsidRPr="001D71BB">
        <w:t xml:space="preserve"> </w:t>
      </w:r>
      <w:r>
        <w:t>rezultatai ir praktinės rekomendacijo</w:t>
      </w:r>
      <w:r w:rsidRPr="00DD405A">
        <w:t>s</w:t>
      </w:r>
      <w:r w:rsidRPr="001D71BB">
        <w:t xml:space="preserve"> darbas gali pasitarnauti kuriant naują strategiją.</w:t>
      </w:r>
      <w:r w:rsidRPr="000907AD">
        <w:t xml:space="preserve"> </w:t>
      </w:r>
    </w:p>
    <w:p w:rsidR="00995BE0" w:rsidRPr="00510DFB" w:rsidRDefault="00995BE0" w:rsidP="00510DFB">
      <w:pPr>
        <w:pStyle w:val="Antrat1"/>
        <w:rPr>
          <w:rStyle w:val="Knygospavadinimas"/>
          <w:b/>
          <w:bCs w:val="0"/>
          <w:smallCaps w:val="0"/>
          <w:spacing w:val="0"/>
        </w:rPr>
      </w:pPr>
      <w:r w:rsidRPr="001D71BB">
        <w:br w:type="page"/>
      </w:r>
      <w:bookmarkStart w:id="21" w:name="_Toc293248613"/>
      <w:r w:rsidRPr="00510DFB">
        <w:rPr>
          <w:rStyle w:val="Knygospavadinimas"/>
          <w:b/>
          <w:bCs w:val="0"/>
          <w:smallCaps w:val="0"/>
          <w:spacing w:val="0"/>
        </w:rPr>
        <w:lastRenderedPageBreak/>
        <w:t>1. STRATEGINIS VALDYMAS IR JO TAIKYMAS SVEIKATOS APSAUGOS SISTEMOJE</w:t>
      </w:r>
      <w:bookmarkEnd w:id="21"/>
    </w:p>
    <w:p w:rsidR="00995BE0" w:rsidRDefault="00995BE0" w:rsidP="00F15AA2">
      <w:pPr>
        <w:pStyle w:val="Default"/>
        <w:spacing w:line="360" w:lineRule="auto"/>
        <w:ind w:firstLine="600"/>
        <w:jc w:val="both"/>
      </w:pPr>
      <w:r>
        <w:t>E</w:t>
      </w:r>
      <w:r w:rsidRPr="00F15AA2">
        <w:t xml:space="preserve">samą sveikatos apsaugos sistemos būklę </w:t>
      </w:r>
      <w:r>
        <w:t>ir</w:t>
      </w:r>
      <w:r w:rsidRPr="00F15AA2">
        <w:t xml:space="preserve"> jos raidą</w:t>
      </w:r>
      <w:r>
        <w:t xml:space="preserve"> </w:t>
      </w:r>
      <w:r w:rsidRPr="00F15AA2">
        <w:t xml:space="preserve">lemia </w:t>
      </w:r>
      <w:r>
        <w:t>s</w:t>
      </w:r>
      <w:r w:rsidRPr="00F15AA2">
        <w:t xml:space="preserve">trateginio valdymo principo nesilaikymas. Skiriasi </w:t>
      </w:r>
      <w:r>
        <w:t>skelbiami</w:t>
      </w:r>
      <w:r w:rsidRPr="00F15AA2">
        <w:t xml:space="preserve"> ir real</w:t>
      </w:r>
      <w:r>
        <w:t>iai vykdomi</w:t>
      </w:r>
      <w:r w:rsidRPr="00F15AA2">
        <w:t xml:space="preserve"> sveikatos apsaugos sistemos tikslai. Būtinas modernios, gyventojų lūkesčius atitinkančios visuomenės sveikatos palaikymo strategijos kūrimas</w:t>
      </w:r>
      <w:r>
        <w:t xml:space="preserve"> bei jos vykdymas</w:t>
      </w:r>
      <w:r w:rsidRPr="00F15AA2">
        <w:t>.</w:t>
      </w:r>
      <w:r>
        <w:t xml:space="preserve"> Pagrindinė sveikatos politikos formavimo strategija – PSO suformuoti ir vėliau tikslinti „Sveikata visiems“ principai. Tačiau Lietuvoje šie principai adaptuojami sunkiai, nes tai skatina žmones keisti mąstymą bei elgseną, o į pokyčius retai kas reaguoja teigiamai.</w:t>
      </w:r>
    </w:p>
    <w:p w:rsidR="00995BE0" w:rsidRPr="00A04242" w:rsidRDefault="00995BE0" w:rsidP="00F77FC4">
      <w:pPr>
        <w:pStyle w:val="Default"/>
        <w:spacing w:line="360" w:lineRule="auto"/>
        <w:ind w:firstLine="600"/>
        <w:jc w:val="both"/>
        <w:rPr>
          <w:color w:val="auto"/>
        </w:rPr>
      </w:pPr>
      <w:r>
        <w:t>Pirmoji darbo dalis susideda iš dviejų skyrių, pirmame aptariamas strateginis valdymas, jo taikymo viešajame sektoriuje</w:t>
      </w:r>
      <w:r w:rsidRPr="00CA30A1">
        <w:t xml:space="preserve"> </w:t>
      </w:r>
      <w:r>
        <w:t xml:space="preserve">ypatumai, specifiškumas, nustatytinės strateginio valdymo metodologijos aspektai. Antrame skyriuje analizuojama Lietuvos sveikatos politikos raida, strateginio valdymo pritaikymas Lietuvos sveikatos sistemoje. Būtina paminėti, kad didelį dėmesį strateginiam valdymui sveikatos sistemoje skyrė mokslininkai E. Smilga ir K. Janušonienė </w:t>
      </w:r>
      <w:r w:rsidRPr="00A04242">
        <w:rPr>
          <w:color w:val="auto"/>
        </w:rPr>
        <w:t>(2003, 2005, 2006, 2007, 2009).</w:t>
      </w:r>
    </w:p>
    <w:p w:rsidR="00995BE0" w:rsidRDefault="00995BE0" w:rsidP="00F77FC4">
      <w:pPr>
        <w:pStyle w:val="Default"/>
        <w:spacing w:line="360" w:lineRule="auto"/>
        <w:ind w:firstLine="600"/>
        <w:jc w:val="both"/>
      </w:pPr>
    </w:p>
    <w:p w:rsidR="00995BE0" w:rsidRDefault="00995BE0" w:rsidP="005A1E4A">
      <w:pPr>
        <w:pStyle w:val="Antrat2"/>
        <w:spacing w:before="0" w:after="0"/>
        <w:rPr>
          <w:lang w:val="lt-LT"/>
        </w:rPr>
      </w:pPr>
      <w:bookmarkStart w:id="22" w:name="_Toc293248614"/>
      <w:r w:rsidRPr="008E2DB4">
        <w:rPr>
          <w:lang w:val="lt-LT"/>
        </w:rPr>
        <w:t>1.1 STRATEGINIO VALDYMO TEORINIAI ASPEKTAI IR YPATUMAI VIEŠOJO SEKTORIAUS ORGANIZACIJOSE</w:t>
      </w:r>
      <w:bookmarkEnd w:id="22"/>
    </w:p>
    <w:p w:rsidR="00995BE0" w:rsidRPr="005A1E4A" w:rsidRDefault="00995BE0" w:rsidP="005A1E4A">
      <w:pPr>
        <w:rPr>
          <w:lang w:eastAsia="ar-SA"/>
        </w:rPr>
      </w:pPr>
    </w:p>
    <w:p w:rsidR="00995BE0" w:rsidRPr="00201FEA" w:rsidRDefault="00995BE0" w:rsidP="005A1E4A">
      <w:pPr>
        <w:pStyle w:val="Antrat3"/>
        <w:spacing w:before="0" w:after="0"/>
      </w:pPr>
      <w:bookmarkStart w:id="23" w:name="_Toc293248615"/>
      <w:r>
        <w:t>1.1.1 Strategija</w:t>
      </w:r>
      <w:r w:rsidRPr="00201FEA">
        <w:t xml:space="preserve"> ir strateginis valdymas</w:t>
      </w:r>
      <w:bookmarkEnd w:id="23"/>
      <w:r w:rsidRPr="00201FEA">
        <w:t xml:space="preserve"> </w:t>
      </w:r>
    </w:p>
    <w:p w:rsidR="00995BE0" w:rsidRPr="001D71BB" w:rsidRDefault="00995BE0" w:rsidP="006D73EE">
      <w:pPr>
        <w:pStyle w:val="Pagrindinistekstas"/>
        <w:spacing w:after="0" w:line="360" w:lineRule="auto"/>
        <w:ind w:firstLine="567"/>
        <w:jc w:val="both"/>
        <w:rPr>
          <w:bCs/>
          <w:lang w:val="lt-LT"/>
        </w:rPr>
      </w:pPr>
      <w:r w:rsidRPr="001D71BB">
        <w:rPr>
          <w:lang w:val="lt-LT"/>
        </w:rPr>
        <w:t>Šiuolaikiniame pokyčių kontekste neįsivaizduojama, kad organizacija galėtų funkcionuoti neturėdama savo strategijos ar neplanuodama organizacijos veiklos. A. Astrauskas ir G. Česonis (2008) savo straipsnyje pažymi, kad „vadybos mokslo specialistai, teorijų apie strateginį planavimą ir valdymą kūrėjai (I. Ansoff, K. Andrews, R. Ackoff, J. M. Bryson, P. F. Drucker, H. Mintzberg, M. Porter ir kt.), kiek skirtingai supranta ir apibrėžia strategijos, strateginio planavimo, strateginio valdymo sąvokas...“.</w:t>
      </w:r>
    </w:p>
    <w:p w:rsidR="00995BE0" w:rsidRDefault="00995BE0" w:rsidP="0005565A">
      <w:pPr>
        <w:spacing w:line="360" w:lineRule="auto"/>
        <w:ind w:firstLine="567"/>
        <w:jc w:val="both"/>
        <w:rPr>
          <w:lang w:eastAsia="ar-SA"/>
        </w:rPr>
      </w:pPr>
      <w:r w:rsidRPr="001D71BB">
        <w:rPr>
          <w:lang w:eastAsia="ar-SA"/>
        </w:rPr>
        <w:t>Šis terminas šiuolaikiniame pasaulyje įgauna vis didesnį populiarumą – politikai ir valstybinės institucijos sukuria daugybę strateginių dokumentų, tačiau dažniausiai nurodomi tik siektini tikslai, nebandant jų sieti su turimais iškeltais (Urbelis, 2001).</w:t>
      </w:r>
      <w:r>
        <w:rPr>
          <w:lang w:eastAsia="ar-SA"/>
        </w:rPr>
        <w:t xml:space="preserve"> Skirtingi autoriai strategijos sampratą traktuoja savaip, tačiau, tai apibendrinęs A. Bosas (2002) teigia, kad dauguma strategiją supranta kaip organizacijos gyvavimo tolesnėje ateityje perspektyvinį modelį.</w:t>
      </w:r>
    </w:p>
    <w:p w:rsidR="00995BE0" w:rsidRPr="001D71BB" w:rsidRDefault="00995BE0" w:rsidP="0005565A">
      <w:pPr>
        <w:spacing w:line="360" w:lineRule="auto"/>
        <w:ind w:firstLine="567"/>
        <w:jc w:val="both"/>
      </w:pPr>
      <w:r w:rsidRPr="001D71BB">
        <w:t>Strategijos turi reikšmę ir yra efektyvios tada, kai jos yra aiškiai suvokiamos, maža to, emocingai priimamos organizacijos žmonių, susiejamos su aukštesnėmis vertybėmis. O tai reiškia, kad reikia kurti organizaciją, kurioje žmonės mato tikėjimo prasmę, su kuria jie save identifikuoja (Jucevičius, 1998).</w:t>
      </w:r>
    </w:p>
    <w:p w:rsidR="00995BE0" w:rsidRPr="00167286" w:rsidRDefault="00995BE0" w:rsidP="00F544B6">
      <w:pPr>
        <w:spacing w:line="360" w:lineRule="auto"/>
        <w:ind w:firstLine="540"/>
        <w:jc w:val="both"/>
      </w:pPr>
      <w:r>
        <w:lastRenderedPageBreak/>
        <w:t>S</w:t>
      </w:r>
      <w:r w:rsidRPr="00167286">
        <w:t>trategin</w:t>
      </w:r>
      <w:r>
        <w:t>io</w:t>
      </w:r>
      <w:r w:rsidRPr="00167286">
        <w:t xml:space="preserve"> valdym</w:t>
      </w:r>
      <w:r>
        <w:t>o</w:t>
      </w:r>
      <w:r w:rsidRPr="00167286">
        <w:t xml:space="preserve"> tikraisiais pradininkais laik</w:t>
      </w:r>
      <w:r>
        <w:t>omi</w:t>
      </w:r>
      <w:r w:rsidRPr="00167286">
        <w:t xml:space="preserve"> trys fundamentalūs darbai: </w:t>
      </w:r>
      <w:r>
        <w:t xml:space="preserve">A. </w:t>
      </w:r>
      <w:r w:rsidRPr="004309AF">
        <w:t xml:space="preserve">Chandler </w:t>
      </w:r>
      <w:r w:rsidRPr="00167286">
        <w:t xml:space="preserve">„Strategija ir struktūra“ (1962), </w:t>
      </w:r>
      <w:r>
        <w:t xml:space="preserve">H. I. </w:t>
      </w:r>
      <w:r w:rsidRPr="00167286">
        <w:t>Ansoff „Korporacijos strategija“ (1965) ir Harv</w:t>
      </w:r>
      <w:r>
        <w:t>a</w:t>
      </w:r>
      <w:r w:rsidRPr="00167286">
        <w:t>rdo universiteto mokslininkų bendra knyga „Biznio politika: teks</w:t>
      </w:r>
      <w:r>
        <w:t>tas ir atvejai“ (Andrews, 1965).</w:t>
      </w:r>
    </w:p>
    <w:p w:rsidR="00995BE0" w:rsidRPr="005208AD" w:rsidRDefault="00995BE0" w:rsidP="0039756D">
      <w:pPr>
        <w:spacing w:line="360" w:lineRule="auto"/>
        <w:ind w:firstLine="567"/>
        <w:jc w:val="right"/>
        <w:rPr>
          <w:sz w:val="22"/>
          <w:szCs w:val="22"/>
          <w:lang w:eastAsia="ar-SA"/>
        </w:rPr>
      </w:pPr>
      <w:r w:rsidRPr="005208AD">
        <w:rPr>
          <w:sz w:val="22"/>
          <w:szCs w:val="22"/>
          <w:lang w:val="en-GB" w:eastAsia="ar-SA"/>
        </w:rPr>
        <w:t>1 lentel</w:t>
      </w:r>
      <w:r w:rsidRPr="005208AD">
        <w:rPr>
          <w:sz w:val="22"/>
          <w:szCs w:val="22"/>
          <w:lang w:eastAsia="ar-SA"/>
        </w:rPr>
        <w:t>ė</w:t>
      </w:r>
    </w:p>
    <w:p w:rsidR="00995BE0" w:rsidRPr="00D2679A" w:rsidRDefault="00995BE0" w:rsidP="00D2679A">
      <w:pPr>
        <w:spacing w:line="360" w:lineRule="auto"/>
        <w:ind w:firstLine="567"/>
        <w:jc w:val="center"/>
        <w:rPr>
          <w:b/>
          <w:sz w:val="22"/>
          <w:szCs w:val="22"/>
          <w:lang w:eastAsia="ar-SA"/>
        </w:rPr>
      </w:pPr>
      <w:r>
        <w:rPr>
          <w:b/>
          <w:sz w:val="22"/>
          <w:szCs w:val="22"/>
          <w:lang w:eastAsia="ar-SA"/>
        </w:rPr>
        <w:t>Požiūriai į strateginį valdymą</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7479"/>
      </w:tblGrid>
      <w:tr w:rsidR="00995BE0" w:rsidTr="006E44DA">
        <w:tc>
          <w:tcPr>
            <w:tcW w:w="2268" w:type="dxa"/>
          </w:tcPr>
          <w:p w:rsidR="00995BE0" w:rsidRPr="003258B2" w:rsidRDefault="00995BE0" w:rsidP="003258B2">
            <w:pPr>
              <w:spacing w:line="360" w:lineRule="auto"/>
              <w:jc w:val="center"/>
              <w:rPr>
                <w:b/>
                <w:sz w:val="20"/>
                <w:szCs w:val="20"/>
                <w:lang w:eastAsia="ar-SA"/>
              </w:rPr>
            </w:pPr>
            <w:r w:rsidRPr="003258B2">
              <w:rPr>
                <w:b/>
                <w:sz w:val="20"/>
                <w:szCs w:val="20"/>
                <w:lang w:eastAsia="ar-SA"/>
              </w:rPr>
              <w:t>AUTORIUS</w:t>
            </w:r>
          </w:p>
        </w:tc>
        <w:tc>
          <w:tcPr>
            <w:tcW w:w="7479" w:type="dxa"/>
          </w:tcPr>
          <w:p w:rsidR="00995BE0" w:rsidRPr="003258B2" w:rsidRDefault="00995BE0" w:rsidP="003258B2">
            <w:pPr>
              <w:spacing w:line="360" w:lineRule="auto"/>
              <w:jc w:val="center"/>
              <w:rPr>
                <w:b/>
                <w:sz w:val="20"/>
                <w:szCs w:val="20"/>
                <w:lang w:eastAsia="ar-SA"/>
              </w:rPr>
            </w:pPr>
            <w:r w:rsidRPr="003258B2">
              <w:rPr>
                <w:b/>
                <w:sz w:val="20"/>
                <w:szCs w:val="20"/>
                <w:lang w:eastAsia="ar-SA"/>
              </w:rPr>
              <w:t>POŽIŪRIAI Į STRATEGINĮ VALDYMĄ</w:t>
            </w:r>
          </w:p>
        </w:tc>
      </w:tr>
      <w:tr w:rsidR="00995BE0" w:rsidTr="006E44DA">
        <w:tc>
          <w:tcPr>
            <w:tcW w:w="2268" w:type="dxa"/>
          </w:tcPr>
          <w:p w:rsidR="00995BE0" w:rsidRPr="004309AF" w:rsidRDefault="00995BE0" w:rsidP="006D73EE">
            <w:pPr>
              <w:spacing w:line="360" w:lineRule="auto"/>
              <w:jc w:val="both"/>
              <w:rPr>
                <w:sz w:val="20"/>
                <w:szCs w:val="20"/>
                <w:lang w:eastAsia="ar-SA"/>
              </w:rPr>
            </w:pPr>
            <w:r w:rsidRPr="004309AF">
              <w:rPr>
                <w:b/>
                <w:sz w:val="20"/>
                <w:szCs w:val="20"/>
                <w:lang w:eastAsia="ar-SA"/>
              </w:rPr>
              <w:t>A. Sharplin (1985)</w:t>
            </w:r>
          </w:p>
        </w:tc>
        <w:tc>
          <w:tcPr>
            <w:tcW w:w="7479" w:type="dxa"/>
          </w:tcPr>
          <w:p w:rsidR="00995BE0" w:rsidRPr="004309AF" w:rsidRDefault="00995BE0" w:rsidP="006E44DA">
            <w:pPr>
              <w:jc w:val="both"/>
              <w:rPr>
                <w:sz w:val="20"/>
                <w:szCs w:val="20"/>
              </w:rPr>
            </w:pPr>
            <w:r w:rsidRPr="004309AF">
              <w:rPr>
                <w:sz w:val="20"/>
                <w:szCs w:val="20"/>
              </w:rPr>
              <w:t>Strateginis valdymas tai planų sudarymas ir įgyvendinimas, vykdant visas organizacijai gyvybiškai svarbias visaapimančias veiklas, kurios lemia ir tolesnį organizacijos funkcionavimą.</w:t>
            </w:r>
          </w:p>
        </w:tc>
      </w:tr>
      <w:tr w:rsidR="00995BE0" w:rsidTr="006E44DA">
        <w:trPr>
          <w:trHeight w:val="533"/>
        </w:trPr>
        <w:tc>
          <w:tcPr>
            <w:tcW w:w="2268" w:type="dxa"/>
          </w:tcPr>
          <w:p w:rsidR="00995BE0" w:rsidRPr="004309AF" w:rsidRDefault="00995BE0" w:rsidP="005F6D0B">
            <w:pPr>
              <w:jc w:val="both"/>
              <w:rPr>
                <w:b/>
                <w:sz w:val="20"/>
                <w:szCs w:val="20"/>
              </w:rPr>
            </w:pPr>
            <w:r w:rsidRPr="004309AF">
              <w:rPr>
                <w:b/>
                <w:sz w:val="20"/>
                <w:szCs w:val="20"/>
              </w:rPr>
              <w:t>G. Saloner, A. Shepard, J. Podolny (2001)</w:t>
            </w:r>
          </w:p>
        </w:tc>
        <w:tc>
          <w:tcPr>
            <w:tcW w:w="7479" w:type="dxa"/>
          </w:tcPr>
          <w:p w:rsidR="00995BE0" w:rsidRPr="004309AF" w:rsidRDefault="00995BE0" w:rsidP="006D73EE">
            <w:pPr>
              <w:autoSpaceDE w:val="0"/>
              <w:autoSpaceDN w:val="0"/>
              <w:adjustRightInd w:val="0"/>
              <w:rPr>
                <w:sz w:val="20"/>
                <w:szCs w:val="20"/>
              </w:rPr>
            </w:pPr>
            <w:r w:rsidRPr="004309AF">
              <w:rPr>
                <w:sz w:val="20"/>
                <w:szCs w:val="20"/>
              </w:rPr>
              <w:t>Strateginis valdymas iš esmės yra pagalba vadybininkui ieškojimuose. Tai yra kūrimas rinkinio įrankių ir konceptualių žemėlapių, siekiant atskleisti sisteminius ryšius tarp vadybininko pasirinkimo ir firmos veiklos.</w:t>
            </w:r>
          </w:p>
        </w:tc>
      </w:tr>
      <w:tr w:rsidR="00995BE0" w:rsidTr="006E44DA">
        <w:trPr>
          <w:trHeight w:val="533"/>
        </w:trPr>
        <w:tc>
          <w:tcPr>
            <w:tcW w:w="2268" w:type="dxa"/>
          </w:tcPr>
          <w:p w:rsidR="00995BE0" w:rsidRPr="004309AF" w:rsidRDefault="00995BE0" w:rsidP="006D224E">
            <w:pPr>
              <w:jc w:val="both"/>
              <w:rPr>
                <w:b/>
                <w:sz w:val="20"/>
                <w:szCs w:val="20"/>
              </w:rPr>
            </w:pPr>
            <w:r w:rsidRPr="004309AF">
              <w:rPr>
                <w:b/>
                <w:sz w:val="20"/>
                <w:szCs w:val="20"/>
              </w:rPr>
              <w:t>Sanchez, R., Heene, A. (2004)</w:t>
            </w:r>
          </w:p>
        </w:tc>
        <w:tc>
          <w:tcPr>
            <w:tcW w:w="7479" w:type="dxa"/>
          </w:tcPr>
          <w:p w:rsidR="00995BE0" w:rsidRPr="004309AF" w:rsidRDefault="00995BE0" w:rsidP="0005565A">
            <w:pPr>
              <w:autoSpaceDE w:val="0"/>
              <w:autoSpaceDN w:val="0"/>
              <w:adjustRightInd w:val="0"/>
              <w:rPr>
                <w:sz w:val="20"/>
                <w:szCs w:val="20"/>
              </w:rPr>
            </w:pPr>
            <w:r w:rsidRPr="004309AF">
              <w:rPr>
                <w:sz w:val="20"/>
                <w:szCs w:val="20"/>
              </w:rPr>
              <w:t>Terminas strateginis valdymas  nurodo valdymo procesą, kuris susijęs su dvejais pagrindiniais uždaviniais: apibūdinti organizacijos tikslus vertės kūrimui ir pritaikymui; kitas uždavinys – sumodeliuoti kelius, kuriais organizacija bus sudaryta, struktūruota, koordinuojama siekiant užsibrėžtų tikslų.</w:t>
            </w:r>
          </w:p>
        </w:tc>
      </w:tr>
      <w:tr w:rsidR="00995BE0" w:rsidTr="006E44DA">
        <w:trPr>
          <w:trHeight w:val="533"/>
        </w:trPr>
        <w:tc>
          <w:tcPr>
            <w:tcW w:w="2268" w:type="dxa"/>
          </w:tcPr>
          <w:p w:rsidR="00995BE0" w:rsidRPr="004309AF" w:rsidRDefault="00995BE0" w:rsidP="00B36533">
            <w:pPr>
              <w:jc w:val="both"/>
              <w:rPr>
                <w:b/>
                <w:sz w:val="20"/>
                <w:szCs w:val="20"/>
              </w:rPr>
            </w:pPr>
            <w:r w:rsidRPr="004309AF">
              <w:rPr>
                <w:b/>
                <w:sz w:val="20"/>
                <w:szCs w:val="20"/>
              </w:rPr>
              <w:t>J.</w:t>
            </w:r>
            <w:r>
              <w:rPr>
                <w:b/>
                <w:sz w:val="20"/>
                <w:szCs w:val="20"/>
              </w:rPr>
              <w:t xml:space="preserve"> </w:t>
            </w:r>
            <w:r w:rsidRPr="004309AF">
              <w:rPr>
                <w:b/>
                <w:sz w:val="20"/>
                <w:szCs w:val="20"/>
              </w:rPr>
              <w:t>Thomson, F.</w:t>
            </w:r>
            <w:r>
              <w:rPr>
                <w:b/>
                <w:sz w:val="20"/>
                <w:szCs w:val="20"/>
              </w:rPr>
              <w:t xml:space="preserve"> </w:t>
            </w:r>
            <w:r w:rsidRPr="004309AF">
              <w:rPr>
                <w:b/>
                <w:sz w:val="20"/>
                <w:szCs w:val="20"/>
              </w:rPr>
              <w:t>Martin (2005)</w:t>
            </w:r>
          </w:p>
        </w:tc>
        <w:tc>
          <w:tcPr>
            <w:tcW w:w="7479" w:type="dxa"/>
          </w:tcPr>
          <w:p w:rsidR="00995BE0" w:rsidRPr="004309AF" w:rsidRDefault="00995BE0" w:rsidP="00B36533">
            <w:pPr>
              <w:autoSpaceDE w:val="0"/>
              <w:autoSpaceDN w:val="0"/>
              <w:adjustRightInd w:val="0"/>
              <w:rPr>
                <w:sz w:val="20"/>
                <w:szCs w:val="20"/>
              </w:rPr>
            </w:pPr>
            <w:r w:rsidRPr="004309AF">
              <w:rPr>
                <w:sz w:val="20"/>
                <w:szCs w:val="20"/>
              </w:rPr>
              <w:t>Strateginis valdymas yra procesas ar procesai, kuriuos reikia suprasti plačiau nei kaip discipliną, kuri moko. Tai procesas, kai organizacija nustato savo tikslus, uždavinius ir norimų pasiekimų lygį; nustatyti veiksmus, kad būtų pasiekti užsibrėžti uždaviniai per tam tikrą laiko tarpą; įgyvendinti veiksmus ir įvertinti progresą ir rezultatus.</w:t>
            </w:r>
          </w:p>
        </w:tc>
      </w:tr>
      <w:tr w:rsidR="00995BE0" w:rsidTr="00581E98">
        <w:trPr>
          <w:trHeight w:val="658"/>
        </w:trPr>
        <w:tc>
          <w:tcPr>
            <w:tcW w:w="2268" w:type="dxa"/>
          </w:tcPr>
          <w:p w:rsidR="00995BE0" w:rsidRPr="004309AF" w:rsidRDefault="00995BE0" w:rsidP="00B94C46">
            <w:pPr>
              <w:jc w:val="both"/>
              <w:rPr>
                <w:b/>
                <w:sz w:val="20"/>
                <w:szCs w:val="20"/>
              </w:rPr>
            </w:pPr>
            <w:r w:rsidRPr="004309AF">
              <w:rPr>
                <w:b/>
                <w:sz w:val="20"/>
                <w:szCs w:val="20"/>
              </w:rPr>
              <w:t>R.</w:t>
            </w:r>
            <w:r>
              <w:rPr>
                <w:b/>
                <w:sz w:val="20"/>
                <w:szCs w:val="20"/>
              </w:rPr>
              <w:t xml:space="preserve"> </w:t>
            </w:r>
            <w:r w:rsidRPr="004309AF">
              <w:rPr>
                <w:b/>
                <w:sz w:val="20"/>
                <w:szCs w:val="20"/>
              </w:rPr>
              <w:t>Nag, D. C.</w:t>
            </w:r>
            <w:r>
              <w:rPr>
                <w:b/>
                <w:sz w:val="20"/>
                <w:szCs w:val="20"/>
              </w:rPr>
              <w:t xml:space="preserve"> </w:t>
            </w:r>
            <w:r w:rsidRPr="004309AF">
              <w:rPr>
                <w:b/>
                <w:sz w:val="20"/>
                <w:szCs w:val="20"/>
              </w:rPr>
              <w:t>Hambrick, M.-J.</w:t>
            </w:r>
            <w:r>
              <w:rPr>
                <w:b/>
                <w:sz w:val="20"/>
                <w:szCs w:val="20"/>
              </w:rPr>
              <w:t xml:space="preserve"> </w:t>
            </w:r>
            <w:r w:rsidRPr="004309AF">
              <w:rPr>
                <w:b/>
                <w:sz w:val="20"/>
                <w:szCs w:val="20"/>
              </w:rPr>
              <w:t>Chen (2007)</w:t>
            </w:r>
          </w:p>
        </w:tc>
        <w:tc>
          <w:tcPr>
            <w:tcW w:w="7479" w:type="dxa"/>
          </w:tcPr>
          <w:p w:rsidR="00995BE0" w:rsidRPr="004309AF" w:rsidRDefault="00995BE0" w:rsidP="00B94C46">
            <w:pPr>
              <w:pStyle w:val="Sraopastraipa"/>
              <w:spacing w:after="200"/>
              <w:ind w:left="0"/>
              <w:jc w:val="both"/>
              <w:rPr>
                <w:sz w:val="20"/>
                <w:szCs w:val="20"/>
              </w:rPr>
            </w:pPr>
            <w:r w:rsidRPr="004309AF">
              <w:rPr>
                <w:sz w:val="20"/>
                <w:szCs w:val="20"/>
              </w:rPr>
              <w:t>Tai sritis, kurioje vadovai savininkų vardu imasi tikslingos ir skubios veiklos (iniciatyvos), apimančios  resursų panaudojimą, kuri didina įmonių darbo efektyvumą ir gerina išorinės aplinkos būklę.</w:t>
            </w:r>
          </w:p>
        </w:tc>
      </w:tr>
      <w:tr w:rsidR="00995BE0" w:rsidTr="006E44DA">
        <w:trPr>
          <w:trHeight w:val="533"/>
        </w:trPr>
        <w:tc>
          <w:tcPr>
            <w:tcW w:w="2268" w:type="dxa"/>
          </w:tcPr>
          <w:p w:rsidR="00995BE0" w:rsidRPr="004309AF" w:rsidRDefault="00995BE0" w:rsidP="0006396A">
            <w:pPr>
              <w:jc w:val="both"/>
              <w:rPr>
                <w:rFonts w:ascii="TimesNewRoman" w:cs="TimesNewRoman"/>
                <w:sz w:val="20"/>
                <w:szCs w:val="20"/>
              </w:rPr>
            </w:pPr>
            <w:r w:rsidRPr="004309AF">
              <w:rPr>
                <w:b/>
                <w:sz w:val="20"/>
                <w:szCs w:val="20"/>
              </w:rPr>
              <w:t>C. A.</w:t>
            </w:r>
            <w:r w:rsidRPr="004309AF">
              <w:rPr>
                <w:sz w:val="20"/>
                <w:szCs w:val="20"/>
              </w:rPr>
              <w:t xml:space="preserve"> </w:t>
            </w:r>
            <w:r w:rsidRPr="004309AF">
              <w:rPr>
                <w:b/>
                <w:sz w:val="20"/>
                <w:szCs w:val="20"/>
              </w:rPr>
              <w:t>Enz (2010)</w:t>
            </w:r>
          </w:p>
        </w:tc>
        <w:tc>
          <w:tcPr>
            <w:tcW w:w="7479" w:type="dxa"/>
          </w:tcPr>
          <w:p w:rsidR="00995BE0" w:rsidRPr="004309AF" w:rsidRDefault="00995BE0" w:rsidP="0005565A">
            <w:pPr>
              <w:pStyle w:val="Sraopastraipa"/>
              <w:spacing w:after="200"/>
              <w:ind w:left="0"/>
              <w:rPr>
                <w:rFonts w:ascii="TimesNewRoman" w:cs="TimesNewRoman"/>
                <w:sz w:val="20"/>
                <w:szCs w:val="20"/>
              </w:rPr>
            </w:pPr>
            <w:r w:rsidRPr="004309AF">
              <w:rPr>
                <w:sz w:val="20"/>
                <w:szCs w:val="20"/>
              </w:rPr>
              <w:t>Strateginis valdymas yra mąstymo procesas, kai organizacijos analizuoja ir mokosi iš jų vidinių ir išorinių aplinkų, nustato strategines kryptis, kuria strategijas, kurios nukreiptų organizaciją reikiama kryptimi, ir dėti visas pastangas tų strategijų įgyvendinimui, kad rezultatai tenkintų pagrindines suinteresuotas šalis.</w:t>
            </w:r>
          </w:p>
        </w:tc>
      </w:tr>
    </w:tbl>
    <w:p w:rsidR="00995BE0" w:rsidRPr="006E44DA" w:rsidRDefault="00995BE0" w:rsidP="006E44DA">
      <w:pPr>
        <w:jc w:val="both"/>
        <w:rPr>
          <w:noProof/>
          <w:sz w:val="20"/>
          <w:szCs w:val="20"/>
        </w:rPr>
      </w:pPr>
      <w:r w:rsidRPr="006E44DA">
        <w:rPr>
          <w:sz w:val="20"/>
          <w:szCs w:val="20"/>
          <w:lang w:eastAsia="ar-SA"/>
        </w:rPr>
        <w:t>Sudaryta autoriaus, remiantis šaltiniais:</w:t>
      </w:r>
      <w:r w:rsidRPr="006E44DA">
        <w:rPr>
          <w:sz w:val="20"/>
          <w:szCs w:val="20"/>
        </w:rPr>
        <w:t xml:space="preserve"> Sharplin, A. (1985). Strategic management. McGraw – Hill. New York.; Saloner, G., Shepard, A., Podolny, J. (2001). Strategic Management. John Wiley</w:t>
      </w:r>
      <w:r w:rsidRPr="006E44DA">
        <w:rPr>
          <w:sz w:val="20"/>
          <w:szCs w:val="20"/>
          <w:lang w:val="en-US"/>
        </w:rPr>
        <w:t xml:space="preserve">&amp;Sons, Inc.; </w:t>
      </w:r>
      <w:r w:rsidRPr="006E44DA">
        <w:rPr>
          <w:sz w:val="20"/>
          <w:szCs w:val="20"/>
        </w:rPr>
        <w:t xml:space="preserve">Sanchez, R., Heene, A. (2004). The New Strategic Management. Organization, Competition and Competence. USA; Thomson, J., Martin, F. (2005). Strategic Management. Awareness and Change. London.; Nag, R., Hambrick, D., C., Chen, M.-J. </w:t>
      </w:r>
      <w:r w:rsidRPr="006E44DA">
        <w:rPr>
          <w:i/>
          <w:iCs/>
          <w:sz w:val="20"/>
          <w:szCs w:val="20"/>
        </w:rPr>
        <w:t>What is strategic management, really? Inductive derivation of a consensus definition of the field</w:t>
      </w:r>
      <w:r w:rsidRPr="006E44DA">
        <w:rPr>
          <w:sz w:val="20"/>
          <w:szCs w:val="20"/>
        </w:rPr>
        <w:t xml:space="preserve">. Strategic Management Journal. Volume 28, Issue 9, pages 935–955, September 2007; </w:t>
      </w:r>
      <w:r w:rsidRPr="006E44DA">
        <w:rPr>
          <w:sz w:val="20"/>
          <w:szCs w:val="20"/>
          <w:lang w:eastAsia="en-US"/>
        </w:rPr>
        <w:t>Enz</w:t>
      </w:r>
      <w:r w:rsidRPr="006E44DA">
        <w:rPr>
          <w:sz w:val="20"/>
          <w:szCs w:val="20"/>
        </w:rPr>
        <w:t xml:space="preserve">, </w:t>
      </w:r>
      <w:r w:rsidRPr="006E44DA">
        <w:rPr>
          <w:sz w:val="20"/>
          <w:szCs w:val="20"/>
          <w:lang w:eastAsia="en-US"/>
        </w:rPr>
        <w:t xml:space="preserve">C. A. (2010). </w:t>
      </w:r>
      <w:r w:rsidRPr="006E44DA">
        <w:rPr>
          <w:sz w:val="20"/>
          <w:szCs w:val="20"/>
        </w:rPr>
        <w:t>Hospitality Strategic Management – Concepts and Cases (second edition). John Wiley and Sons, New Jersey.</w:t>
      </w:r>
    </w:p>
    <w:p w:rsidR="00995BE0" w:rsidRPr="00EB271E" w:rsidRDefault="00995BE0" w:rsidP="006E44DA">
      <w:pPr>
        <w:autoSpaceDE w:val="0"/>
        <w:autoSpaceDN w:val="0"/>
        <w:adjustRightInd w:val="0"/>
        <w:ind w:left="720"/>
        <w:jc w:val="both"/>
        <w:rPr>
          <w:i/>
          <w:iCs/>
          <w:sz w:val="22"/>
          <w:szCs w:val="22"/>
        </w:rPr>
      </w:pPr>
    </w:p>
    <w:p w:rsidR="00995BE0" w:rsidRPr="00EB271E" w:rsidRDefault="00995BE0" w:rsidP="006E44DA">
      <w:pPr>
        <w:autoSpaceDE w:val="0"/>
        <w:autoSpaceDN w:val="0"/>
        <w:adjustRightInd w:val="0"/>
        <w:ind w:left="360"/>
        <w:jc w:val="both"/>
        <w:rPr>
          <w:sz w:val="22"/>
          <w:szCs w:val="22"/>
        </w:rPr>
      </w:pPr>
    </w:p>
    <w:p w:rsidR="00995BE0" w:rsidRPr="00281F66" w:rsidRDefault="00995BE0" w:rsidP="006E44DA">
      <w:pPr>
        <w:pStyle w:val="ListParagraph1"/>
        <w:contextualSpacing w:val="0"/>
        <w:jc w:val="both"/>
        <w:rPr>
          <w:sz w:val="22"/>
          <w:szCs w:val="22"/>
        </w:rPr>
      </w:pPr>
    </w:p>
    <w:p w:rsidR="00995BE0" w:rsidRDefault="00995BE0" w:rsidP="006D73EE">
      <w:pPr>
        <w:spacing w:line="360" w:lineRule="auto"/>
        <w:ind w:firstLine="567"/>
        <w:jc w:val="both"/>
      </w:pPr>
      <w:r w:rsidRPr="001D71BB">
        <w:t xml:space="preserve">1978 m. Danas Schendelis ir Charkesas Hoferis sukūrė sudėtinį strateginio valdymo apibrėžimą. Jis buvo grindžiamas principu, kad bendras organizacijos sumanymas gali būti išsamiai aprašytas, greta organizacijos politikos ir strategijos nurodant siekiamus tikslus – kaip pagrindinius strateginio valdymo proceso veiksnius. Apibendrindami </w:t>
      </w:r>
      <w:r>
        <w:t xml:space="preserve">C. </w:t>
      </w:r>
      <w:r w:rsidRPr="001D71BB">
        <w:t xml:space="preserve">Hoferis ir </w:t>
      </w:r>
      <w:r>
        <w:t xml:space="preserve">D. </w:t>
      </w:r>
      <w:r w:rsidRPr="001D71BB">
        <w:t>Schandelis dėmesį sutelkė į keturis strateginio valdymo aspektus. Pirmasis – tikslo nustatymas. Antrasis – strategijos formulavimas, grindžiamas tais tikslais. Po to strategijos įgyvendinimas, t.y. perėjimas nuo analizės prie administravimo – užduoties pasiekti numatytu tikslu. Paskutinė užduotis – strateginė kontrolė – teikia vadovams grįžtamąjį ryšį. Žinoma, neigiamas grįžtamasi ryšys gali sukelti naują strateginio planavimo ciklą (Stoner, ir kt. 2005).</w:t>
      </w:r>
    </w:p>
    <w:p w:rsidR="00995BE0" w:rsidRPr="001D71BB" w:rsidRDefault="00995BE0" w:rsidP="006D73EE">
      <w:pPr>
        <w:spacing w:line="360" w:lineRule="auto"/>
        <w:ind w:firstLine="567"/>
        <w:jc w:val="both"/>
      </w:pPr>
      <w:r w:rsidRPr="001D71BB">
        <w:t>G. E. Greenley</w:t>
      </w:r>
      <w:r>
        <w:t xml:space="preserve"> (1992)</w:t>
      </w:r>
      <w:r w:rsidRPr="001D71BB">
        <w:t xml:space="preserve"> nurodo, kad yra keturi strateginio valdymo evoliucijos etapai</w:t>
      </w:r>
      <w:r>
        <w:t xml:space="preserve"> (1 pav.). Pirmasis etapas (biudžeto sudarymas ir kontrolė) prasidėjo XX a. pradžioje, kai buvo stengiamasi </w:t>
      </w:r>
      <w:r>
        <w:lastRenderedPageBreak/>
        <w:t>valdymą padaryti bent šiek tiek sistemišką sudarant biudžeto planą ir įvedant kontrolę.</w:t>
      </w:r>
      <w:r w:rsidRPr="00403671">
        <w:t xml:space="preserve"> </w:t>
      </w:r>
      <w:r>
        <w:t>D</w:t>
      </w:r>
      <w:r w:rsidRPr="00025E9C">
        <w:t>abar</w:t>
      </w:r>
      <w:r>
        <w:t>tinis</w:t>
      </w:r>
      <w:r w:rsidRPr="00025E9C">
        <w:t xml:space="preserve"> </w:t>
      </w:r>
      <w:r>
        <w:t>s</w:t>
      </w:r>
      <w:r w:rsidRPr="00025E9C">
        <w:t>trategin</w:t>
      </w:r>
      <w:r>
        <w:t>is</w:t>
      </w:r>
      <w:r w:rsidRPr="00025E9C">
        <w:t xml:space="preserve"> va</w:t>
      </w:r>
      <w:r>
        <w:t>ldymas, kaip teigia</w:t>
      </w:r>
      <w:r w:rsidRPr="00025E9C">
        <w:t xml:space="preserve"> </w:t>
      </w:r>
      <w:r>
        <w:t xml:space="preserve">J. D. </w:t>
      </w:r>
      <w:r w:rsidRPr="00025E9C">
        <w:rPr>
          <w:rFonts w:cs="NCBKPE+TimesNewRoman,Bold"/>
          <w:bCs/>
          <w:color w:val="000000"/>
        </w:rPr>
        <w:t>Hunger</w:t>
      </w:r>
      <w:r>
        <w:rPr>
          <w:rFonts w:cs="NCBKPE+TimesNewRoman,Bold"/>
          <w:bCs/>
          <w:color w:val="000000"/>
        </w:rPr>
        <w:t xml:space="preserve">, T. L. </w:t>
      </w:r>
      <w:r w:rsidRPr="00025E9C">
        <w:rPr>
          <w:rFonts w:cs="NCBKPE+TimesNewRoman,Bold"/>
          <w:bCs/>
          <w:color w:val="000000"/>
        </w:rPr>
        <w:t xml:space="preserve">Wheelen </w:t>
      </w:r>
      <w:r>
        <w:rPr>
          <w:rFonts w:cs="NCBKPE+TimesNewRoman,Bold"/>
          <w:bCs/>
          <w:color w:val="000000"/>
        </w:rPr>
        <w:t>(</w:t>
      </w:r>
      <w:r w:rsidRPr="00025E9C">
        <w:rPr>
          <w:rFonts w:cs="NCBKPE+TimesNewRoman,Bold"/>
          <w:bCs/>
          <w:color w:val="000000"/>
        </w:rPr>
        <w:t>2003</w:t>
      </w:r>
      <w:r>
        <w:rPr>
          <w:rFonts w:cs="NCBKPE+TimesNewRoman,Bold"/>
          <w:bCs/>
          <w:color w:val="000000"/>
        </w:rPr>
        <w:t xml:space="preserve">), </w:t>
      </w:r>
      <w:r w:rsidRPr="00025E9C">
        <w:t>plėtoj</w:t>
      </w:r>
      <w:r>
        <w:t>a</w:t>
      </w:r>
      <w:r w:rsidRPr="00025E9C">
        <w:t xml:space="preserve">si į </w:t>
      </w:r>
      <w:r>
        <w:t>tai</w:t>
      </w:r>
      <w:r w:rsidRPr="00025E9C">
        <w:t xml:space="preserve">, </w:t>
      </w:r>
      <w:r>
        <w:t>jog</w:t>
      </w:r>
      <w:r w:rsidRPr="00025E9C">
        <w:t xml:space="preserve"> tai yra pirminė vertė, turi padėti organizacijai veikti sėkmingai dinamiškoje, sudėtingoje aplinkoje.</w:t>
      </w:r>
    </w:p>
    <w:p w:rsidR="00995BE0" w:rsidRPr="001D71BB" w:rsidRDefault="00995BE0" w:rsidP="006D73EE">
      <w:pPr>
        <w:spacing w:line="360" w:lineRule="auto"/>
        <w:ind w:firstLine="567"/>
        <w:jc w:val="both"/>
      </w:pPr>
    </w:p>
    <w:p w:rsidR="00995BE0" w:rsidRPr="001D71BB" w:rsidRDefault="00A54FAC" w:rsidP="006D73EE">
      <w:pPr>
        <w:spacing w:line="360" w:lineRule="auto"/>
        <w:jc w:val="center"/>
      </w:pPr>
      <w:r>
        <w:rPr>
          <w:noProof/>
        </w:rPr>
        <w:drawing>
          <wp:inline distT="0" distB="0" distL="0" distR="0">
            <wp:extent cx="4378148" cy="1599083"/>
            <wp:effectExtent l="95250" t="19050" r="60502" b="20167"/>
            <wp:docPr id="3" name="Paveikslėlis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95BE0" w:rsidRPr="00993A98" w:rsidRDefault="00995BE0" w:rsidP="006D73EE">
      <w:pPr>
        <w:ind w:firstLine="567"/>
        <w:jc w:val="center"/>
        <w:rPr>
          <w:sz w:val="22"/>
          <w:szCs w:val="22"/>
        </w:rPr>
      </w:pPr>
      <w:r w:rsidRPr="00993A98">
        <w:rPr>
          <w:b/>
          <w:sz w:val="22"/>
          <w:szCs w:val="22"/>
        </w:rPr>
        <w:t>1 pav.</w:t>
      </w:r>
      <w:r w:rsidRPr="00993A98">
        <w:rPr>
          <w:sz w:val="22"/>
          <w:szCs w:val="22"/>
        </w:rPr>
        <w:t xml:space="preserve"> Strateginio valdymo evoliucijos etapai</w:t>
      </w:r>
    </w:p>
    <w:p w:rsidR="00995BE0" w:rsidRPr="001D71BB" w:rsidRDefault="00995BE0" w:rsidP="006D73EE">
      <w:pPr>
        <w:ind w:firstLine="567"/>
        <w:jc w:val="center"/>
        <w:rPr>
          <w:sz w:val="20"/>
          <w:szCs w:val="20"/>
        </w:rPr>
      </w:pPr>
      <w:r>
        <w:rPr>
          <w:noProof/>
          <w:sz w:val="20"/>
          <w:szCs w:val="20"/>
        </w:rPr>
        <w:t xml:space="preserve">Sudaryta autoriaus, remiantis šaltiniu: </w:t>
      </w:r>
      <w:r w:rsidRPr="001D71BB">
        <w:rPr>
          <w:noProof/>
          <w:sz w:val="20"/>
          <w:szCs w:val="20"/>
        </w:rPr>
        <w:t xml:space="preserve">Arimavičiūtė, M. (2005) </w:t>
      </w:r>
      <w:r w:rsidRPr="001D71BB">
        <w:rPr>
          <w:i/>
          <w:noProof/>
          <w:sz w:val="20"/>
          <w:szCs w:val="20"/>
        </w:rPr>
        <w:t>Viešojo sektoriaus institucijų strateginis valdymas.</w:t>
      </w:r>
      <w:r w:rsidRPr="001D71BB">
        <w:rPr>
          <w:sz w:val="20"/>
          <w:szCs w:val="20"/>
        </w:rPr>
        <w:t xml:space="preserve"> </w:t>
      </w:r>
      <w:r>
        <w:rPr>
          <w:sz w:val="20"/>
          <w:szCs w:val="20"/>
        </w:rPr>
        <w:t>Vilnius. Mykolo Romerio universitetas.</w:t>
      </w:r>
    </w:p>
    <w:p w:rsidR="00995BE0" w:rsidRDefault="00995BE0" w:rsidP="006D73EE">
      <w:pPr>
        <w:spacing w:line="360" w:lineRule="auto"/>
        <w:ind w:firstLine="567"/>
        <w:jc w:val="both"/>
      </w:pPr>
    </w:p>
    <w:p w:rsidR="00995BE0" w:rsidRPr="001B5109" w:rsidRDefault="00995BE0" w:rsidP="006D73EE">
      <w:pPr>
        <w:autoSpaceDE w:val="0"/>
        <w:autoSpaceDN w:val="0"/>
        <w:adjustRightInd w:val="0"/>
        <w:spacing w:line="360" w:lineRule="auto"/>
        <w:ind w:firstLine="567"/>
        <w:jc w:val="both"/>
        <w:rPr>
          <w:noProof/>
        </w:rPr>
      </w:pPr>
      <w:r>
        <w:rPr>
          <w:noProof/>
        </w:rPr>
        <w:t>Mokslinių šaltinių autoriai įvairiai išskiria strateginio valdymo ciklus.</w:t>
      </w:r>
      <w:r w:rsidRPr="001D71BB">
        <w:rPr>
          <w:noProof/>
        </w:rPr>
        <w:t xml:space="preserve"> Ne kiekvienos organizacijos strateginio valdymo sistema apima visas stadijas. Jeigu organizacija sutelkia dėmesį į strateginį planavimą tai dar</w:t>
      </w:r>
      <w:r>
        <w:rPr>
          <w:noProof/>
        </w:rPr>
        <w:t xml:space="preserve"> </w:t>
      </w:r>
      <w:r w:rsidRPr="001D71BB">
        <w:rPr>
          <w:noProof/>
        </w:rPr>
        <w:t>nereiškia, kad jos biudžeto planavimo procese yra taikomi strateginiai metodai. Tokiose situacijose ne visas programinis biudžetas siejamas su strateginiu valdymu.</w:t>
      </w:r>
      <w:r>
        <w:rPr>
          <w:noProof/>
        </w:rPr>
        <w:t xml:space="preserve"> J. </w:t>
      </w:r>
      <w:r w:rsidRPr="0056651B">
        <w:rPr>
          <w:rFonts w:cs="NCBKPE+TimesNewRoman,Bold"/>
          <w:bCs/>
        </w:rPr>
        <w:t>D. Hunger,  T. L. Wheelen (2003) skiria 4 stadi</w:t>
      </w:r>
      <w:r w:rsidRPr="001B5109">
        <w:rPr>
          <w:rFonts w:cs="NCBKPE+TimesNewRoman,Bold"/>
          <w:bCs/>
          <w:color w:val="000000"/>
        </w:rPr>
        <w:t>jas (</w:t>
      </w:r>
      <w:r w:rsidRPr="00201FEA">
        <w:rPr>
          <w:rFonts w:cs="NCBKPE+TimesNewRoman,Bold"/>
          <w:bCs/>
          <w:color w:val="000000"/>
        </w:rPr>
        <w:t>2</w:t>
      </w:r>
      <w:r w:rsidRPr="001B5109">
        <w:rPr>
          <w:rFonts w:cs="NCBKPE+TimesNewRoman,Bold"/>
          <w:bCs/>
          <w:color w:val="000000"/>
        </w:rPr>
        <w:t xml:space="preserve"> pav.).</w:t>
      </w:r>
    </w:p>
    <w:p w:rsidR="00995BE0" w:rsidRPr="001D71BB" w:rsidRDefault="00A54FAC" w:rsidP="006D73EE">
      <w:pPr>
        <w:autoSpaceDE w:val="0"/>
        <w:autoSpaceDN w:val="0"/>
        <w:adjustRightInd w:val="0"/>
        <w:spacing w:line="360" w:lineRule="auto"/>
        <w:jc w:val="center"/>
        <w:rPr>
          <w:b/>
          <w:noProof/>
        </w:rPr>
      </w:pPr>
      <w:r>
        <w:rPr>
          <w:b/>
          <w:noProof/>
        </w:rPr>
        <w:drawing>
          <wp:inline distT="0" distB="0" distL="0" distR="0">
            <wp:extent cx="4265792" cy="1528445"/>
            <wp:effectExtent l="95250" t="0" r="96658" b="0"/>
            <wp:docPr id="4" name="Paveikslėlis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95BE0" w:rsidRDefault="00995BE0" w:rsidP="006D73EE">
      <w:pPr>
        <w:autoSpaceDE w:val="0"/>
        <w:autoSpaceDN w:val="0"/>
        <w:adjustRightInd w:val="0"/>
        <w:ind w:firstLine="567"/>
        <w:jc w:val="center"/>
        <w:rPr>
          <w:noProof/>
          <w:sz w:val="22"/>
          <w:szCs w:val="22"/>
        </w:rPr>
      </w:pPr>
      <w:r>
        <w:rPr>
          <w:b/>
          <w:noProof/>
          <w:sz w:val="22"/>
          <w:szCs w:val="22"/>
        </w:rPr>
        <w:t>2</w:t>
      </w:r>
      <w:r w:rsidRPr="00993A98">
        <w:rPr>
          <w:b/>
          <w:noProof/>
          <w:sz w:val="22"/>
          <w:szCs w:val="22"/>
        </w:rPr>
        <w:t xml:space="preserve"> pav.</w:t>
      </w:r>
      <w:r w:rsidRPr="00993A98">
        <w:rPr>
          <w:noProof/>
          <w:sz w:val="22"/>
          <w:szCs w:val="22"/>
        </w:rPr>
        <w:t xml:space="preserve"> Strateginio valdymo </w:t>
      </w:r>
      <w:r>
        <w:rPr>
          <w:noProof/>
          <w:sz w:val="22"/>
          <w:szCs w:val="22"/>
        </w:rPr>
        <w:t>modelis</w:t>
      </w:r>
    </w:p>
    <w:p w:rsidR="00995BE0" w:rsidRPr="00993A98" w:rsidRDefault="00995BE0" w:rsidP="006D73EE">
      <w:pPr>
        <w:autoSpaceDE w:val="0"/>
        <w:autoSpaceDN w:val="0"/>
        <w:adjustRightInd w:val="0"/>
        <w:ind w:firstLine="567"/>
        <w:jc w:val="center"/>
        <w:rPr>
          <w:noProof/>
          <w:sz w:val="22"/>
          <w:szCs w:val="22"/>
        </w:rPr>
      </w:pPr>
    </w:p>
    <w:p w:rsidR="00995BE0" w:rsidRPr="001B5109" w:rsidRDefault="00995BE0" w:rsidP="006D73EE">
      <w:pPr>
        <w:ind w:left="720"/>
        <w:jc w:val="both"/>
        <w:rPr>
          <w:color w:val="0000FF"/>
          <w:sz w:val="20"/>
          <w:szCs w:val="20"/>
          <w:u w:val="single"/>
        </w:rPr>
      </w:pPr>
      <w:r>
        <w:rPr>
          <w:noProof/>
          <w:sz w:val="20"/>
          <w:szCs w:val="20"/>
        </w:rPr>
        <w:t>Sudaryta autoriaus, remiantis šaltiniu</w:t>
      </w:r>
      <w:r w:rsidRPr="001D71BB">
        <w:rPr>
          <w:noProof/>
          <w:sz w:val="20"/>
          <w:szCs w:val="20"/>
        </w:rPr>
        <w:t xml:space="preserve">: </w:t>
      </w:r>
      <w:r w:rsidRPr="00721CE5">
        <w:rPr>
          <w:rFonts w:cs="NCBKPE+TimesNewRoman,Bold"/>
          <w:bCs/>
          <w:color w:val="000000"/>
          <w:sz w:val="20"/>
          <w:szCs w:val="20"/>
        </w:rPr>
        <w:t xml:space="preserve">Hunger, </w:t>
      </w:r>
      <w:r>
        <w:rPr>
          <w:rFonts w:cs="NCBKPE+TimesNewRoman,Bold"/>
          <w:bCs/>
          <w:color w:val="000000"/>
          <w:sz w:val="20"/>
          <w:szCs w:val="20"/>
        </w:rPr>
        <w:t xml:space="preserve">J., </w:t>
      </w:r>
      <w:r w:rsidRPr="00721CE5">
        <w:rPr>
          <w:rFonts w:cs="NCBKPE+TimesNewRoman,Bold"/>
          <w:bCs/>
          <w:color w:val="000000"/>
          <w:sz w:val="20"/>
          <w:szCs w:val="20"/>
        </w:rPr>
        <w:t xml:space="preserve">D., Wheelen, T. L. (2003). </w:t>
      </w:r>
      <w:r w:rsidRPr="00721CE5">
        <w:rPr>
          <w:rFonts w:cs="NCBKPE+TimesNewRoman,Bold"/>
          <w:bCs/>
          <w:i/>
          <w:color w:val="000000"/>
          <w:sz w:val="20"/>
          <w:szCs w:val="20"/>
        </w:rPr>
        <w:t>Essentials of Strategic Management</w:t>
      </w:r>
      <w:r>
        <w:rPr>
          <w:rFonts w:cs="NCBKPE+TimesNewRoman,Bold"/>
          <w:bCs/>
          <w:color w:val="000000"/>
          <w:sz w:val="20"/>
          <w:szCs w:val="20"/>
        </w:rPr>
        <w:t xml:space="preserve"> [i</w:t>
      </w:r>
      <w:r w:rsidRPr="00721CE5">
        <w:rPr>
          <w:rFonts w:cs="NCBKPE+TimesNewRoman,Bold"/>
          <w:bCs/>
          <w:color w:val="000000"/>
          <w:sz w:val="20"/>
          <w:szCs w:val="20"/>
        </w:rPr>
        <w:t xml:space="preserve">nteraktyvus] [žiūrėta 2011-02-08]. Prieiga per internetą: </w:t>
      </w:r>
      <w:hyperlink r:id="rId18" w:history="1">
        <w:r w:rsidRPr="001B5109">
          <w:rPr>
            <w:rStyle w:val="Hipersaitas"/>
            <w:rFonts w:cs="NCBKPE+TimesNewRoman,Bold"/>
            <w:bCs/>
            <w:sz w:val="20"/>
            <w:szCs w:val="20"/>
          </w:rPr>
          <w:t>http://www</w:t>
        </w:r>
      </w:hyperlink>
      <w:r w:rsidRPr="001B5109">
        <w:rPr>
          <w:rFonts w:cs="NCBKPE+TimesNewRoman,Bold"/>
          <w:bCs/>
          <w:color w:val="0000FF"/>
          <w:sz w:val="20"/>
          <w:szCs w:val="20"/>
          <w:u w:val="single"/>
        </w:rPr>
        <w:t>.hrfolks.com/Articles/Strategic%20HRM/Essentials%20of%20Strategic%20Management.pdf</w:t>
      </w:r>
    </w:p>
    <w:p w:rsidR="00995BE0" w:rsidRPr="001D71BB" w:rsidRDefault="00995BE0" w:rsidP="006D73EE">
      <w:pPr>
        <w:autoSpaceDE w:val="0"/>
        <w:autoSpaceDN w:val="0"/>
        <w:adjustRightInd w:val="0"/>
        <w:ind w:firstLine="567"/>
        <w:jc w:val="center"/>
        <w:rPr>
          <w:noProof/>
          <w:sz w:val="20"/>
          <w:szCs w:val="20"/>
        </w:rPr>
      </w:pPr>
    </w:p>
    <w:p w:rsidR="00995BE0" w:rsidRPr="001D71BB" w:rsidRDefault="00995BE0" w:rsidP="006D73EE">
      <w:pPr>
        <w:autoSpaceDE w:val="0"/>
        <w:autoSpaceDN w:val="0"/>
        <w:adjustRightInd w:val="0"/>
        <w:spacing w:line="360" w:lineRule="auto"/>
        <w:ind w:firstLine="567"/>
        <w:jc w:val="both"/>
        <w:rPr>
          <w:noProof/>
          <w:sz w:val="20"/>
          <w:szCs w:val="20"/>
        </w:rPr>
      </w:pPr>
    </w:p>
    <w:p w:rsidR="00995BE0" w:rsidRPr="001D71BB" w:rsidRDefault="00995BE0" w:rsidP="006D73EE">
      <w:pPr>
        <w:autoSpaceDE w:val="0"/>
        <w:autoSpaceDN w:val="0"/>
        <w:adjustRightInd w:val="0"/>
        <w:spacing w:line="360" w:lineRule="auto"/>
        <w:ind w:firstLine="567"/>
        <w:jc w:val="both"/>
      </w:pPr>
      <w:r>
        <w:t xml:space="preserve">J. </w:t>
      </w:r>
      <w:r w:rsidRPr="001D71BB">
        <w:t>Staponkienė (2004) savo straipsnyje „Strateginis valdymas privataus ir viešojo sektoriaus organizacijose: panašumai ir skirtumai“, išskiria  3 strateginio valdymo stadijas (</w:t>
      </w:r>
      <w:r>
        <w:t>2</w:t>
      </w:r>
      <w:r w:rsidRPr="001D71BB">
        <w:t xml:space="preserve"> lent.):</w:t>
      </w:r>
    </w:p>
    <w:p w:rsidR="00995BE0" w:rsidRPr="001D71BB" w:rsidRDefault="00995BE0" w:rsidP="006D73EE">
      <w:pPr>
        <w:numPr>
          <w:ilvl w:val="0"/>
          <w:numId w:val="4"/>
        </w:numPr>
        <w:spacing w:line="360" w:lineRule="auto"/>
        <w:jc w:val="both"/>
      </w:pPr>
      <w:r>
        <w:t>Strateginę analizę</w:t>
      </w:r>
      <w:r w:rsidRPr="001D71BB">
        <w:t>, kuri apima retrospektyvinio periodo organizacijos išorinės aplinkos išteklių analizę ir prognozavimą perspektyviniam periodui;</w:t>
      </w:r>
    </w:p>
    <w:p w:rsidR="00995BE0" w:rsidRPr="001D71BB" w:rsidRDefault="00995BE0" w:rsidP="006D73EE">
      <w:pPr>
        <w:numPr>
          <w:ilvl w:val="0"/>
          <w:numId w:val="4"/>
        </w:numPr>
        <w:spacing w:line="360" w:lineRule="auto"/>
        <w:jc w:val="both"/>
      </w:pPr>
      <w:r w:rsidRPr="001D71BB">
        <w:lastRenderedPageBreak/>
        <w:t>Strategijos kūrimą, apimantį organizacijos tikslinės orientacijos apibrėžimą, strateginių sprendimų alternatyvų parengimą, jų įvertinimą ir galutinių strateginių sprendimų parinkimą.</w:t>
      </w:r>
    </w:p>
    <w:p w:rsidR="00995BE0" w:rsidRPr="001D71BB" w:rsidRDefault="00995BE0" w:rsidP="006D73EE">
      <w:pPr>
        <w:numPr>
          <w:ilvl w:val="0"/>
          <w:numId w:val="4"/>
        </w:numPr>
        <w:spacing w:line="360" w:lineRule="auto"/>
        <w:jc w:val="both"/>
      </w:pPr>
      <w:r w:rsidRPr="001D71BB">
        <w:t>Strategijos įgyvendinimą, kuris nusako užduočių vykdytojams rengimą, resursų paskirstymą ir biudžetinį planavimą, apskaitos ir kontrolės procedūras.</w:t>
      </w:r>
    </w:p>
    <w:p w:rsidR="00995BE0" w:rsidRPr="0032473D" w:rsidRDefault="00995BE0" w:rsidP="006D73EE">
      <w:pPr>
        <w:spacing w:line="360" w:lineRule="auto"/>
        <w:jc w:val="right"/>
      </w:pPr>
      <w:r>
        <w:rPr>
          <w:lang w:val="pt-BR"/>
        </w:rPr>
        <w:t>2</w:t>
      </w:r>
      <w:r w:rsidRPr="0032473D">
        <w:t xml:space="preserve"> lentelė</w:t>
      </w:r>
    </w:p>
    <w:p w:rsidR="00995BE0" w:rsidRPr="00993A98" w:rsidRDefault="00995BE0" w:rsidP="006D73EE">
      <w:pPr>
        <w:spacing w:line="360" w:lineRule="auto"/>
        <w:jc w:val="center"/>
        <w:rPr>
          <w:b/>
          <w:sz w:val="22"/>
          <w:szCs w:val="22"/>
        </w:rPr>
      </w:pPr>
      <w:r w:rsidRPr="00993A98">
        <w:rPr>
          <w:b/>
          <w:sz w:val="22"/>
          <w:szCs w:val="22"/>
        </w:rPr>
        <w:t>Strateginio valdymo proceso stadijos, etapai ir technikos</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0"/>
        <w:gridCol w:w="4778"/>
        <w:gridCol w:w="3720"/>
      </w:tblGrid>
      <w:tr w:rsidR="00995BE0" w:rsidRPr="001D71BB" w:rsidTr="00D345F6">
        <w:tc>
          <w:tcPr>
            <w:tcW w:w="1450" w:type="dxa"/>
          </w:tcPr>
          <w:p w:rsidR="00995BE0" w:rsidRPr="008B7238" w:rsidRDefault="00995BE0" w:rsidP="008B7238">
            <w:pPr>
              <w:jc w:val="center"/>
              <w:rPr>
                <w:b/>
                <w:bCs/>
                <w:sz w:val="20"/>
                <w:szCs w:val="20"/>
              </w:rPr>
            </w:pPr>
            <w:r w:rsidRPr="008B7238">
              <w:rPr>
                <w:b/>
                <w:bCs/>
                <w:sz w:val="20"/>
                <w:szCs w:val="20"/>
              </w:rPr>
              <w:t>Stadijos</w:t>
            </w:r>
          </w:p>
        </w:tc>
        <w:tc>
          <w:tcPr>
            <w:tcW w:w="4778" w:type="dxa"/>
          </w:tcPr>
          <w:p w:rsidR="00995BE0" w:rsidRPr="008B7238" w:rsidRDefault="00995BE0" w:rsidP="008B7238">
            <w:pPr>
              <w:jc w:val="center"/>
              <w:rPr>
                <w:b/>
                <w:sz w:val="20"/>
                <w:szCs w:val="20"/>
              </w:rPr>
            </w:pPr>
            <w:r w:rsidRPr="008B7238">
              <w:rPr>
                <w:b/>
                <w:sz w:val="20"/>
                <w:szCs w:val="20"/>
              </w:rPr>
              <w:t>Etapai</w:t>
            </w:r>
          </w:p>
        </w:tc>
        <w:tc>
          <w:tcPr>
            <w:tcW w:w="3720" w:type="dxa"/>
          </w:tcPr>
          <w:p w:rsidR="00995BE0" w:rsidRPr="008B7238" w:rsidRDefault="00995BE0" w:rsidP="008B7238">
            <w:pPr>
              <w:jc w:val="center"/>
              <w:rPr>
                <w:b/>
                <w:sz w:val="20"/>
                <w:szCs w:val="20"/>
              </w:rPr>
            </w:pPr>
            <w:r w:rsidRPr="008B7238">
              <w:rPr>
                <w:b/>
                <w:sz w:val="20"/>
                <w:szCs w:val="20"/>
              </w:rPr>
              <w:t>Technikos</w:t>
            </w:r>
          </w:p>
        </w:tc>
      </w:tr>
      <w:tr w:rsidR="00995BE0" w:rsidRPr="001D71BB" w:rsidTr="00D345F6">
        <w:tc>
          <w:tcPr>
            <w:tcW w:w="1450" w:type="dxa"/>
            <w:vMerge w:val="restart"/>
          </w:tcPr>
          <w:p w:rsidR="00995BE0" w:rsidRPr="008B7238" w:rsidRDefault="00995BE0" w:rsidP="006D73EE">
            <w:pPr>
              <w:rPr>
                <w:b/>
                <w:bCs/>
                <w:sz w:val="20"/>
                <w:szCs w:val="20"/>
              </w:rPr>
            </w:pPr>
            <w:r w:rsidRPr="008B7238">
              <w:rPr>
                <w:b/>
                <w:bCs/>
                <w:sz w:val="20"/>
                <w:szCs w:val="20"/>
              </w:rPr>
              <w:t>Analizė</w:t>
            </w:r>
          </w:p>
          <w:p w:rsidR="00995BE0" w:rsidRPr="008B7238" w:rsidRDefault="00995BE0" w:rsidP="006D73EE">
            <w:pPr>
              <w:rPr>
                <w:b/>
                <w:bCs/>
                <w:sz w:val="20"/>
                <w:szCs w:val="20"/>
              </w:rPr>
            </w:pPr>
          </w:p>
        </w:tc>
        <w:tc>
          <w:tcPr>
            <w:tcW w:w="4778" w:type="dxa"/>
          </w:tcPr>
          <w:p w:rsidR="00995BE0" w:rsidRPr="008B7238" w:rsidRDefault="00995BE0" w:rsidP="008B7238">
            <w:pPr>
              <w:jc w:val="both"/>
              <w:rPr>
                <w:sz w:val="20"/>
                <w:szCs w:val="20"/>
              </w:rPr>
            </w:pPr>
            <w:r w:rsidRPr="008B7238">
              <w:rPr>
                <w:sz w:val="20"/>
                <w:szCs w:val="20"/>
              </w:rPr>
              <w:t>1. Pirminio misijos varianto parengimas</w:t>
            </w:r>
          </w:p>
          <w:p w:rsidR="00995BE0" w:rsidRPr="008B7238" w:rsidRDefault="00995BE0" w:rsidP="008B7238">
            <w:pPr>
              <w:jc w:val="both"/>
              <w:rPr>
                <w:sz w:val="20"/>
                <w:szCs w:val="20"/>
              </w:rPr>
            </w:pPr>
            <w:r w:rsidRPr="008B7238">
              <w:rPr>
                <w:sz w:val="20"/>
                <w:szCs w:val="20"/>
              </w:rPr>
              <w:t>Ko iš mūsų tikimasi? Kokie yra pagrindiniai siekiai?</w:t>
            </w:r>
          </w:p>
        </w:tc>
        <w:tc>
          <w:tcPr>
            <w:tcW w:w="3720" w:type="dxa"/>
          </w:tcPr>
          <w:p w:rsidR="00995BE0" w:rsidRPr="008B7238" w:rsidRDefault="00995BE0" w:rsidP="008B7238">
            <w:pPr>
              <w:jc w:val="both"/>
              <w:rPr>
                <w:sz w:val="20"/>
                <w:szCs w:val="20"/>
              </w:rPr>
            </w:pPr>
            <w:r w:rsidRPr="008B7238">
              <w:rPr>
                <w:sz w:val="20"/>
                <w:szCs w:val="20"/>
              </w:rPr>
              <w:t>Įgaliojimų analizė</w:t>
            </w:r>
          </w:p>
          <w:p w:rsidR="00995BE0" w:rsidRPr="008B7238" w:rsidRDefault="00995BE0" w:rsidP="008B7238">
            <w:pPr>
              <w:jc w:val="both"/>
              <w:rPr>
                <w:sz w:val="20"/>
                <w:szCs w:val="20"/>
              </w:rPr>
            </w:pPr>
            <w:r w:rsidRPr="008B7238">
              <w:rPr>
                <w:sz w:val="20"/>
                <w:szCs w:val="20"/>
              </w:rPr>
              <w:t>Interesų grupių analizė</w:t>
            </w:r>
          </w:p>
        </w:tc>
      </w:tr>
      <w:tr w:rsidR="00995BE0" w:rsidRPr="001D71BB" w:rsidTr="00D345F6">
        <w:tc>
          <w:tcPr>
            <w:tcW w:w="1450" w:type="dxa"/>
            <w:vMerge/>
          </w:tcPr>
          <w:p w:rsidR="00995BE0" w:rsidRPr="008B7238" w:rsidRDefault="00995BE0" w:rsidP="008B7238">
            <w:pPr>
              <w:autoSpaceDE w:val="0"/>
              <w:autoSpaceDN w:val="0"/>
              <w:adjustRightInd w:val="0"/>
              <w:jc w:val="both"/>
              <w:rPr>
                <w:b/>
                <w:bCs/>
                <w:noProof/>
                <w:sz w:val="20"/>
                <w:szCs w:val="20"/>
              </w:rPr>
            </w:pPr>
          </w:p>
        </w:tc>
        <w:tc>
          <w:tcPr>
            <w:tcW w:w="4778" w:type="dxa"/>
          </w:tcPr>
          <w:p w:rsidR="00995BE0" w:rsidRPr="008B7238" w:rsidRDefault="00995BE0" w:rsidP="008B7238">
            <w:pPr>
              <w:jc w:val="both"/>
              <w:rPr>
                <w:sz w:val="20"/>
                <w:szCs w:val="20"/>
              </w:rPr>
            </w:pPr>
            <w:r w:rsidRPr="008B7238">
              <w:rPr>
                <w:sz w:val="20"/>
                <w:szCs w:val="20"/>
              </w:rPr>
              <w:t>2. Išorinės situacijos analizė. Kaip išorės aplinka gali paveikti pagrindinius siekius? Kokios naujos galimybės atsiveria, kokios kliūtys išryškėja?</w:t>
            </w:r>
          </w:p>
        </w:tc>
        <w:tc>
          <w:tcPr>
            <w:tcW w:w="3720" w:type="dxa"/>
          </w:tcPr>
          <w:p w:rsidR="00995BE0" w:rsidRPr="008B7238" w:rsidRDefault="00995BE0" w:rsidP="008B7238">
            <w:pPr>
              <w:jc w:val="both"/>
              <w:rPr>
                <w:sz w:val="20"/>
                <w:szCs w:val="20"/>
              </w:rPr>
            </w:pPr>
            <w:r w:rsidRPr="008B7238">
              <w:rPr>
                <w:sz w:val="20"/>
                <w:szCs w:val="20"/>
              </w:rPr>
              <w:t>PEST analizė</w:t>
            </w:r>
          </w:p>
          <w:p w:rsidR="00995BE0" w:rsidRPr="008B7238" w:rsidRDefault="00995BE0" w:rsidP="008B7238">
            <w:pPr>
              <w:jc w:val="both"/>
              <w:rPr>
                <w:sz w:val="20"/>
                <w:szCs w:val="20"/>
              </w:rPr>
            </w:pPr>
            <w:r w:rsidRPr="008B7238">
              <w:rPr>
                <w:sz w:val="20"/>
                <w:szCs w:val="20"/>
              </w:rPr>
              <w:t>Ekonometrinis prognozavimas</w:t>
            </w:r>
          </w:p>
          <w:p w:rsidR="00995BE0" w:rsidRPr="008B7238" w:rsidRDefault="00995BE0" w:rsidP="008B7238">
            <w:pPr>
              <w:jc w:val="both"/>
              <w:rPr>
                <w:sz w:val="20"/>
                <w:szCs w:val="20"/>
              </w:rPr>
            </w:pPr>
            <w:r w:rsidRPr="008B7238">
              <w:rPr>
                <w:sz w:val="20"/>
                <w:szCs w:val="20"/>
              </w:rPr>
              <w:t>Rinkos tyrimai</w:t>
            </w:r>
          </w:p>
          <w:p w:rsidR="00995BE0" w:rsidRPr="008B7238" w:rsidRDefault="00995BE0" w:rsidP="008B7238">
            <w:pPr>
              <w:jc w:val="both"/>
              <w:rPr>
                <w:sz w:val="20"/>
                <w:szCs w:val="20"/>
              </w:rPr>
            </w:pPr>
            <w:r w:rsidRPr="008B7238">
              <w:rPr>
                <w:sz w:val="20"/>
                <w:szCs w:val="20"/>
              </w:rPr>
              <w:t>Delfi analizė</w:t>
            </w:r>
          </w:p>
          <w:p w:rsidR="00995BE0" w:rsidRPr="008B7238" w:rsidRDefault="00995BE0" w:rsidP="008B7238">
            <w:pPr>
              <w:jc w:val="both"/>
              <w:rPr>
                <w:sz w:val="20"/>
                <w:szCs w:val="20"/>
              </w:rPr>
            </w:pPr>
            <w:r w:rsidRPr="008B7238">
              <w:rPr>
                <w:sz w:val="20"/>
                <w:szCs w:val="20"/>
              </w:rPr>
              <w:t>Scenarijų analizė</w:t>
            </w:r>
          </w:p>
        </w:tc>
      </w:tr>
      <w:tr w:rsidR="00995BE0" w:rsidRPr="001D71BB" w:rsidTr="00D345F6">
        <w:tc>
          <w:tcPr>
            <w:tcW w:w="1450" w:type="dxa"/>
            <w:vMerge/>
          </w:tcPr>
          <w:p w:rsidR="00995BE0" w:rsidRPr="008B7238" w:rsidRDefault="00995BE0" w:rsidP="008B7238">
            <w:pPr>
              <w:autoSpaceDE w:val="0"/>
              <w:autoSpaceDN w:val="0"/>
              <w:adjustRightInd w:val="0"/>
              <w:jc w:val="both"/>
              <w:rPr>
                <w:b/>
                <w:bCs/>
                <w:noProof/>
                <w:sz w:val="20"/>
                <w:szCs w:val="20"/>
              </w:rPr>
            </w:pPr>
          </w:p>
        </w:tc>
        <w:tc>
          <w:tcPr>
            <w:tcW w:w="4778" w:type="dxa"/>
          </w:tcPr>
          <w:p w:rsidR="00995BE0" w:rsidRPr="008B7238" w:rsidRDefault="00995BE0" w:rsidP="008B7238">
            <w:pPr>
              <w:jc w:val="both"/>
              <w:rPr>
                <w:sz w:val="20"/>
                <w:szCs w:val="20"/>
              </w:rPr>
            </w:pPr>
            <w:r w:rsidRPr="008B7238">
              <w:rPr>
                <w:sz w:val="20"/>
                <w:szCs w:val="20"/>
              </w:rPr>
              <w:t>3. Vietinės situacijos analizė. Kaip pačios organizacijos savybės gali paveikti pagrindinius siekius? Kokių organizacijos turi pranašumų, kuriais gali remtis ir kokius trūkumus, kuriuos reikėtų pašalinti?</w:t>
            </w:r>
          </w:p>
          <w:p w:rsidR="00995BE0" w:rsidRPr="008B7238" w:rsidRDefault="00995BE0" w:rsidP="008B7238">
            <w:pPr>
              <w:jc w:val="both"/>
              <w:rPr>
                <w:sz w:val="20"/>
                <w:szCs w:val="20"/>
              </w:rPr>
            </w:pPr>
            <w:r w:rsidRPr="008B7238">
              <w:rPr>
                <w:sz w:val="20"/>
                <w:szCs w:val="20"/>
              </w:rPr>
              <w:t>4. Misijos apibrėžimo patikslinimas</w:t>
            </w:r>
          </w:p>
          <w:p w:rsidR="00995BE0" w:rsidRPr="008B7238" w:rsidRDefault="00995BE0" w:rsidP="008B7238">
            <w:pPr>
              <w:jc w:val="both"/>
              <w:rPr>
                <w:sz w:val="20"/>
                <w:szCs w:val="20"/>
              </w:rPr>
            </w:pPr>
            <w:r w:rsidRPr="008B7238">
              <w:rPr>
                <w:sz w:val="20"/>
                <w:szCs w:val="20"/>
              </w:rPr>
              <w:t>Ar ištyrus esamą padėtį reikia keisti misiją?</w:t>
            </w:r>
          </w:p>
        </w:tc>
        <w:tc>
          <w:tcPr>
            <w:tcW w:w="3720" w:type="dxa"/>
          </w:tcPr>
          <w:p w:rsidR="00995BE0" w:rsidRPr="008B7238" w:rsidRDefault="00995BE0" w:rsidP="008B7238">
            <w:pPr>
              <w:jc w:val="both"/>
              <w:rPr>
                <w:sz w:val="20"/>
                <w:szCs w:val="20"/>
              </w:rPr>
            </w:pPr>
            <w:r w:rsidRPr="008B7238">
              <w:rPr>
                <w:sz w:val="20"/>
                <w:szCs w:val="20"/>
              </w:rPr>
              <w:t>Bostono matrica</w:t>
            </w:r>
          </w:p>
          <w:p w:rsidR="00995BE0" w:rsidRPr="008B7238" w:rsidRDefault="00995BE0" w:rsidP="008B7238">
            <w:pPr>
              <w:jc w:val="both"/>
              <w:rPr>
                <w:sz w:val="20"/>
                <w:szCs w:val="20"/>
              </w:rPr>
            </w:pPr>
            <w:r w:rsidRPr="008B7238">
              <w:rPr>
                <w:sz w:val="20"/>
                <w:szCs w:val="20"/>
              </w:rPr>
              <w:t>Produkto gyvavimo ciklas</w:t>
            </w:r>
          </w:p>
          <w:p w:rsidR="00995BE0" w:rsidRPr="008B7238" w:rsidRDefault="00995BE0" w:rsidP="008B7238">
            <w:pPr>
              <w:jc w:val="both"/>
              <w:rPr>
                <w:sz w:val="20"/>
                <w:szCs w:val="20"/>
              </w:rPr>
            </w:pPr>
            <w:r w:rsidRPr="008B7238">
              <w:rPr>
                <w:sz w:val="20"/>
                <w:szCs w:val="20"/>
              </w:rPr>
              <w:t>Vertės grandinės analizė 7 sričių modelis</w:t>
            </w:r>
          </w:p>
        </w:tc>
      </w:tr>
      <w:tr w:rsidR="00995BE0" w:rsidRPr="001D71BB" w:rsidTr="00D345F6">
        <w:tc>
          <w:tcPr>
            <w:tcW w:w="1450" w:type="dxa"/>
          </w:tcPr>
          <w:p w:rsidR="00995BE0" w:rsidRPr="008B7238" w:rsidRDefault="00995BE0" w:rsidP="006D73EE">
            <w:pPr>
              <w:rPr>
                <w:b/>
                <w:bCs/>
                <w:sz w:val="20"/>
                <w:szCs w:val="20"/>
              </w:rPr>
            </w:pPr>
            <w:r w:rsidRPr="008B7238">
              <w:rPr>
                <w:b/>
                <w:bCs/>
                <w:sz w:val="20"/>
                <w:szCs w:val="20"/>
              </w:rPr>
              <w:t>Strategijos kūrimas ir įgyvendinimas</w:t>
            </w:r>
          </w:p>
        </w:tc>
        <w:tc>
          <w:tcPr>
            <w:tcW w:w="4778" w:type="dxa"/>
          </w:tcPr>
          <w:p w:rsidR="00995BE0" w:rsidRPr="008B7238" w:rsidRDefault="00995BE0" w:rsidP="008B7238">
            <w:pPr>
              <w:jc w:val="both"/>
              <w:rPr>
                <w:sz w:val="20"/>
                <w:szCs w:val="20"/>
              </w:rPr>
            </w:pPr>
            <w:r w:rsidRPr="008B7238">
              <w:rPr>
                <w:sz w:val="20"/>
                <w:szCs w:val="20"/>
              </w:rPr>
              <w:t>1. Organizacijos tikslų nustatymas</w:t>
            </w:r>
          </w:p>
          <w:p w:rsidR="00995BE0" w:rsidRPr="008B7238" w:rsidRDefault="00995BE0" w:rsidP="008B7238">
            <w:pPr>
              <w:jc w:val="both"/>
              <w:rPr>
                <w:sz w:val="20"/>
                <w:szCs w:val="20"/>
              </w:rPr>
            </w:pPr>
            <w:r w:rsidRPr="008B7238">
              <w:rPr>
                <w:sz w:val="20"/>
                <w:szCs w:val="20"/>
              </w:rPr>
              <w:t>2. Strateginių alternatyvų analizė.</w:t>
            </w:r>
          </w:p>
          <w:p w:rsidR="00995BE0" w:rsidRPr="008B7238" w:rsidRDefault="00995BE0" w:rsidP="008B7238">
            <w:pPr>
              <w:jc w:val="both"/>
              <w:rPr>
                <w:sz w:val="20"/>
                <w:szCs w:val="20"/>
              </w:rPr>
            </w:pPr>
            <w:r w:rsidRPr="008B7238">
              <w:rPr>
                <w:sz w:val="20"/>
                <w:szCs w:val="20"/>
              </w:rPr>
              <w:t>Kokiomis strateginėmis alternatyvomis bus įgyvend</w:t>
            </w:r>
            <w:r>
              <w:rPr>
                <w:sz w:val="20"/>
                <w:szCs w:val="20"/>
              </w:rPr>
              <w:t>in</w:t>
            </w:r>
            <w:r w:rsidRPr="008B7238">
              <w:rPr>
                <w:sz w:val="20"/>
                <w:szCs w:val="20"/>
              </w:rPr>
              <w:t>ami tikslai?</w:t>
            </w:r>
          </w:p>
        </w:tc>
        <w:tc>
          <w:tcPr>
            <w:tcW w:w="3720" w:type="dxa"/>
          </w:tcPr>
          <w:p w:rsidR="00995BE0" w:rsidRPr="008B7238" w:rsidRDefault="00995BE0" w:rsidP="006D73EE">
            <w:pPr>
              <w:rPr>
                <w:sz w:val="20"/>
                <w:szCs w:val="20"/>
              </w:rPr>
            </w:pPr>
            <w:r w:rsidRPr="008B7238">
              <w:rPr>
                <w:sz w:val="20"/>
                <w:szCs w:val="20"/>
              </w:rPr>
              <w:t>Apibrėžiami ilgalaikiai, vidutinės trukmės, trumpalaikiai tikslai.</w:t>
            </w:r>
          </w:p>
          <w:p w:rsidR="00995BE0" w:rsidRPr="008B7238" w:rsidRDefault="00995BE0" w:rsidP="006D73EE">
            <w:pPr>
              <w:rPr>
                <w:sz w:val="20"/>
                <w:szCs w:val="20"/>
              </w:rPr>
            </w:pPr>
            <w:r w:rsidRPr="008B7238">
              <w:rPr>
                <w:sz w:val="20"/>
                <w:szCs w:val="20"/>
              </w:rPr>
              <w:t>Smegenų šturmas. Numatomi: darbai</w:t>
            </w:r>
            <w:r>
              <w:rPr>
                <w:sz w:val="20"/>
                <w:szCs w:val="20"/>
              </w:rPr>
              <w:t>,</w:t>
            </w:r>
            <w:r w:rsidRPr="008B7238">
              <w:rPr>
                <w:sz w:val="20"/>
                <w:szCs w:val="20"/>
              </w:rPr>
              <w:t xml:space="preserve"> atlikėjai,terminai, ištekliai, kontrolės forma</w:t>
            </w:r>
          </w:p>
        </w:tc>
      </w:tr>
      <w:tr w:rsidR="00995BE0" w:rsidRPr="001D71BB" w:rsidTr="00D345F6">
        <w:tc>
          <w:tcPr>
            <w:tcW w:w="1450" w:type="dxa"/>
          </w:tcPr>
          <w:p w:rsidR="00995BE0" w:rsidRPr="008B7238" w:rsidRDefault="00995BE0" w:rsidP="006D73EE">
            <w:pPr>
              <w:rPr>
                <w:b/>
                <w:bCs/>
                <w:sz w:val="20"/>
                <w:szCs w:val="20"/>
              </w:rPr>
            </w:pPr>
            <w:r w:rsidRPr="008B7238">
              <w:rPr>
                <w:b/>
                <w:bCs/>
                <w:sz w:val="20"/>
                <w:szCs w:val="20"/>
              </w:rPr>
              <w:t>Kontrolė</w:t>
            </w:r>
          </w:p>
        </w:tc>
        <w:tc>
          <w:tcPr>
            <w:tcW w:w="4778" w:type="dxa"/>
          </w:tcPr>
          <w:p w:rsidR="00995BE0" w:rsidRPr="008B7238" w:rsidRDefault="00995BE0" w:rsidP="008B7238">
            <w:pPr>
              <w:jc w:val="both"/>
              <w:rPr>
                <w:sz w:val="20"/>
                <w:szCs w:val="20"/>
              </w:rPr>
            </w:pPr>
            <w:r w:rsidRPr="008B7238">
              <w:rPr>
                <w:sz w:val="20"/>
                <w:szCs w:val="20"/>
              </w:rPr>
              <w:t>1. Strateginių alternatyvų įgyvendinimo stebėjimas ir koregavimas</w:t>
            </w:r>
          </w:p>
          <w:p w:rsidR="00995BE0" w:rsidRPr="008B7238" w:rsidRDefault="00995BE0" w:rsidP="008B7238">
            <w:pPr>
              <w:jc w:val="both"/>
              <w:rPr>
                <w:sz w:val="20"/>
                <w:szCs w:val="20"/>
              </w:rPr>
            </w:pPr>
            <w:r w:rsidRPr="008B7238">
              <w:rPr>
                <w:sz w:val="20"/>
                <w:szCs w:val="20"/>
              </w:rPr>
              <w:t>2. Strateginių alternatyvų įvertinimas</w:t>
            </w:r>
          </w:p>
        </w:tc>
        <w:tc>
          <w:tcPr>
            <w:tcW w:w="3720" w:type="dxa"/>
          </w:tcPr>
          <w:p w:rsidR="00995BE0" w:rsidRPr="008B7238" w:rsidRDefault="00995BE0" w:rsidP="006D73EE">
            <w:pPr>
              <w:rPr>
                <w:sz w:val="20"/>
                <w:szCs w:val="20"/>
              </w:rPr>
            </w:pPr>
            <w:r w:rsidRPr="008B7238">
              <w:rPr>
                <w:sz w:val="20"/>
                <w:szCs w:val="20"/>
              </w:rPr>
              <w:t>Monitoringo būdų pasirinkimas. Koregavimo variantų pasirinkimas.</w:t>
            </w:r>
          </w:p>
          <w:p w:rsidR="00995BE0" w:rsidRPr="008B7238" w:rsidRDefault="00995BE0" w:rsidP="006D73EE">
            <w:pPr>
              <w:rPr>
                <w:sz w:val="20"/>
                <w:szCs w:val="20"/>
              </w:rPr>
            </w:pPr>
            <w:r w:rsidRPr="008B7238">
              <w:rPr>
                <w:sz w:val="20"/>
                <w:szCs w:val="20"/>
              </w:rPr>
              <w:t>Vertinimo kriterijų nustatymas ir pasirinkimas</w:t>
            </w:r>
          </w:p>
        </w:tc>
      </w:tr>
    </w:tbl>
    <w:p w:rsidR="00995BE0" w:rsidRPr="001D71BB" w:rsidRDefault="00995BE0" w:rsidP="006D73EE">
      <w:pPr>
        <w:jc w:val="center"/>
        <w:rPr>
          <w:sz w:val="20"/>
          <w:szCs w:val="20"/>
        </w:rPr>
      </w:pPr>
      <w:r w:rsidRPr="001D71BB">
        <w:rPr>
          <w:sz w:val="20"/>
          <w:szCs w:val="20"/>
        </w:rPr>
        <w:t xml:space="preserve">Šaltinis: Staponkienė, J. (2004). Strateginis valdymas privataus ir viešojo sektoriaus organizacijose: panašumai ir skirtumai. </w:t>
      </w:r>
      <w:r w:rsidRPr="001D71BB">
        <w:rPr>
          <w:i/>
          <w:sz w:val="20"/>
          <w:szCs w:val="20"/>
        </w:rPr>
        <w:t xml:space="preserve">Socialiniai tyrimai. </w:t>
      </w:r>
      <w:r w:rsidRPr="001D71BB">
        <w:rPr>
          <w:sz w:val="20"/>
          <w:szCs w:val="20"/>
        </w:rPr>
        <w:t>Nr. 4. P. 89.</w:t>
      </w:r>
    </w:p>
    <w:p w:rsidR="00995BE0" w:rsidRPr="001D71BB" w:rsidRDefault="00995BE0" w:rsidP="006D73EE">
      <w:pPr>
        <w:spacing w:line="360" w:lineRule="auto"/>
        <w:jc w:val="center"/>
        <w:rPr>
          <w:sz w:val="22"/>
          <w:szCs w:val="22"/>
        </w:rPr>
      </w:pPr>
    </w:p>
    <w:p w:rsidR="00995BE0" w:rsidRPr="001D71BB" w:rsidRDefault="00995BE0" w:rsidP="006D73EE">
      <w:pPr>
        <w:autoSpaceDE w:val="0"/>
        <w:autoSpaceDN w:val="0"/>
        <w:adjustRightInd w:val="0"/>
        <w:spacing w:line="360" w:lineRule="auto"/>
        <w:ind w:firstLine="567"/>
        <w:jc w:val="both"/>
        <w:rPr>
          <w:noProof/>
        </w:rPr>
      </w:pPr>
    </w:p>
    <w:p w:rsidR="00995BE0" w:rsidRPr="00635D47" w:rsidRDefault="00995BE0" w:rsidP="004B3DB0">
      <w:pPr>
        <w:autoSpaceDE w:val="0"/>
        <w:autoSpaceDN w:val="0"/>
        <w:adjustRightInd w:val="0"/>
        <w:spacing w:line="360" w:lineRule="auto"/>
        <w:ind w:firstLine="567"/>
        <w:jc w:val="both"/>
        <w:rPr>
          <w:noProof/>
        </w:rPr>
      </w:pPr>
      <w:r w:rsidRPr="00635D47">
        <w:rPr>
          <w:noProof/>
        </w:rPr>
        <w:t>Ne kiekvienos organizacijos strateginio valdymo sistema apima visas stadijas. Jeigu organizacija sutelkia dėmesį į strateginį planavimą tai darnereiškia, kad jos biudžeto planavimo procese yra taikomi strateginiai metodai. T</w:t>
      </w:r>
      <w:r>
        <w:rPr>
          <w:noProof/>
        </w:rPr>
        <w:t>o</w:t>
      </w:r>
      <w:r w:rsidRPr="00635D47">
        <w:rPr>
          <w:noProof/>
        </w:rPr>
        <w:t>kiose situacijose ne visas programinis biudžetas siejamas su strateginiu valdymu.</w:t>
      </w:r>
    </w:p>
    <w:p w:rsidR="00995BE0" w:rsidRPr="001D71BB" w:rsidRDefault="00995BE0" w:rsidP="006D73EE">
      <w:pPr>
        <w:spacing w:line="360" w:lineRule="auto"/>
        <w:ind w:firstLine="567"/>
        <w:jc w:val="both"/>
      </w:pPr>
      <w:r>
        <w:t xml:space="preserve">H. </w:t>
      </w:r>
      <w:r w:rsidRPr="001D71BB">
        <w:t>Mintzberg (19</w:t>
      </w:r>
      <w:r>
        <w:t>94</w:t>
      </w:r>
      <w:r w:rsidRPr="001D71BB">
        <w:t>) teigimu, pagrindinis strateginio valdymo elementas yra strateginė analizė. Per ją organizacija susiejama su savo mikro ir m</w:t>
      </w:r>
      <w:r>
        <w:t>a</w:t>
      </w:r>
      <w:r w:rsidRPr="001D71BB">
        <w:t xml:space="preserve">kroaplinka, čia esančiomis galimybėmis ir grėsmėmis. Vadovaujantis antrepreneriškumo požiūriu į vadybą, laikoma, kad organizacijos sėkmė daugiausia prikluso nuo to, ar sugebės ji aptikti atsirandančias galimybes, taip pat pastebėti kylančias grėsmes ir jų išvengti. </w:t>
      </w:r>
    </w:p>
    <w:p w:rsidR="00995BE0" w:rsidRPr="001D71BB" w:rsidRDefault="00995BE0" w:rsidP="006D73EE">
      <w:pPr>
        <w:spacing w:line="360" w:lineRule="auto"/>
        <w:ind w:firstLine="567"/>
        <w:jc w:val="both"/>
      </w:pPr>
      <w:r w:rsidRPr="001D71BB">
        <w:t xml:space="preserve">Kad aplinkoje esančios galimybės būtų panaudotos, reikia resursų – finansų, žmonių, veiklos partnerių, įrengimų, informacijos ir kt. Kitas labai svarbus strateginio valdymo elementas yra organizacinė struktūra. Tai ne tik elementinė organizacijos sudėtis su savo hierarchiniais ryšiais, įgaliojimų ir atsakomybių struktūra, bet visos veikiančios sistemos, personalas, procedūros bei </w:t>
      </w:r>
      <w:r w:rsidRPr="001D71BB">
        <w:lastRenderedPageBreak/>
        <w:t xml:space="preserve">procesai. Šią visumą galima pavadinti organizacijos valdymo potencialu, kuris per valdymo procesą sujungia jos resursus su aplinkoje esančiomis galimybėmis, organizacijai siekiant savų tikslų. Tai, kad organizacijos sėkmę lemia du vienodai svarbūs veiksniai – aplinka ir vidinė organizacijos struktūra – tik dar labiau parodo šio elemento analizės svarbą (Jucevičius, 1998). </w:t>
      </w:r>
    </w:p>
    <w:p w:rsidR="00995BE0" w:rsidRPr="001D71BB" w:rsidRDefault="00995BE0" w:rsidP="006D73EE">
      <w:pPr>
        <w:autoSpaceDE w:val="0"/>
        <w:autoSpaceDN w:val="0"/>
        <w:adjustRightInd w:val="0"/>
        <w:spacing w:line="360" w:lineRule="auto"/>
        <w:ind w:firstLine="540"/>
        <w:jc w:val="both"/>
      </w:pPr>
      <w:r w:rsidRPr="001D71BB">
        <w:rPr>
          <w:noProof/>
        </w:rPr>
        <w:t xml:space="preserve">Organizacijos vizija, filosofija ir ypač misija yra neatsiejamos strateginio valdymo proceso dalys. Be jų praktiškai neįmanoma sukurti jokios efektyvios strategijos, nes tik jos suformuoja įvaizdį apie siekiamą organizacijos būvį. Plačiausia, o kartu ir abstrakčiausia kategorija yra vizija. Ji apima misiją, filosofiją ir kultūrą, kokios jos turėtų būti norimoje sukurti organizacijoje. Misija išreiškia visos veiklos paskirtį, vaidmenį, apibrėžia biznio ribas ir rodo jo esmę (Jucevičius, 1998). </w:t>
      </w:r>
      <w:r w:rsidRPr="001D71BB">
        <w:t xml:space="preserve">Pasak </w:t>
      </w:r>
      <w:r>
        <w:t xml:space="preserve">M. E. </w:t>
      </w:r>
      <w:r w:rsidRPr="001D71BB">
        <w:t xml:space="preserve">Porter (1998) ir </w:t>
      </w:r>
      <w:r>
        <w:t xml:space="preserve">R. </w:t>
      </w:r>
      <w:r w:rsidRPr="001D71BB">
        <w:t xml:space="preserve">Jucevičiaus (1998) gerai suformuluota misija suteikia organizacijai veiklos prasmę ir padeda išspręsti nemažai veiklos problemų. </w:t>
      </w:r>
      <w:r w:rsidRPr="001D71BB">
        <w:rPr>
          <w:noProof/>
        </w:rPr>
        <w:t xml:space="preserve">Arimavičiūtė (2005) teigia, kad vizija, įprasminanti bet kokį institucijos atliekamą darbą, gali tapti veiksminga tik tuomet, kai visi darbuotojai dalyvauja ją kuriant ir kai įsiklausoma į jų pasiūlymus. </w:t>
      </w:r>
      <w:r w:rsidRPr="001D71BB">
        <w:rPr>
          <w:bCs/>
          <w:iCs/>
        </w:rPr>
        <w:t xml:space="preserve">Pasak </w:t>
      </w:r>
      <w:r>
        <w:t xml:space="preserve">M. E. </w:t>
      </w:r>
      <w:r w:rsidRPr="001D71BB">
        <w:rPr>
          <w:bCs/>
          <w:iCs/>
        </w:rPr>
        <w:t>Porter (1998),</w:t>
      </w:r>
      <w:r w:rsidRPr="001D71BB">
        <w:rPr>
          <w:b/>
          <w:bCs/>
          <w:iCs/>
        </w:rPr>
        <w:t xml:space="preserve"> </w:t>
      </w:r>
      <w:r w:rsidRPr="001D71BB">
        <w:t xml:space="preserve">vizija – tai bet kurios sąmoningos, nukreiptos į ilgalaikę perspektyvą, veiklos pradžia ir atspirties taškas. Tai tam tikras įmonės įvaizdis, kurį norima pasiekti per tam tikrą ilgesnį laikotarpį (5–10 m.), t. y. kokia įmonė turi būti. Ji turi apimti įvaizdį apie būsimą organizaciją ir būdus, kaip šį norimą būvį pasiekti. </w:t>
      </w:r>
    </w:p>
    <w:p w:rsidR="00995BE0" w:rsidRPr="001D71BB" w:rsidRDefault="00995BE0" w:rsidP="006D73EE">
      <w:pPr>
        <w:autoSpaceDE w:val="0"/>
        <w:autoSpaceDN w:val="0"/>
        <w:adjustRightInd w:val="0"/>
        <w:spacing w:line="360" w:lineRule="auto"/>
        <w:ind w:firstLine="567"/>
        <w:jc w:val="both"/>
        <w:rPr>
          <w:noProof/>
        </w:rPr>
      </w:pPr>
      <w:r w:rsidRPr="001D71BB">
        <w:rPr>
          <w:noProof/>
        </w:rPr>
        <w:t>Tikslai ir uždaviniai sukonkretina organizacijos misiją ir papildo ją specifiniais, išmatuojamais terminais. Uždaviniai formuluojami visiems organizacijos lygiams ir konkrečiai atsako į klausimus, kur organizacija yra ir kur ji atsidurs ateityje. Iškelti klausimai apima rinką, pirkėjus, produktus, inovacijas, našumą, kokybę, finansus, pelningumą bei darbuotojus. Svarbu kad uždaviniai būtų tinkamai panaudojami, t. y. Pritaikyti aplinkoje, tinkamu laiku suformuluoti, išmatuojami, atpažįstami tam tikroje valstybėje ir realistiški (Kaziliūnas, 2007). Būtina pabrėžti, kad kiekvienas organizacijos uždavinys turi būti paremtas kitais jį įgyvendinančiais uždaviniais.</w:t>
      </w:r>
    </w:p>
    <w:p w:rsidR="00995BE0" w:rsidRPr="001D71BB" w:rsidRDefault="00995BE0" w:rsidP="006D73EE">
      <w:pPr>
        <w:spacing w:line="360" w:lineRule="auto"/>
        <w:ind w:firstLine="567"/>
        <w:jc w:val="both"/>
      </w:pPr>
      <w:r w:rsidRPr="00E16A7D">
        <w:t>Strateginio valdymo nauda</w:t>
      </w:r>
      <w:r w:rsidRPr="001D71BB">
        <w:t>, kurios tikimasi iš strateginio valdymo, yra organizacijos veiklos rezultatyvumo didinimas. Geros strategijos parengimas dar negarantuoja visos veiklos rezultatyvumo padidėjimo, tačiau atlikti išsamūs tyrimai rodo, kad tarp šių dviejų parametrų yra tiesioginis ir gana stiprus ryšys.</w:t>
      </w:r>
      <w:r>
        <w:t xml:space="preserve"> </w:t>
      </w:r>
      <w:r w:rsidRPr="001D71BB">
        <w:t>Taigi, principinė nauda ta, kad strategijos rengimo bei realizavimo procese dalyvauja įvairaus lygio ir skirtingų veiklų atstovai, menedžeriai. Tai jiems padeda kur kas geriau vienam kitą suprasti, suvienodinti požiūrius į organizaciją ir jos vystymo prioritetus.</w:t>
      </w:r>
    </w:p>
    <w:p w:rsidR="00995BE0" w:rsidRPr="001D71BB" w:rsidRDefault="00995BE0" w:rsidP="006D73EE">
      <w:pPr>
        <w:spacing w:line="360" w:lineRule="auto"/>
        <w:ind w:firstLine="567"/>
        <w:jc w:val="both"/>
      </w:pPr>
      <w:r w:rsidRPr="001D71BB">
        <w:t xml:space="preserve">Strateginis valdymas taip pat padeda įgyti įvairių kitokių pranašumų. Vienas tokių – organizacijos narių palankios nuostatos pasikeitimams suformavimas. Tai ypač svarbu žiūrint iš šiuolaikinių strateginio valdymo koncepcijų pozicijų, kai svarbiausia logika tampa prioritetinis dėmesys strateginių pakeitimų valdymui. Subalansuoti tikslai ir efektyvus jų pasiekimo </w:t>
      </w:r>
      <w:r w:rsidRPr="001D71BB">
        <w:lastRenderedPageBreak/>
        <w:t>mechanizmas leidžia gerokai sumažinti organizacinį ar net sisteminį pasipriešinimą jiems (Jucevičius, 1998).</w:t>
      </w:r>
    </w:p>
    <w:p w:rsidR="00995BE0" w:rsidRPr="001D71BB" w:rsidRDefault="00995BE0" w:rsidP="006D73EE">
      <w:pPr>
        <w:autoSpaceDE w:val="0"/>
        <w:autoSpaceDN w:val="0"/>
        <w:adjustRightInd w:val="0"/>
        <w:spacing w:line="360" w:lineRule="auto"/>
        <w:ind w:firstLine="567"/>
        <w:jc w:val="both"/>
        <w:rPr>
          <w:noProof/>
        </w:rPr>
      </w:pPr>
      <w:r w:rsidRPr="001D71BB">
        <w:rPr>
          <w:noProof/>
        </w:rPr>
        <w:t>Veiklos sėkmė priklauso nuo aukščiausios valdymo grandies sugebėjimo priimti optimalius sprendimus. Kiekvienas jų vienaip ar kitaip veikia galutinį veiklos rezultatą, pagal kurį paprastai vertinama strategija.</w:t>
      </w:r>
      <w:r>
        <w:rPr>
          <w:noProof/>
        </w:rPr>
        <w:t xml:space="preserve"> </w:t>
      </w:r>
      <w:r w:rsidRPr="001B5109">
        <w:rPr>
          <w:noProof/>
        </w:rPr>
        <w:t>Pagrindinė Pasaulio banko atlikto tyrimo išvada - jeigu organizacija nori pasiekti meistriškumo būseną ir konstruktyviai reaguoti į sparčius pokyčius pasaulyje, strateginis valdymas turi tapti svarbia mokymosi ir  pažangos priemone</w:t>
      </w:r>
      <w:r>
        <w:rPr>
          <w:noProof/>
        </w:rPr>
        <w:t>.</w:t>
      </w:r>
    </w:p>
    <w:p w:rsidR="00995BE0" w:rsidRPr="00A952D4" w:rsidRDefault="00995BE0" w:rsidP="006D73EE">
      <w:pPr>
        <w:rPr>
          <w:lang w:val="pl-PL"/>
        </w:rPr>
      </w:pPr>
    </w:p>
    <w:p w:rsidR="00995BE0" w:rsidRPr="00201FEA" w:rsidRDefault="00995BE0" w:rsidP="00004DEC">
      <w:pPr>
        <w:pStyle w:val="Antrat3"/>
        <w:rPr>
          <w:lang w:val="pl-PL"/>
        </w:rPr>
      </w:pPr>
      <w:bookmarkStart w:id="24" w:name="_Toc293248616"/>
      <w:r w:rsidRPr="00201FEA">
        <w:rPr>
          <w:lang w:val="pl-PL"/>
        </w:rPr>
        <w:t>1.</w:t>
      </w:r>
      <w:r>
        <w:rPr>
          <w:lang w:val="pl-PL"/>
        </w:rPr>
        <w:t>1.</w:t>
      </w:r>
      <w:r w:rsidRPr="00201FEA">
        <w:rPr>
          <w:lang w:val="pl-PL"/>
        </w:rPr>
        <w:t xml:space="preserve">2 </w:t>
      </w:r>
      <w:r w:rsidRPr="005208AD">
        <w:t>Prognozavimas</w:t>
      </w:r>
      <w:r w:rsidRPr="00201FEA">
        <w:rPr>
          <w:lang w:val="pl-PL"/>
        </w:rPr>
        <w:t xml:space="preserve"> ir strateginis valdymas</w:t>
      </w:r>
      <w:bookmarkEnd w:id="24"/>
    </w:p>
    <w:p w:rsidR="00995BE0" w:rsidRPr="001D71BB" w:rsidRDefault="00995BE0" w:rsidP="006D73EE">
      <w:pPr>
        <w:autoSpaceDE w:val="0"/>
        <w:autoSpaceDN w:val="0"/>
        <w:adjustRightInd w:val="0"/>
        <w:spacing w:line="360" w:lineRule="auto"/>
        <w:ind w:firstLine="540"/>
        <w:jc w:val="both"/>
        <w:rPr>
          <w:noProof/>
        </w:rPr>
      </w:pPr>
      <w:r w:rsidRPr="001D71BB">
        <w:rPr>
          <w:noProof/>
        </w:rPr>
        <w:t>Strateginis valdymas visuomet siejamas su perspektyva. Požiūris į perspektyvą kuriamas</w:t>
      </w:r>
      <w:r>
        <w:rPr>
          <w:noProof/>
        </w:rPr>
        <w:t xml:space="preserve"> taip pat prognozavimo pagrindu</w:t>
      </w:r>
      <w:r w:rsidRPr="001D71BB">
        <w:rPr>
          <w:noProof/>
        </w:rPr>
        <w:t xml:space="preserve"> (Vasiliauskas, 2001). </w:t>
      </w:r>
      <w:r w:rsidRPr="001D71BB">
        <w:t>Prognozavimo metodo tikslas – perkelti turimą informaciją į ateitį ir pereiti nuo apdorotos informacijos prie prognozės (Kvainauskaitė ir kt., 2003).</w:t>
      </w:r>
    </w:p>
    <w:p w:rsidR="00995BE0" w:rsidRPr="001D71BB" w:rsidRDefault="00995BE0" w:rsidP="006D73EE">
      <w:pPr>
        <w:autoSpaceDE w:val="0"/>
        <w:autoSpaceDN w:val="0"/>
        <w:adjustRightInd w:val="0"/>
        <w:spacing w:line="360" w:lineRule="auto"/>
        <w:ind w:firstLine="567"/>
        <w:jc w:val="both"/>
        <w:rPr>
          <w:noProof/>
        </w:rPr>
      </w:pPr>
      <w:r w:rsidRPr="001D71BB">
        <w:rPr>
          <w:noProof/>
        </w:rPr>
        <w:t>Yra glaudžių ryšių tarp prognozavimo ir strateginio valdymo. Kadangi strategija yra strateginių sprendimų ateičiai visuma, tai bendriausiu atveju strategijos kūrimą galima traktuoti kaip normatyvinį (tikslinį) prognozavimą. Strategijos kūrimui nepakanka vien retrospektyvinio periodo analizės, o yra būtina aplinkos ir išteklių perspektyvinė prognozė. Šiuo aspektu, prognozavimą galima laikyti strateginio valdymo proceso sudėtine dalimi (Vasiliauskas, 2001).</w:t>
      </w:r>
    </w:p>
    <w:p w:rsidR="00995BE0" w:rsidRDefault="00995BE0" w:rsidP="006D73EE">
      <w:pPr>
        <w:autoSpaceDE w:val="0"/>
        <w:autoSpaceDN w:val="0"/>
        <w:adjustRightInd w:val="0"/>
        <w:spacing w:line="360" w:lineRule="auto"/>
        <w:ind w:firstLine="567"/>
        <w:jc w:val="both"/>
      </w:pPr>
      <w:r w:rsidRPr="001D71BB">
        <w:t>2000 m. priimto</w:t>
      </w:r>
      <w:r>
        <w:t>je</w:t>
      </w:r>
      <w:r w:rsidRPr="001D71BB">
        <w:t xml:space="preserve"> Lisabonos strategijo</w:t>
      </w:r>
      <w:r>
        <w:t>je buvo i</w:t>
      </w:r>
      <w:r w:rsidRPr="001D71BB">
        <w:t>šk</w:t>
      </w:r>
      <w:r>
        <w:t>eltas</w:t>
      </w:r>
      <w:r w:rsidRPr="001D71BB">
        <w:t xml:space="preserve"> tiksl</w:t>
      </w:r>
      <w:r>
        <w:t>as – siekti,</w:t>
      </w:r>
      <w:r w:rsidRPr="001D71BB">
        <w:t xml:space="preserve"> kad ES taptų konkurencingiausia ir dinamiškiausia, žinių ekonomika paremta erdve</w:t>
      </w:r>
      <w:r>
        <w:t xml:space="preserve">. Tuomet </w:t>
      </w:r>
      <w:r w:rsidRPr="001D71BB">
        <w:t xml:space="preserve"> </w:t>
      </w:r>
      <w:r>
        <w:t>p</w:t>
      </w:r>
      <w:r w:rsidRPr="001D71BB">
        <w:t>rognozavimo svarba ES praktinių rekomendacijų ir planavimo procesuose smarkiai išaugo</w:t>
      </w:r>
      <w:r>
        <w:t>,</w:t>
      </w:r>
      <w:r w:rsidRPr="001D71BB">
        <w:t xml:space="preserve"> Europos lyderiai ypatingą dėmesį nutarė skirti tyrimų ir inovacijų plėtrai.</w:t>
      </w:r>
    </w:p>
    <w:p w:rsidR="00995BE0" w:rsidRPr="001D71BB" w:rsidRDefault="00995BE0" w:rsidP="006D73EE">
      <w:pPr>
        <w:autoSpaceDE w:val="0"/>
        <w:autoSpaceDN w:val="0"/>
        <w:adjustRightInd w:val="0"/>
        <w:spacing w:line="360" w:lineRule="auto"/>
        <w:ind w:firstLine="567"/>
        <w:jc w:val="both"/>
        <w:rPr>
          <w:noProof/>
        </w:rPr>
      </w:pPr>
      <w:r w:rsidRPr="001D71BB">
        <w:t xml:space="preserve"> Kaip vieną svarbiausių žingsnių, skatinant aktyvesnę mokslo ir inovacijų plėtrą ES, Europos Komisija pasiūlė bendros Europos tyrimų erdvės (</w:t>
      </w:r>
      <w:r w:rsidRPr="001D71BB">
        <w:rPr>
          <w:i/>
          <w:iCs/>
        </w:rPr>
        <w:t>European Research Area – ERA</w:t>
      </w:r>
      <w:r w:rsidRPr="001D71BB">
        <w:t>) koncepciją. Vienu pirmųjų rezultatų tapo Europos Komisijos suburtų prognozavimo ekspertų 2002 m. parengtas pranešimas „Galvoti, diskutuoti ir kurti ateitį: prognozavimas Europai“</w:t>
      </w:r>
      <w:r>
        <w:t>.</w:t>
      </w:r>
      <w:r w:rsidRPr="001D71BB">
        <w:t xml:space="preserve"> </w:t>
      </w:r>
      <w:r>
        <w:t>P</w:t>
      </w:r>
      <w:r w:rsidRPr="001D71BB">
        <w:t>ranešime buvo apibendrintos svarbiausios prognozavimo, kaip mokslinės veiklos, galinčios sustiprinti strateginio planavimo ir politikos formulavimo kryptingumą, galimybės. Galima teigti, kad prognozavimo metodika buvo galutinai įteisinta kaip mokslinė veikla, skirta efektyviau įgyvendinti politikos uždavinius (Janeliūnas ir kt., 2007).</w:t>
      </w:r>
    </w:p>
    <w:p w:rsidR="00995BE0" w:rsidRPr="00424E7E" w:rsidRDefault="00995BE0" w:rsidP="006D73EE">
      <w:pPr>
        <w:spacing w:line="360" w:lineRule="auto"/>
        <w:ind w:firstLine="567"/>
        <w:jc w:val="both"/>
      </w:pPr>
      <w:r w:rsidRPr="001D71BB">
        <w:t xml:space="preserve">Prognozavimas dažniausiai taikomas siekiant numatyti, kas esant tam tikromis sąlygomis bus ateityje. Jis apima prognozavimo išvadas, padedančias priimti teisingą sprendimą, kurį organizacija gali rinktis iš keleto jai patrauklių alternatyvų. </w:t>
      </w:r>
      <w:r w:rsidRPr="00424E7E">
        <w:t xml:space="preserve">Taigi prognozavimas ir prognozės yra planavimo proceso dalis, sprendimų priėmimo pagrindas. </w:t>
      </w:r>
    </w:p>
    <w:p w:rsidR="00995BE0" w:rsidRPr="00635D47" w:rsidRDefault="00995BE0" w:rsidP="004B3DB0">
      <w:pPr>
        <w:autoSpaceDE w:val="0"/>
        <w:autoSpaceDN w:val="0"/>
        <w:adjustRightInd w:val="0"/>
        <w:spacing w:line="360" w:lineRule="auto"/>
        <w:ind w:firstLine="567"/>
        <w:jc w:val="both"/>
        <w:rPr>
          <w:lang w:eastAsia="en-US"/>
        </w:rPr>
      </w:pPr>
      <w:r w:rsidRPr="00635D47">
        <w:rPr>
          <w:lang w:eastAsia="en-US"/>
        </w:rPr>
        <w:t>Pasak T.</w:t>
      </w:r>
      <w:r>
        <w:rPr>
          <w:lang w:eastAsia="en-US"/>
        </w:rPr>
        <w:t xml:space="preserve"> </w:t>
      </w:r>
      <w:r w:rsidRPr="00635D47">
        <w:rPr>
          <w:lang w:eastAsia="en-US"/>
        </w:rPr>
        <w:t xml:space="preserve">Janeliūno ir kt. (2007) prognozavimas, kaip mokslinė ar analitinė veikla, iki šiol bent jau socialiniuose moksluose laikomas nepatikimu užsiėmimu. Vis dėlto visiškai išvengti </w:t>
      </w:r>
      <w:r w:rsidRPr="00635D47">
        <w:rPr>
          <w:lang w:eastAsia="en-US"/>
        </w:rPr>
        <w:lastRenderedPageBreak/>
        <w:t>prognozavimo nepavyksta daugeliui tyrinėtojų. Dažnos išvados apie socialinius reiškinius, procesus įtraukia bent abstrakčias nuorodas, kaip tyrinėjamas reiškinys gali keistis ateityje ar kokie veiksniai galėtų pakeisti dabartines tendencijas.</w:t>
      </w:r>
    </w:p>
    <w:p w:rsidR="00995BE0" w:rsidRPr="001D71BB" w:rsidRDefault="00995BE0" w:rsidP="006D73EE">
      <w:pPr>
        <w:autoSpaceDE w:val="0"/>
        <w:autoSpaceDN w:val="0"/>
        <w:adjustRightInd w:val="0"/>
        <w:spacing w:line="360" w:lineRule="auto"/>
        <w:ind w:firstLine="540"/>
        <w:jc w:val="both"/>
        <w:rPr>
          <w:spacing w:val="-6"/>
        </w:rPr>
      </w:pPr>
      <w:r w:rsidRPr="00424E7E">
        <w:t>Nors prognozavimas ir yra labai reikšmingas strateginio valdymo ir ne tik, procese, tačiau jis sukelia ir tam tikrų problemų. Dažniausiai pasitaikanti prognozavimo problema – prognozės tikslumas. Prognozės būna netikslios dėl įvairių priežasčių: pernelyg paprasti metodai, trūksta duomenų, patyrusių prognozuotojų. JAV ir Vakarų Europos įmonių patirtis parodė, kad sudėtingi matematiniai metodai dažniausiai nėra pranašesni už paprastus modelius. Sudėtingesnių metodų taikymas gali tik iš dalies pagerinti prognozių tikslumą. Užsienio šalių mokslininkų atlikti tyrimai rodo, jog net firmose, kur dirba patyrę analitikai, naudojantys labai sudėtingus prognozavimo metodus, prognozės dažnai būna netikslios (</w:t>
      </w:r>
      <w:r w:rsidRPr="001D71BB">
        <w:rPr>
          <w:spacing w:val="-6"/>
        </w:rPr>
        <w:t>Stoškus ir kt., 2005).</w:t>
      </w:r>
    </w:p>
    <w:p w:rsidR="00995BE0" w:rsidRDefault="00995BE0" w:rsidP="006D73EE">
      <w:pPr>
        <w:pStyle w:val="Pagrindinistekstas"/>
        <w:spacing w:after="0" w:line="360" w:lineRule="auto"/>
        <w:ind w:firstLine="567"/>
        <w:jc w:val="both"/>
        <w:rPr>
          <w:lang w:val="lt-LT"/>
        </w:rPr>
      </w:pPr>
      <w:r w:rsidRPr="001D71BB">
        <w:rPr>
          <w:lang w:val="lt-LT"/>
        </w:rPr>
        <w:t>Organizacijos dažnai netiksliai įsivaizduoja savo ateities veiklos rodiklius, o tai leidžia nukrypti nuo tikslių prognozių. V. Kvanauskaitė</w:t>
      </w:r>
      <w:r>
        <w:rPr>
          <w:lang w:val="lt-LT"/>
        </w:rPr>
        <w:t xml:space="preserve"> ir V. Snieška</w:t>
      </w:r>
      <w:r w:rsidRPr="001D71BB">
        <w:rPr>
          <w:lang w:val="lt-LT"/>
        </w:rPr>
        <w:t xml:space="preserve"> (2003) teigia, kad prognozavimo veiksmai ir atliktos prognozės dažnai nėra įvertinamos. Tai sąlygoja prognozavimo struktūrų neišbaigtumą ir ribotą praktinį panaudojimą. Taip pat yra nemažai prognozių, kurios turi tik praktinį pobūdį, tačiau moksliškai yra silpnai pagrįstos. </w:t>
      </w:r>
    </w:p>
    <w:p w:rsidR="00995BE0" w:rsidRPr="00201FEA" w:rsidRDefault="00995BE0" w:rsidP="00004DEC">
      <w:pPr>
        <w:pStyle w:val="Antrat3"/>
      </w:pPr>
      <w:bookmarkStart w:id="25" w:name="_Toc293248617"/>
      <w:r w:rsidRPr="00201FEA">
        <w:t>1.</w:t>
      </w:r>
      <w:r>
        <w:t>1.</w:t>
      </w:r>
      <w:r w:rsidRPr="00201FEA">
        <w:t>3 Strateginis planavimas</w:t>
      </w:r>
      <w:bookmarkEnd w:id="25"/>
    </w:p>
    <w:p w:rsidR="00995BE0" w:rsidRDefault="00995BE0" w:rsidP="006D73EE">
      <w:pPr>
        <w:pStyle w:val="Pagrindinistekstas"/>
        <w:spacing w:after="0" w:line="360" w:lineRule="auto"/>
        <w:ind w:firstLine="567"/>
        <w:jc w:val="both"/>
        <w:rPr>
          <w:lang w:val="lt-LT"/>
        </w:rPr>
      </w:pPr>
      <w:r>
        <w:rPr>
          <w:lang w:val="lt-LT"/>
        </w:rPr>
        <w:t>Strategija turinio požiūriu gana artima perspektyvinio plano sampratai. Todėl pradiniame strateginio valdymo teorijos etape netgi jos kūrėjai J. Ansoff (1965), K. Andrews (1980, 1969), R. Ackoff (1985, 1970) šią koncepciją gana dažnai vadina strateginiu planavimu, ilgai trunkančiu planavimu, bendru planavimu ir verslo politika (Cole, 1994). Tačiau klasikinė planavimo samprata  neapima tokių funkcijų kaip kontrolė, koregavimas, organizavimas, kurios strategijai įgyvendinti ypač aktualios. Todėl strateginio planavimo kategorijos buvo atsisakyta ir šią vadybos koncepciją pradėta vadinti strateginiu valdymu, o organizacijos vystymąsi, siekiant realizuoti perspektyvinį modelį – strateginiu vystymu (Bosas, 2002).</w:t>
      </w:r>
    </w:p>
    <w:p w:rsidR="00995BE0" w:rsidRPr="001D71BB" w:rsidRDefault="00995BE0" w:rsidP="006D73EE">
      <w:pPr>
        <w:pStyle w:val="Pagrindinistekstas"/>
        <w:spacing w:after="0" w:line="360" w:lineRule="auto"/>
        <w:ind w:firstLine="567"/>
        <w:jc w:val="both"/>
        <w:rPr>
          <w:lang w:val="lt-LT"/>
        </w:rPr>
      </w:pPr>
      <w:r w:rsidRPr="001D71BB">
        <w:rPr>
          <w:lang w:val="lt-LT"/>
        </w:rPr>
        <w:t xml:space="preserve">Ilgą laiką strateginis planavimas buvo laikomas itin veiksminga priemone, užtikrinančia galimybę organizacijai veikti ateityje. Tačiau ne visi mokslininkai su tuo sutinka. H. Mintzberg (1994), iškėlė klausimą, ar galima terminą „planavimas“ derinti su terminu „strategija“. Jo nuomone, strategija negali būti suplanuota, kadangi planavimo procesas </w:t>
      </w:r>
      <w:r>
        <w:rPr>
          <w:lang w:val="lt-LT"/>
        </w:rPr>
        <w:t>–</w:t>
      </w:r>
      <w:r w:rsidRPr="001D71BB">
        <w:rPr>
          <w:lang w:val="lt-LT"/>
        </w:rPr>
        <w:t xml:space="preserve"> tai analizė, o strategija – tai sintezės rezultatas. </w:t>
      </w:r>
    </w:p>
    <w:p w:rsidR="00995BE0" w:rsidRPr="001D71BB" w:rsidRDefault="00995BE0" w:rsidP="006D73EE">
      <w:pPr>
        <w:pStyle w:val="Pagrindinistekstas"/>
        <w:spacing w:after="0" w:line="360" w:lineRule="auto"/>
        <w:ind w:firstLine="567"/>
        <w:jc w:val="both"/>
        <w:rPr>
          <w:lang w:val="lt-LT"/>
        </w:rPr>
      </w:pPr>
      <w:r w:rsidRPr="001D71BB">
        <w:rPr>
          <w:bCs/>
          <w:lang w:val="lt-LT"/>
        </w:rPr>
        <w:t>Strateginis planavimas Lietuvos viešojo sektoriaus institucijose yra pakankamai nauja veikla, neturinti gilių tradicijų, įgyvendinama remiantis užsienio šalių patirtimi. N. Kundrotienė ir K. Rekerta (2002) daug dėmesio savo straipsnyje skiria</w:t>
      </w:r>
      <w:r w:rsidRPr="001D71BB">
        <w:rPr>
          <w:lang w:val="lt-LT"/>
        </w:rPr>
        <w:t xml:space="preserve"> strateginio planavimo Lietuvos viešojo sektoriaus institucijose diegimui, kurio pradžia jie laiko nuo 1998 metų vykdomą Lietuvos ir Kanados viešojo administravimo reformos projektą.</w:t>
      </w:r>
    </w:p>
    <w:p w:rsidR="00995BE0" w:rsidRPr="00640727" w:rsidRDefault="00995BE0" w:rsidP="00796864">
      <w:pPr>
        <w:pStyle w:val="Pagrindinistekstas"/>
        <w:spacing w:after="0" w:line="360" w:lineRule="auto"/>
        <w:ind w:firstLine="567"/>
        <w:jc w:val="both"/>
        <w:rPr>
          <w:lang w:val="lt-LT"/>
        </w:rPr>
      </w:pPr>
      <w:r w:rsidRPr="00640727">
        <w:rPr>
          <w:lang w:val="lt-LT"/>
        </w:rPr>
        <w:lastRenderedPageBreak/>
        <w:t>Strateginis planavimas suteikia galimybę sujungti į visumą įvairius institucijos veiklos aspektus, išanalizuoti ir įvertinti įvairių veiklų rezultatus, kuriant institucijos pridėtinę vertę, nustatyti įvairių institucijos veiklų potencialą ir numatyti būdus bei parengti priemones institucijos potencialui panaudoti bei plėtoti, siekiant įgyvendinti institucijos strateginius tikslus bei prioritetus (Wilkinson, Monkhouse 1994, Juce</w:t>
      </w:r>
      <w:r>
        <w:rPr>
          <w:lang w:val="lt-LT"/>
        </w:rPr>
        <w:t>vičius,</w:t>
      </w:r>
      <w:r w:rsidRPr="00640727">
        <w:rPr>
          <w:lang w:val="lt-LT"/>
        </w:rPr>
        <w:t xml:space="preserve"> 1998, 1999, Navin 1998; Raipa 1999; Jančauskas, Reketa 2001; Goding 2005).</w:t>
      </w:r>
    </w:p>
    <w:p w:rsidR="00995BE0" w:rsidRPr="00640727" w:rsidRDefault="00995BE0" w:rsidP="00796864">
      <w:pPr>
        <w:spacing w:line="360" w:lineRule="auto"/>
        <w:ind w:firstLine="567"/>
        <w:jc w:val="both"/>
      </w:pPr>
      <w:r w:rsidRPr="00640727">
        <w:t>Viešojo sektoriaus institucijų strateginis planavimas pripažįstamas viena iš efektyviausių valstybės darnios plėtros priemonių. Spartėjant ekonomikos globalizacijai ir tarpvalstybinei integracijai, strateginio planavimo principais grįsta ir todėl veiksminga viešojo administravimo sistema yra viena iš pagrindinių ES šalių viešojo sektoriaus būklės skirtumų mažinimo sąlygų, kurios įgyvendinimas sudaro prielaidas sėkmingai ekonominei šalies plėtrai globalioje rinkoje (Bivainis ir kt., 2009).</w:t>
      </w:r>
    </w:p>
    <w:p w:rsidR="00995BE0" w:rsidRPr="001D71BB" w:rsidRDefault="00995BE0" w:rsidP="006D73EE">
      <w:pPr>
        <w:autoSpaceDE w:val="0"/>
        <w:autoSpaceDN w:val="0"/>
        <w:adjustRightInd w:val="0"/>
        <w:spacing w:line="360" w:lineRule="auto"/>
        <w:ind w:firstLine="567"/>
        <w:jc w:val="both"/>
      </w:pPr>
      <w:r w:rsidRPr="001D71BB">
        <w:t>V. Beresnevi</w:t>
      </w:r>
      <w:r w:rsidRPr="001D71BB">
        <w:rPr>
          <w:rFonts w:eastAsia="TimesNewRoman+1"/>
        </w:rPr>
        <w:t>č</w:t>
      </w:r>
      <w:r w:rsidRPr="001D71BB">
        <w:t>i</w:t>
      </w:r>
      <w:r w:rsidRPr="001D71BB">
        <w:rPr>
          <w:rFonts w:eastAsia="TimesNewRoman+1"/>
        </w:rPr>
        <w:t>ū</w:t>
      </w:r>
      <w:r w:rsidRPr="001D71BB">
        <w:t>t</w:t>
      </w:r>
      <w:r w:rsidRPr="001D71BB">
        <w:rPr>
          <w:rFonts w:eastAsia="TimesNewRoman+1"/>
        </w:rPr>
        <w:t>ė</w:t>
      </w:r>
      <w:r w:rsidRPr="001D71BB">
        <w:t xml:space="preserve">, G. Kadziauskas, R. Diržys (2006) savo mokomojoje medžiagoje </w:t>
      </w:r>
      <w:r w:rsidRPr="001D71BB">
        <w:rPr>
          <w:rFonts w:eastAsia="TimesNewRoman+1"/>
        </w:rPr>
        <w:t>į</w:t>
      </w:r>
      <w:r w:rsidRPr="001D71BB">
        <w:t>vardino pagrindines, jų manymu, strateginio planavimo savy</w:t>
      </w:r>
      <w:r>
        <w:t>bes (3</w:t>
      </w:r>
      <w:r w:rsidRPr="001D71BB">
        <w:t xml:space="preserve"> pav.).</w:t>
      </w:r>
    </w:p>
    <w:p w:rsidR="00995BE0" w:rsidRPr="001D71BB" w:rsidRDefault="00995BE0" w:rsidP="006D73EE">
      <w:pPr>
        <w:autoSpaceDE w:val="0"/>
        <w:autoSpaceDN w:val="0"/>
        <w:adjustRightInd w:val="0"/>
        <w:spacing w:line="360" w:lineRule="auto"/>
        <w:ind w:firstLine="567"/>
        <w:jc w:val="both"/>
      </w:pPr>
    </w:p>
    <w:p w:rsidR="00995BE0" w:rsidRPr="001D71BB" w:rsidRDefault="00A54FAC" w:rsidP="006D73EE">
      <w:pPr>
        <w:pStyle w:val="Pagrindinistekstas"/>
        <w:spacing w:after="0" w:line="360" w:lineRule="auto"/>
        <w:ind w:firstLine="567"/>
        <w:jc w:val="both"/>
        <w:rPr>
          <w:lang w:val="lt-LT"/>
        </w:rPr>
      </w:pPr>
      <w:r>
        <w:rPr>
          <w:noProof/>
          <w:lang w:val="lt-LT" w:eastAsia="lt-LT"/>
        </w:rPr>
        <w:drawing>
          <wp:inline distT="0" distB="0" distL="0" distR="0">
            <wp:extent cx="5508570" cy="3461385"/>
            <wp:effectExtent l="19050" t="0" r="15930" b="0"/>
            <wp:docPr id="5" name="Paveikslėlis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95BE0" w:rsidRPr="00993A98" w:rsidRDefault="00995BE0" w:rsidP="006D73EE">
      <w:pPr>
        <w:tabs>
          <w:tab w:val="left" w:pos="3420"/>
          <w:tab w:val="center" w:pos="4923"/>
        </w:tabs>
        <w:autoSpaceDE w:val="0"/>
        <w:autoSpaceDN w:val="0"/>
        <w:adjustRightInd w:val="0"/>
        <w:ind w:firstLine="567"/>
        <w:rPr>
          <w:sz w:val="22"/>
          <w:szCs w:val="22"/>
        </w:rPr>
      </w:pPr>
      <w:r w:rsidRPr="001D71BB">
        <w:rPr>
          <w:b/>
          <w:sz w:val="20"/>
          <w:szCs w:val="20"/>
        </w:rPr>
        <w:tab/>
      </w:r>
      <w:r>
        <w:rPr>
          <w:b/>
          <w:sz w:val="22"/>
          <w:szCs w:val="22"/>
        </w:rPr>
        <w:t>3</w:t>
      </w:r>
      <w:r w:rsidRPr="00993A98">
        <w:rPr>
          <w:b/>
          <w:sz w:val="22"/>
          <w:szCs w:val="22"/>
        </w:rPr>
        <w:t xml:space="preserve"> </w:t>
      </w:r>
      <w:r w:rsidRPr="00993A98">
        <w:rPr>
          <w:b/>
          <w:sz w:val="22"/>
          <w:szCs w:val="22"/>
        </w:rPr>
        <w:tab/>
        <w:t xml:space="preserve">pav. </w:t>
      </w:r>
      <w:bookmarkStart w:id="26" w:name="OLE_LINK1"/>
      <w:bookmarkStart w:id="27" w:name="OLE_LINK2"/>
      <w:r w:rsidRPr="00993A98">
        <w:rPr>
          <w:sz w:val="22"/>
          <w:szCs w:val="22"/>
        </w:rPr>
        <w:t>Strateginio planavimo savybės</w:t>
      </w:r>
      <w:bookmarkEnd w:id="26"/>
      <w:bookmarkEnd w:id="27"/>
    </w:p>
    <w:p w:rsidR="00995BE0" w:rsidRPr="001D71BB" w:rsidRDefault="00995BE0" w:rsidP="006D73EE">
      <w:pPr>
        <w:autoSpaceDE w:val="0"/>
        <w:autoSpaceDN w:val="0"/>
        <w:adjustRightInd w:val="0"/>
        <w:ind w:left="360"/>
        <w:jc w:val="center"/>
        <w:rPr>
          <w:sz w:val="20"/>
          <w:szCs w:val="20"/>
        </w:rPr>
      </w:pPr>
      <w:r>
        <w:rPr>
          <w:sz w:val="20"/>
          <w:szCs w:val="20"/>
        </w:rPr>
        <w:t>S</w:t>
      </w:r>
      <w:r w:rsidRPr="001D71BB">
        <w:rPr>
          <w:sz w:val="20"/>
          <w:szCs w:val="20"/>
        </w:rPr>
        <w:t xml:space="preserve">udaryta autoriaus, remiantis </w:t>
      </w:r>
      <w:r>
        <w:rPr>
          <w:sz w:val="20"/>
          <w:szCs w:val="20"/>
        </w:rPr>
        <w:t>š</w:t>
      </w:r>
      <w:r w:rsidRPr="001D71BB">
        <w:rPr>
          <w:sz w:val="20"/>
          <w:szCs w:val="20"/>
        </w:rPr>
        <w:t>altini</w:t>
      </w:r>
      <w:r>
        <w:rPr>
          <w:sz w:val="20"/>
          <w:szCs w:val="20"/>
        </w:rPr>
        <w:t>u:</w:t>
      </w:r>
      <w:r w:rsidRPr="001D71BB">
        <w:rPr>
          <w:sz w:val="20"/>
          <w:szCs w:val="20"/>
        </w:rPr>
        <w:t xml:space="preserve"> Beresnevičiūtė V., Diržys R., Kadziauskas G. (2006). </w:t>
      </w:r>
      <w:r w:rsidRPr="001D71BB">
        <w:rPr>
          <w:i/>
          <w:sz w:val="20"/>
          <w:szCs w:val="20"/>
        </w:rPr>
        <w:t>Strateginis planavimas.</w:t>
      </w:r>
      <w:r w:rsidRPr="001D71BB">
        <w:rPr>
          <w:sz w:val="20"/>
          <w:szCs w:val="20"/>
        </w:rPr>
        <w:t xml:space="preserve"> Mokomoji medžiaga švietimo centrų darbuotojų kvalifikacijos tobulinimo programoms.  Mokytojų kompetencijos centras.</w:t>
      </w:r>
    </w:p>
    <w:p w:rsidR="00995BE0" w:rsidRPr="001D71BB" w:rsidRDefault="00995BE0" w:rsidP="006D73EE">
      <w:pPr>
        <w:autoSpaceDE w:val="0"/>
        <w:autoSpaceDN w:val="0"/>
        <w:adjustRightInd w:val="0"/>
        <w:spacing w:line="360" w:lineRule="auto"/>
        <w:ind w:firstLine="567"/>
        <w:jc w:val="center"/>
        <w:rPr>
          <w:sz w:val="20"/>
          <w:szCs w:val="20"/>
        </w:rPr>
      </w:pPr>
    </w:p>
    <w:p w:rsidR="00995BE0" w:rsidRPr="001D71BB" w:rsidRDefault="00995BE0" w:rsidP="006D73EE">
      <w:pPr>
        <w:spacing w:line="360" w:lineRule="auto"/>
        <w:ind w:firstLine="624"/>
        <w:jc w:val="both"/>
      </w:pPr>
      <w:r w:rsidRPr="001D71BB">
        <w:t xml:space="preserve">Strateginio planavimo rezultatas  – strateginis planas – nusako pagrindines kryptis, kuriomis bus dirbama ateinančius penkerius metus (ar ilgiau). Strategiškai planuojant taip pat numatoma, kaip bus dirbama ir kodėl pasirinktos būtent šios kryptys. Taip planuojant būtina turėti išsamios </w:t>
      </w:r>
      <w:r w:rsidRPr="001D71BB">
        <w:lastRenderedPageBreak/>
        <w:t>informacijos, kuria remiantis galima nustatyti alternatyvas ir įvertinti priimamų sprendimų poveikį (Melnikas, Smaliukienė, 2007).</w:t>
      </w:r>
    </w:p>
    <w:p w:rsidR="00995BE0" w:rsidRDefault="00995BE0" w:rsidP="006D73EE">
      <w:pPr>
        <w:spacing w:line="360" w:lineRule="auto"/>
        <w:ind w:firstLine="567"/>
        <w:jc w:val="both"/>
      </w:pPr>
      <w:r w:rsidRPr="001D71BB">
        <w:t>Nori</w:t>
      </w:r>
      <w:r>
        <w:t>n</w:t>
      </w:r>
      <w:r w:rsidRPr="001D71BB">
        <w:t>t sukurti efektyvią organizacijos strategiją ir parengti kokybišką strateginį planą, svarbu tinkamai pasinaudoti esamu teoriniu potencialu, kurio, pasak J. Bivainio ir Ž. Tunčikienės (2006), sukaupta gana nemažai.</w:t>
      </w:r>
    </w:p>
    <w:p w:rsidR="00995BE0" w:rsidRPr="005208AD" w:rsidRDefault="00995BE0" w:rsidP="00004DEC">
      <w:pPr>
        <w:pStyle w:val="Antrat3"/>
      </w:pPr>
      <w:bookmarkStart w:id="28" w:name="_Toc293248618"/>
      <w:r w:rsidRPr="005208AD">
        <w:t>1.</w:t>
      </w:r>
      <w:r>
        <w:t>1.</w:t>
      </w:r>
      <w:r w:rsidRPr="005208AD">
        <w:t xml:space="preserve">4 </w:t>
      </w:r>
      <w:r>
        <w:t>V</w:t>
      </w:r>
      <w:r w:rsidRPr="005208AD">
        <w:t>iešojo sektoriaus strateginio valdymo specifiškumas</w:t>
      </w:r>
      <w:bookmarkEnd w:id="28"/>
    </w:p>
    <w:p w:rsidR="00995BE0" w:rsidRPr="001D71BB" w:rsidRDefault="00995BE0" w:rsidP="006D73EE">
      <w:pPr>
        <w:pStyle w:val="Pagrindinistekstas"/>
        <w:spacing w:after="0" w:line="360" w:lineRule="auto"/>
        <w:ind w:firstLine="567"/>
        <w:jc w:val="both"/>
        <w:rPr>
          <w:lang w:val="pt-BR"/>
        </w:rPr>
      </w:pPr>
      <w:r w:rsidRPr="00F23487">
        <w:rPr>
          <w:lang w:val="lt-LT"/>
        </w:rPr>
        <w:t xml:space="preserve">Liberalių demokratijų visuomenių sąlygomis ekonomikoje ir visuomenėje skiriami du sektoriai – privatus ir viešasis. </w:t>
      </w:r>
      <w:r w:rsidRPr="001D71BB">
        <w:rPr>
          <w:lang w:val="pt-BR"/>
        </w:rPr>
        <w:t>Šis skirstymas naudojama</w:t>
      </w:r>
      <w:r>
        <w:rPr>
          <w:lang w:val="pt-BR"/>
        </w:rPr>
        <w:t>s</w:t>
      </w:r>
      <w:r w:rsidRPr="001D71BB">
        <w:rPr>
          <w:lang w:val="pt-BR"/>
        </w:rPr>
        <w:t xml:space="preserve"> nustatant valdymo modelius, apibrėžiant interesus ar individualias preferencijas. </w:t>
      </w:r>
      <w:r>
        <w:rPr>
          <w:lang w:val="pt-BR"/>
        </w:rPr>
        <w:t>Iš esmės viešasis sektorius yra institucijų visuma, koordinuojanti skirtingų grupių, kurios įvairiais būdais prašyte prašosi vienokių ar kitokių viešųjų veiksmų, interesus (Lane, 2001).</w:t>
      </w:r>
      <w:r w:rsidRPr="001D71BB">
        <w:rPr>
          <w:lang w:val="pt-BR"/>
        </w:rPr>
        <w:t xml:space="preserve"> </w:t>
      </w:r>
      <w:r>
        <w:rPr>
          <w:lang w:val="pt-BR"/>
        </w:rPr>
        <w:t>Efektyvesnio valdymo paieškos viešajame sektoriuje yra pagrindinė ir pasikartojanti tema vyriausybinių organizacijų politikoje bei akademiniuose tyrimuose (Boyne ir kt., 2003; Pollitt, Bouckaert, 2000).</w:t>
      </w:r>
    </w:p>
    <w:p w:rsidR="00995BE0" w:rsidRPr="001D71BB" w:rsidRDefault="00995BE0" w:rsidP="006D73EE">
      <w:pPr>
        <w:pStyle w:val="Pagrindinistekstas"/>
        <w:spacing w:after="0" w:line="360" w:lineRule="auto"/>
        <w:ind w:firstLine="567"/>
        <w:jc w:val="both"/>
        <w:rPr>
          <w:lang w:val="pt-BR"/>
        </w:rPr>
      </w:pPr>
      <w:r w:rsidRPr="001D71BB">
        <w:rPr>
          <w:lang w:val="pt-BR"/>
        </w:rPr>
        <w:t>Viešasis sektorius pagal tradicinį modelį rūpinasi visuomene, remdamasis hierarchinių struktūrų, atliepiančių politines nuostatas, sistema. Viešojo sektoriaus institucijos reikalingos apibrėžti atitinkamos veiklos srities politikai, jai įgyvendinti ir administruoti (Staponkienė, 2004).</w:t>
      </w:r>
    </w:p>
    <w:p w:rsidR="00995BE0" w:rsidRPr="00635D47" w:rsidRDefault="00995BE0" w:rsidP="001749D4">
      <w:pPr>
        <w:pStyle w:val="Pagrindinistekstas"/>
        <w:spacing w:after="0" w:line="360" w:lineRule="auto"/>
        <w:ind w:firstLine="567"/>
        <w:jc w:val="both"/>
        <w:rPr>
          <w:lang w:val="pt-BR"/>
        </w:rPr>
      </w:pPr>
      <w:r w:rsidRPr="00635D47">
        <w:rPr>
          <w:lang w:val="pt-BR"/>
        </w:rPr>
        <w:t>XX a. 8-ojo dešimtmečio pabaigoje skiriamosios linijos tarp viešumo ir privatumo, tarp viešųjų ir privačiųjų, pelno ir ne pelno organizacijų darėsi vis mažiau apibrėžtos, organizacijų skirtumai gerokai mažėjo dėl įvykdytų viešojo/ne pelno sektoriaus reformų (apibrėžiamų “Naujosios viešosios vadybos” (NVV) dimensija), kurios jas priartino prie privataus/pelno sektoriaus, kadangi daugybėje sričių viešosios politikos priemonės patyrė visišką žlugimą, dėl ko kilo abejonių dėl viešųjų tarnybų profesionalų motyvacijos ir dėl viešosios sferos santykio su privačia (Staponkienė, 2004 p. 86).</w:t>
      </w:r>
    </w:p>
    <w:p w:rsidR="00995BE0" w:rsidRDefault="00995BE0" w:rsidP="006D73EE">
      <w:pPr>
        <w:pStyle w:val="Pagrindinistekstas"/>
        <w:spacing w:after="0" w:line="360" w:lineRule="auto"/>
        <w:ind w:firstLine="567"/>
        <w:jc w:val="both"/>
        <w:rPr>
          <w:lang w:val="pt-BR"/>
        </w:rPr>
      </w:pPr>
      <w:r>
        <w:rPr>
          <w:lang w:val="pt-BR"/>
        </w:rPr>
        <w:t>Viešajame sektoriuje veiklos vykdymo apibrėžimas ir išmatavimas yra labai sudėtingas. Viešosios įstaigos paprastai turi daugybę tikslų, kurie yra sudaryti politiškai bei konkuruojantys tarpusavyje (Rainey, 2003). Todėl, ar viešoji įstaiga keis savo valdymo veiklą, priklausys nuo veiklos vykdymo apimčių (pavyzdžiui, produktyvumo, efektyvumo ir bešališkumo) ir taip pat organizacijos išlikimo svarbumo suvokimo (Gedvilaitė – Moan, Zakarevičius, 2010).</w:t>
      </w:r>
    </w:p>
    <w:p w:rsidR="00995BE0" w:rsidRPr="00AF3310" w:rsidRDefault="00995BE0" w:rsidP="006D73EE">
      <w:pPr>
        <w:pStyle w:val="Pagrindinistekstas"/>
        <w:spacing w:after="0" w:line="360" w:lineRule="auto"/>
        <w:ind w:firstLine="567"/>
        <w:jc w:val="both"/>
        <w:rPr>
          <w:lang w:val="pt-BR"/>
        </w:rPr>
      </w:pPr>
      <w:r w:rsidRPr="001749D4">
        <w:rPr>
          <w:lang w:val="lt-LT"/>
        </w:rPr>
        <w:t>Strateginio valdymo prasme svarbu išsiaiškinti tris klausimus (Staponkienė</w:t>
      </w:r>
      <w:r w:rsidRPr="00AF3310">
        <w:rPr>
          <w:lang w:val="pt-BR"/>
        </w:rPr>
        <w:t>, 2004):</w:t>
      </w:r>
    </w:p>
    <w:p w:rsidR="00995BE0" w:rsidRPr="001D71BB" w:rsidRDefault="00995BE0" w:rsidP="006D73EE">
      <w:pPr>
        <w:pStyle w:val="Pagrindinistekstas"/>
        <w:numPr>
          <w:ilvl w:val="0"/>
          <w:numId w:val="5"/>
        </w:numPr>
        <w:spacing w:after="0" w:line="360" w:lineRule="auto"/>
        <w:jc w:val="both"/>
        <w:rPr>
          <w:lang w:val="fi-FI"/>
        </w:rPr>
      </w:pPr>
      <w:r w:rsidRPr="001D71BB">
        <w:rPr>
          <w:lang w:val="fi-FI"/>
        </w:rPr>
        <w:t>Kuo viešasis/ne pelno sektorius skiriasi nuo privataus?</w:t>
      </w:r>
    </w:p>
    <w:p w:rsidR="00995BE0" w:rsidRPr="001D71BB" w:rsidRDefault="00995BE0" w:rsidP="006D73EE">
      <w:pPr>
        <w:pStyle w:val="Pagrindinistekstas"/>
        <w:numPr>
          <w:ilvl w:val="0"/>
          <w:numId w:val="5"/>
        </w:numPr>
        <w:spacing w:after="0" w:line="360" w:lineRule="auto"/>
        <w:jc w:val="both"/>
        <w:rPr>
          <w:lang w:val="pt-BR"/>
        </w:rPr>
      </w:pPr>
      <w:r w:rsidRPr="001D71BB">
        <w:rPr>
          <w:lang w:val="pt-BR"/>
        </w:rPr>
        <w:t>Koks yra institucijos viešumo ir privatumo santykis?</w:t>
      </w:r>
    </w:p>
    <w:p w:rsidR="00995BE0" w:rsidRPr="001D71BB" w:rsidRDefault="00995BE0" w:rsidP="006D73EE">
      <w:pPr>
        <w:pStyle w:val="Pagrindinistekstas"/>
        <w:numPr>
          <w:ilvl w:val="0"/>
          <w:numId w:val="5"/>
        </w:numPr>
        <w:spacing w:after="0" w:line="360" w:lineRule="auto"/>
        <w:jc w:val="both"/>
        <w:rPr>
          <w:lang w:val="pt-BR"/>
        </w:rPr>
      </w:pPr>
      <w:r w:rsidRPr="001D71BB">
        <w:rPr>
          <w:lang w:val="pt-BR"/>
        </w:rPr>
        <w:t>Ar viešoji veikla reikalauja kitokio strateginio valdymo?</w:t>
      </w:r>
    </w:p>
    <w:p w:rsidR="00995BE0" w:rsidRPr="001D71BB" w:rsidRDefault="00995BE0" w:rsidP="006D73EE">
      <w:pPr>
        <w:spacing w:line="360" w:lineRule="auto"/>
        <w:ind w:firstLine="720"/>
        <w:jc w:val="both"/>
      </w:pPr>
      <w:r w:rsidRPr="001D71BB">
        <w:t xml:space="preserve">Ne pelno sektoriaus organizacijų (mokyklų, universitetų, ligoninių, savarankiškų organizacijų) vadovybė, priimdama sprendimus, siekia suteikti geriausias paslaugas naudodama </w:t>
      </w:r>
      <w:r w:rsidRPr="001D71BB">
        <w:lastRenderedPageBreak/>
        <w:t>turimus išteklius. Jų veiklos sėkmė matuojama pagal tai, kiek ir kokios kokybės paslaugų tokios organizacijos teikia. Taigi ne pelno sektoriai yra vertinami pagal gerovės, o ne pagal pelno kriterijų.</w:t>
      </w:r>
    </w:p>
    <w:p w:rsidR="00995BE0" w:rsidRPr="00424E7E" w:rsidRDefault="00995BE0" w:rsidP="006D73EE">
      <w:pPr>
        <w:pStyle w:val="Pagrindinistekstas"/>
        <w:spacing w:after="0" w:line="360" w:lineRule="auto"/>
        <w:ind w:firstLine="567"/>
        <w:jc w:val="both"/>
        <w:rPr>
          <w:lang w:val="lt-LT"/>
        </w:rPr>
      </w:pPr>
      <w:r w:rsidRPr="00424E7E">
        <w:rPr>
          <w:lang w:val="lt-LT"/>
        </w:rPr>
        <w:t>Vie</w:t>
      </w:r>
      <w:r>
        <w:rPr>
          <w:lang w:val="lt-LT"/>
        </w:rPr>
        <w:t>šojo administravimo institucijo</w:t>
      </w:r>
      <w:r w:rsidRPr="00424E7E">
        <w:rPr>
          <w:lang w:val="lt-LT"/>
        </w:rPr>
        <w:t>se glūdi paslaugų rinkoje. Tačiau jai labai svarbi politinė rinka, kuri yra netiesiogiai susijusi su institucijos veikla paslaugų rinkoje. Todėl viešojo administravimo institucijai, be paslaugų rinkos strategijos, reikalinga ir “gelbėjimosi virvės strategija”, nukreipta į politinę rinką. Būna taip, kad viešojo administravimo institucija, teikianti puikiausias paslaugas, bet neturinti politinio pritarimo, pamažu nyksta, o prastai dirbančios institucijos, remiamos politikų, klesti.</w:t>
      </w:r>
    </w:p>
    <w:p w:rsidR="00995BE0" w:rsidRPr="001D71BB" w:rsidRDefault="00995BE0" w:rsidP="006D73EE">
      <w:pPr>
        <w:pStyle w:val="Pagrindinistekstas"/>
        <w:spacing w:after="0" w:line="360" w:lineRule="auto"/>
        <w:ind w:firstLine="567"/>
        <w:jc w:val="both"/>
        <w:rPr>
          <w:lang w:val="pt-BR"/>
        </w:rPr>
      </w:pPr>
      <w:r w:rsidRPr="001D71BB">
        <w:rPr>
          <w:lang w:val="pt-BR"/>
        </w:rPr>
        <w:t>Todėl viešojo administravimo institucija negali apsiriboti vien tiktai strateginio plano rengimu. Ji privalo:</w:t>
      </w:r>
    </w:p>
    <w:p w:rsidR="00995BE0" w:rsidRPr="001D71BB" w:rsidRDefault="00995BE0" w:rsidP="006D73EE">
      <w:pPr>
        <w:pStyle w:val="Pagrindinistekstas"/>
        <w:numPr>
          <w:ilvl w:val="0"/>
          <w:numId w:val="6"/>
        </w:numPr>
        <w:spacing w:after="0" w:line="360" w:lineRule="auto"/>
        <w:jc w:val="both"/>
        <w:rPr>
          <w:lang w:val="pt-BR"/>
        </w:rPr>
      </w:pPr>
      <w:r w:rsidRPr="001D71BB">
        <w:rPr>
          <w:lang w:val="pt-BR"/>
        </w:rPr>
        <w:t>Į strateginio plano rengimą įtraukti ją kuruojančių institucijų ir kitų interesų grupių atstovus;</w:t>
      </w:r>
    </w:p>
    <w:p w:rsidR="00995BE0" w:rsidRPr="001D71BB" w:rsidRDefault="00995BE0" w:rsidP="006D73EE">
      <w:pPr>
        <w:pStyle w:val="Pagrindinistekstas"/>
        <w:numPr>
          <w:ilvl w:val="0"/>
          <w:numId w:val="6"/>
        </w:numPr>
        <w:spacing w:after="0" w:line="360" w:lineRule="auto"/>
        <w:jc w:val="both"/>
        <w:rPr>
          <w:lang w:val="pt-BR"/>
        </w:rPr>
      </w:pPr>
      <w:r w:rsidRPr="001D71BB">
        <w:rPr>
          <w:lang w:val="pt-BR"/>
        </w:rPr>
        <w:t>Numatyti lobistinius ir visuomenės informavimo veiksmus, užtikrinančius institucijos veiklos supratimą ir paramą jai (Arimavičiūtė, 2005).</w:t>
      </w:r>
    </w:p>
    <w:p w:rsidR="00995BE0" w:rsidRPr="00E85563" w:rsidRDefault="00995BE0" w:rsidP="00E85563">
      <w:pPr>
        <w:pStyle w:val="Pagrindinistekstas"/>
        <w:spacing w:after="0" w:line="360" w:lineRule="auto"/>
        <w:ind w:firstLine="567"/>
        <w:jc w:val="both"/>
        <w:rPr>
          <w:lang w:val="lt-LT"/>
        </w:rPr>
      </w:pPr>
      <w:r>
        <w:rPr>
          <w:lang w:val="lt-LT"/>
        </w:rPr>
        <w:t>W. Parsons</w:t>
      </w:r>
      <w:r w:rsidRPr="00350594">
        <w:rPr>
          <w:lang w:val="lt-LT"/>
        </w:rPr>
        <w:t xml:space="preserve"> (2001) išskiria dešimt požymių, skiriančių viešąjį sektorių nuo privataus</w:t>
      </w:r>
      <w:r>
        <w:rPr>
          <w:lang w:val="lt-LT"/>
        </w:rPr>
        <w:t>.</w:t>
      </w:r>
      <w:r w:rsidRPr="00E85563">
        <w:rPr>
          <w:lang w:val="lt-LT"/>
        </w:rPr>
        <w:t xml:space="preserve"> </w:t>
      </w:r>
      <w:r>
        <w:rPr>
          <w:lang w:val="lt-LT"/>
        </w:rPr>
        <w:t xml:space="preserve">1) </w:t>
      </w:r>
      <w:r w:rsidRPr="00E85563">
        <w:rPr>
          <w:lang w:val="lt-LT"/>
        </w:rPr>
        <w:t>Sprendžia sudėtingus ir nebienareikšmius uždavinius; 2) Turi įveikti daugiau problemų įgyvendindamas savo sprendimus;</w:t>
      </w:r>
      <w:r>
        <w:rPr>
          <w:lang w:val="lt-LT"/>
        </w:rPr>
        <w:t xml:space="preserve"> 3) </w:t>
      </w:r>
      <w:r w:rsidRPr="00E85563">
        <w:rPr>
          <w:lang w:val="lt-LT"/>
        </w:rPr>
        <w:t>Pritraukia daugiau platesnės motyvacijos žmonių; 4)</w:t>
      </w:r>
      <w:r>
        <w:rPr>
          <w:lang w:val="lt-LT"/>
        </w:rPr>
        <w:t xml:space="preserve"> </w:t>
      </w:r>
      <w:r w:rsidRPr="00E85563">
        <w:rPr>
          <w:lang w:val="lt-LT"/>
        </w:rPr>
        <w:t>Labiau rūpinasi garantijomis; 5) Siekia šalinti rinkos trūkumus; 6) Daugiau dėmesio skiria simbolinei veiklai; 7) Laikosi griežtesnių lojalumo ir legalumo standartų;</w:t>
      </w:r>
      <w:r>
        <w:rPr>
          <w:lang w:val="lt-LT"/>
        </w:rPr>
        <w:t xml:space="preserve"> 8) </w:t>
      </w:r>
      <w:r w:rsidRPr="00E85563">
        <w:rPr>
          <w:lang w:val="lt-LT"/>
        </w:rPr>
        <w:t>Turi daugiau galimybių atsižvelgti į “teisingumo” reikalavimus; 9) Turi veikti vadovaudamasi, bent iš pažiūros, viešaisiais interesais; 10) Turi turėti visuomenės palaikymą, didesnį už tą, kuris būtinas privačiame sektoriuje.</w:t>
      </w:r>
    </w:p>
    <w:p w:rsidR="00995BE0" w:rsidRPr="00AF3310" w:rsidRDefault="00995BE0" w:rsidP="00E85563">
      <w:pPr>
        <w:pStyle w:val="Pagrindinistekstas"/>
        <w:spacing w:after="0" w:line="360" w:lineRule="auto"/>
        <w:ind w:firstLine="567"/>
        <w:jc w:val="both"/>
        <w:rPr>
          <w:lang w:val="lt-LT"/>
        </w:rPr>
      </w:pPr>
      <w:r w:rsidRPr="00E85563">
        <w:rPr>
          <w:lang w:val="lt-LT"/>
        </w:rPr>
        <w:t xml:space="preserve">Kiekvienos valdymo funkcijos realizavimas viešojo sektoriaus organizacijoje turi specifinių ypatumų, lyginant su privačia kompanija </w:t>
      </w:r>
      <w:r>
        <w:rPr>
          <w:lang w:val="lt-LT"/>
        </w:rPr>
        <w:t>(3 lentelė)</w:t>
      </w:r>
      <w:r w:rsidRPr="00E85563">
        <w:rPr>
          <w:lang w:val="lt-LT"/>
        </w:rPr>
        <w:t xml:space="preserve">. Veikla planuojama ir prognozuojama viešojo sektoriaus organizacijose atsižvelgiant į tikslus, kuriuos nustato aukštesnio valdymo lygmens institucijos remdamosi piliečių išreikšta valia demokratiškuose rinkimuose. </w:t>
      </w:r>
      <w:r w:rsidRPr="00AF3310">
        <w:rPr>
          <w:lang w:val="lt-LT"/>
        </w:rPr>
        <w:t>Viešojo sektoriaus organizacijose paprastai dominuoja didesnė valdymo hierarchija, susiformuoja administracinis-biurokratinis valdymo stilius. Viešojo sektoriaus darbuotojų skatinimo priemonių pagrindą sudaro ne materialinis skatinimas, o nematerialaus pobūdžio stimulai (atliekamo darbo svarbumas, prestižas, darbo vietos stabilumas ir pan.). Rezultatų kontrolė viešojo sektoriaus organizacijose apima kur kas daugiau rezultatų nei privačioje kompanijoje. Galutinis viešųjų paslaugų teikimo sistemos vertinimo kriterijus yra tai, ar piliečiai yra patenkinti jos teikiamomis gėrybėmis ir paslaugomis.</w:t>
      </w:r>
    </w:p>
    <w:p w:rsidR="00995BE0" w:rsidRPr="00AF3310" w:rsidRDefault="00995BE0" w:rsidP="006D73EE">
      <w:pPr>
        <w:pStyle w:val="Pagrindinistekstas"/>
        <w:spacing w:after="0" w:line="360" w:lineRule="auto"/>
        <w:ind w:firstLine="567"/>
        <w:jc w:val="both"/>
        <w:rPr>
          <w:lang w:val="lt-LT"/>
        </w:rPr>
      </w:pPr>
    </w:p>
    <w:p w:rsidR="00995BE0" w:rsidRDefault="00995BE0" w:rsidP="006D73EE">
      <w:pPr>
        <w:spacing w:line="360" w:lineRule="auto"/>
        <w:ind w:left="7776"/>
        <w:jc w:val="right"/>
      </w:pPr>
    </w:p>
    <w:p w:rsidR="00995BE0" w:rsidRDefault="00995BE0" w:rsidP="006D73EE">
      <w:pPr>
        <w:spacing w:line="360" w:lineRule="auto"/>
        <w:ind w:left="7776"/>
        <w:jc w:val="right"/>
      </w:pPr>
    </w:p>
    <w:p w:rsidR="00995BE0" w:rsidRDefault="00995BE0" w:rsidP="006D73EE">
      <w:pPr>
        <w:spacing w:line="360" w:lineRule="auto"/>
        <w:ind w:left="7776"/>
        <w:jc w:val="right"/>
      </w:pPr>
    </w:p>
    <w:p w:rsidR="00995BE0" w:rsidRPr="001D71BB" w:rsidRDefault="00995BE0" w:rsidP="006D73EE">
      <w:pPr>
        <w:spacing w:line="360" w:lineRule="auto"/>
        <w:ind w:left="7776"/>
        <w:jc w:val="right"/>
      </w:pPr>
      <w:r>
        <w:lastRenderedPageBreak/>
        <w:t>3</w:t>
      </w:r>
      <w:r w:rsidRPr="001D71BB">
        <w:t xml:space="preserve"> lentelė</w:t>
      </w:r>
    </w:p>
    <w:p w:rsidR="00995BE0" w:rsidRPr="00993A98" w:rsidRDefault="00995BE0" w:rsidP="006D73EE">
      <w:pPr>
        <w:jc w:val="center"/>
        <w:rPr>
          <w:b/>
          <w:sz w:val="22"/>
          <w:szCs w:val="22"/>
        </w:rPr>
      </w:pPr>
      <w:r w:rsidRPr="00993A98">
        <w:rPr>
          <w:b/>
          <w:sz w:val="22"/>
          <w:szCs w:val="22"/>
        </w:rPr>
        <w:t>Strateginio valdymo ir planavimo skirtumai verslo organizacijose ir viešojo administravimo institucijose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995BE0" w:rsidRPr="001D71BB" w:rsidTr="006D73EE">
        <w:trPr>
          <w:jc w:val="center"/>
        </w:trPr>
        <w:tc>
          <w:tcPr>
            <w:tcW w:w="4428" w:type="dxa"/>
          </w:tcPr>
          <w:p w:rsidR="00995BE0" w:rsidRPr="0032473D" w:rsidRDefault="00995BE0" w:rsidP="006D73EE">
            <w:pPr>
              <w:rPr>
                <w:i/>
                <w:sz w:val="20"/>
                <w:szCs w:val="20"/>
              </w:rPr>
            </w:pPr>
            <w:r w:rsidRPr="0032473D">
              <w:rPr>
                <w:i/>
                <w:sz w:val="20"/>
                <w:szCs w:val="20"/>
              </w:rPr>
              <w:t>Verslo organizacija</w:t>
            </w:r>
          </w:p>
        </w:tc>
        <w:tc>
          <w:tcPr>
            <w:tcW w:w="4428" w:type="dxa"/>
          </w:tcPr>
          <w:p w:rsidR="00995BE0" w:rsidRPr="0032473D" w:rsidRDefault="00995BE0" w:rsidP="006D73EE">
            <w:pPr>
              <w:rPr>
                <w:i/>
                <w:sz w:val="20"/>
                <w:szCs w:val="20"/>
              </w:rPr>
            </w:pPr>
            <w:r w:rsidRPr="0032473D">
              <w:rPr>
                <w:i/>
                <w:sz w:val="20"/>
                <w:szCs w:val="20"/>
              </w:rPr>
              <w:t>Viešojo administravimo institucija</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Veiklos nesėkmė paliečia mažą vartotojų grupę</w:t>
            </w:r>
          </w:p>
        </w:tc>
        <w:tc>
          <w:tcPr>
            <w:tcW w:w="4428" w:type="dxa"/>
          </w:tcPr>
          <w:p w:rsidR="00995BE0" w:rsidRPr="0032473D" w:rsidRDefault="00995BE0" w:rsidP="006D73EE">
            <w:pPr>
              <w:rPr>
                <w:sz w:val="20"/>
                <w:szCs w:val="20"/>
              </w:rPr>
            </w:pPr>
            <w:r w:rsidRPr="0032473D">
              <w:rPr>
                <w:sz w:val="20"/>
                <w:szCs w:val="20"/>
              </w:rPr>
              <w:t>Veiklos nesėkmė paliečia didelę visuomenės ir valstybės dalį</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Daugiau laisvės keičiant struktūrą, veiklos formas, tikslus, darbuotojus</w:t>
            </w:r>
          </w:p>
        </w:tc>
        <w:tc>
          <w:tcPr>
            <w:tcW w:w="4428" w:type="dxa"/>
          </w:tcPr>
          <w:p w:rsidR="00995BE0" w:rsidRPr="0032473D" w:rsidRDefault="00995BE0" w:rsidP="006D73EE">
            <w:pPr>
              <w:rPr>
                <w:sz w:val="20"/>
                <w:szCs w:val="20"/>
              </w:rPr>
            </w:pPr>
            <w:r w:rsidRPr="0032473D">
              <w:rPr>
                <w:sz w:val="20"/>
                <w:szCs w:val="20"/>
              </w:rPr>
              <w:t>Daug suvaržymų keičiant struktūrą, veiklos formas, tikslus, darbuotojus</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Didesnis arba visiškas savarankiškumas nustatant misiją, strateginius tikslus, programas, finansavimą</w:t>
            </w:r>
          </w:p>
        </w:tc>
        <w:tc>
          <w:tcPr>
            <w:tcW w:w="4428" w:type="dxa"/>
          </w:tcPr>
          <w:p w:rsidR="00995BE0" w:rsidRPr="0032473D" w:rsidRDefault="00995BE0" w:rsidP="006D73EE">
            <w:pPr>
              <w:rPr>
                <w:sz w:val="20"/>
                <w:szCs w:val="20"/>
              </w:rPr>
            </w:pPr>
            <w:r w:rsidRPr="0032473D">
              <w:rPr>
                <w:sz w:val="20"/>
                <w:szCs w:val="20"/>
              </w:rPr>
              <w:t>Labai sudėtingas misijos, strateginių tikslų, programų, finansavimo derinimas su daugeliu kitų institucijų ir interesų grupių</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Kompanijos misiją neretai tenka keisti, keičiantis rinkai, paklausai</w:t>
            </w:r>
          </w:p>
        </w:tc>
        <w:tc>
          <w:tcPr>
            <w:tcW w:w="4428" w:type="dxa"/>
          </w:tcPr>
          <w:p w:rsidR="00995BE0" w:rsidRPr="0032473D" w:rsidRDefault="00995BE0" w:rsidP="006D73EE">
            <w:pPr>
              <w:rPr>
                <w:sz w:val="20"/>
                <w:szCs w:val="20"/>
              </w:rPr>
            </w:pPr>
            <w:r w:rsidRPr="0032473D">
              <w:rPr>
                <w:sz w:val="20"/>
                <w:szCs w:val="20"/>
              </w:rPr>
              <w:t>Daugelių atvejų institucijos misija yra ilgalaikė</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Nebūtina viešinti visų tikslų, finansinių aspektų</w:t>
            </w:r>
          </w:p>
        </w:tc>
        <w:tc>
          <w:tcPr>
            <w:tcW w:w="4428" w:type="dxa"/>
          </w:tcPr>
          <w:p w:rsidR="00995BE0" w:rsidRPr="0032473D" w:rsidRDefault="00995BE0" w:rsidP="006D73EE">
            <w:pPr>
              <w:rPr>
                <w:sz w:val="20"/>
                <w:szCs w:val="20"/>
              </w:rPr>
            </w:pPr>
            <w:r w:rsidRPr="0032473D">
              <w:rPr>
                <w:sz w:val="20"/>
                <w:szCs w:val="20"/>
              </w:rPr>
              <w:t>Tikslų ir finansavimo skaidrumo privalomumas</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Lengviau išmatuojamas veiklos efektyvumas, rezultatai – aiškesnė darbuotojų atsakomybė</w:t>
            </w:r>
          </w:p>
        </w:tc>
        <w:tc>
          <w:tcPr>
            <w:tcW w:w="4428" w:type="dxa"/>
          </w:tcPr>
          <w:p w:rsidR="00995BE0" w:rsidRPr="0032473D" w:rsidRDefault="00995BE0" w:rsidP="006D73EE">
            <w:pPr>
              <w:rPr>
                <w:sz w:val="20"/>
                <w:szCs w:val="20"/>
              </w:rPr>
            </w:pPr>
            <w:r w:rsidRPr="0032473D">
              <w:rPr>
                <w:sz w:val="20"/>
                <w:szCs w:val="20"/>
              </w:rPr>
              <w:t>Sudėtinga išmatuoti veiklos efektyvumą, rezultatus – sudėtingesnė darbuotojų atsakomybė</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Didelis jautrumas rinkos permainoms</w:t>
            </w:r>
          </w:p>
        </w:tc>
        <w:tc>
          <w:tcPr>
            <w:tcW w:w="4428" w:type="dxa"/>
          </w:tcPr>
          <w:p w:rsidR="00995BE0" w:rsidRPr="0032473D" w:rsidRDefault="00995BE0" w:rsidP="006D73EE">
            <w:pPr>
              <w:rPr>
                <w:sz w:val="20"/>
                <w:szCs w:val="20"/>
              </w:rPr>
            </w:pPr>
            <w:r w:rsidRPr="0032473D">
              <w:rPr>
                <w:sz w:val="20"/>
                <w:szCs w:val="20"/>
              </w:rPr>
              <w:t>Didelis jautrumas politikos permainoms</w:t>
            </w:r>
          </w:p>
        </w:tc>
      </w:tr>
      <w:tr w:rsidR="00995BE0" w:rsidRPr="001D71BB" w:rsidTr="006D73EE">
        <w:trPr>
          <w:jc w:val="center"/>
        </w:trPr>
        <w:tc>
          <w:tcPr>
            <w:tcW w:w="4428" w:type="dxa"/>
          </w:tcPr>
          <w:p w:rsidR="00995BE0" w:rsidRPr="0032473D" w:rsidRDefault="00995BE0" w:rsidP="006D73EE">
            <w:pPr>
              <w:rPr>
                <w:sz w:val="20"/>
                <w:szCs w:val="20"/>
              </w:rPr>
            </w:pPr>
            <w:r w:rsidRPr="0032473D">
              <w:rPr>
                <w:sz w:val="20"/>
                <w:szCs w:val="20"/>
              </w:rPr>
              <w:t>Daugeliu atvejų darbuotojų iniciatyva yra skatinama tiek iš vidaus, tiek iš išorės</w:t>
            </w:r>
          </w:p>
        </w:tc>
        <w:tc>
          <w:tcPr>
            <w:tcW w:w="4428" w:type="dxa"/>
          </w:tcPr>
          <w:p w:rsidR="00995BE0" w:rsidRPr="0032473D" w:rsidRDefault="00995BE0" w:rsidP="006D73EE">
            <w:pPr>
              <w:rPr>
                <w:sz w:val="20"/>
                <w:szCs w:val="20"/>
              </w:rPr>
            </w:pPr>
            <w:r w:rsidRPr="0032473D">
              <w:rPr>
                <w:sz w:val="20"/>
                <w:szCs w:val="20"/>
              </w:rPr>
              <w:t>Nereti atvejai, kai darbuotojų iniciatyva gali būti slopinama</w:t>
            </w:r>
          </w:p>
        </w:tc>
      </w:tr>
    </w:tbl>
    <w:p w:rsidR="00995BE0" w:rsidRPr="00EB426F" w:rsidRDefault="00995BE0" w:rsidP="005750FE">
      <w:pPr>
        <w:pStyle w:val="Puslapioinaostekstas"/>
        <w:tabs>
          <w:tab w:val="left" w:pos="851"/>
        </w:tabs>
        <w:ind w:left="360"/>
        <w:jc w:val="center"/>
        <w:rPr>
          <w:sz w:val="22"/>
          <w:szCs w:val="22"/>
          <w:lang w:val="lt-LT"/>
        </w:rPr>
      </w:pPr>
      <w:r w:rsidRPr="005750FE">
        <w:rPr>
          <w:lang w:val="pt-BR"/>
        </w:rPr>
        <w:t>Šaltinis: Strateginis valdymas valstybės valdymo institucijose, (2001 – 2002). Seminaro medžiaga. LR Krašto apsaugos ministerija</w:t>
      </w:r>
      <w:r w:rsidRPr="005750FE">
        <w:rPr>
          <w:lang w:val="lt-LT"/>
        </w:rPr>
        <w:t>.</w:t>
      </w:r>
    </w:p>
    <w:p w:rsidR="00995BE0" w:rsidRPr="0092355D" w:rsidRDefault="00995BE0" w:rsidP="0092355D">
      <w:pPr>
        <w:tabs>
          <w:tab w:val="left" w:pos="851"/>
        </w:tabs>
        <w:jc w:val="center"/>
        <w:rPr>
          <w:sz w:val="20"/>
          <w:szCs w:val="20"/>
        </w:rPr>
      </w:pPr>
    </w:p>
    <w:p w:rsidR="00995BE0" w:rsidRPr="001D71BB" w:rsidRDefault="00995BE0" w:rsidP="006D73EE">
      <w:pPr>
        <w:jc w:val="center"/>
        <w:rPr>
          <w:sz w:val="20"/>
          <w:szCs w:val="20"/>
        </w:rPr>
      </w:pPr>
    </w:p>
    <w:p w:rsidR="00995BE0" w:rsidRPr="0013549E" w:rsidRDefault="00995BE0" w:rsidP="00006DDD">
      <w:pPr>
        <w:pStyle w:val="prastasistinklapis"/>
        <w:spacing w:before="0" w:beforeAutospacing="0" w:after="0" w:afterAutospacing="0" w:line="360" w:lineRule="auto"/>
        <w:ind w:firstLine="567"/>
        <w:jc w:val="both"/>
        <w:rPr>
          <w:color w:val="FF0000"/>
        </w:rPr>
      </w:pPr>
      <w:r w:rsidRPr="001D71BB">
        <w:t>Jeigu organizacija nori pasiekti meistriškumo būseną ir konstruktyviai reaguoti į sparčius pokyčius pasaulyje, strateginis valdymas turi tapti svarbia mokymosi ir pažangos priemone. Tai pagrindinė Pasaulio banko atlikto tyrimo išvada. Tyrimo išvadose pažymima, kad strateginio valdymo koncepcijos ir jų praktinis pritaikymas yra svarbūs siekiant efektyvios tiek viešųjų, tiek privačių organizacijų veiklos (Hanna, Nagy, 1985).</w:t>
      </w:r>
      <w:r>
        <w:t xml:space="preserve"> </w:t>
      </w:r>
    </w:p>
    <w:p w:rsidR="00995BE0" w:rsidRPr="001D71BB" w:rsidRDefault="00995BE0" w:rsidP="006D73EE">
      <w:pPr>
        <w:pStyle w:val="Pagrindinistekstas"/>
        <w:spacing w:after="0" w:line="360" w:lineRule="auto"/>
        <w:ind w:firstLine="567"/>
        <w:jc w:val="both"/>
        <w:rPr>
          <w:lang w:val="lt-LT"/>
        </w:rPr>
      </w:pPr>
      <w:r w:rsidRPr="001D71BB">
        <w:rPr>
          <w:lang w:val="lt-LT"/>
        </w:rPr>
        <w:t>Strateginis valdymas viešojo sektoriaus organizacijose turi ypatybių, priklausančių nuo aplinkos komponentų, su kuriais sąveikauja. Tai visų pirma politinė aplinka, kuri tvirtina biudžetą, nustato taisykles ir teikia subsidijas; teisinė aplinka, griežtai reglamentuojanti veiklos taisykles ir procedūras (tai formuoja vieną pagrindinį viešojo sektoriaus organizacijų kultūros bruožų – biurokratizmą); daugiau visuomenės dėmesio; žiniasklaidos vertinimai. Viešojo sektoriaus tarnautojus nuo rizikos sulaiko tai, kad, ištikus nesėkmei, grėsmė gali iškilti didesnei visuomenės daliai. Viešojo sektoriaus organizacija patiria daug suvaržymų keisdama struktūrą, veiklos formas, tikslus, darbuotojus, derina sudėtingas misijas, strateginius tikslus, programas, finansavimą su daugeliu kitų institucijų ir interesų grupių (Arimavičiūtė, 2005).</w:t>
      </w:r>
    </w:p>
    <w:p w:rsidR="00995BE0" w:rsidRPr="00CA30A1" w:rsidRDefault="00995BE0" w:rsidP="0038297E">
      <w:pPr>
        <w:pStyle w:val="Antrat3"/>
      </w:pPr>
      <w:bookmarkStart w:id="29" w:name="_Toc293248619"/>
      <w:r w:rsidRPr="00CA30A1">
        <w:t>1.1.5 Nustatytinė strateginio valdymo metodologija</w:t>
      </w:r>
      <w:bookmarkEnd w:id="29"/>
    </w:p>
    <w:p w:rsidR="00995BE0" w:rsidRPr="003678A9" w:rsidRDefault="00995BE0" w:rsidP="006D73EE">
      <w:pPr>
        <w:spacing w:line="360" w:lineRule="auto"/>
        <w:ind w:firstLine="540"/>
        <w:jc w:val="both"/>
        <w:rPr>
          <w:lang w:eastAsia="ar-SA"/>
        </w:rPr>
      </w:pPr>
      <w:r>
        <w:rPr>
          <w:lang w:eastAsia="ar-SA"/>
        </w:rPr>
        <w:t>Strateginio valdymo literatūroje (Stein, 1981; Worrall, Collinge, Bill, 1998; Richardson, 1994; Flynn, Talbot, 1996; Mchugh, 1997; Ratkevičienė, Jankūnienė, 1998; Harris, Forbes, Fletcher, 2000; Vasiliauskas, 2002, 2004; Dereli, 2003) išskiriamos dvi pagrindinės strateginio planavimo metodologijos: nustatytinė ir plėtotinė.</w:t>
      </w:r>
    </w:p>
    <w:p w:rsidR="00995BE0" w:rsidRDefault="00995BE0" w:rsidP="006D73EE">
      <w:pPr>
        <w:spacing w:line="360" w:lineRule="auto"/>
        <w:ind w:firstLine="540"/>
        <w:jc w:val="both"/>
        <w:rPr>
          <w:lang w:eastAsia="ar-SA"/>
        </w:rPr>
      </w:pPr>
      <w:r>
        <w:rPr>
          <w:lang w:eastAsia="ar-SA"/>
        </w:rPr>
        <w:t>Išsamiau darbe nagrinėjama nustatytinė metodologija, p</w:t>
      </w:r>
      <w:r w:rsidRPr="00F53AA8">
        <w:rPr>
          <w:spacing w:val="-5"/>
        </w:rPr>
        <w:t xml:space="preserve">agal </w:t>
      </w:r>
      <w:r>
        <w:rPr>
          <w:spacing w:val="-5"/>
        </w:rPr>
        <w:t xml:space="preserve">kurią, visuomenės sveikatos biuro, kaip </w:t>
      </w:r>
      <w:r>
        <w:rPr>
          <w:lang w:eastAsia="ar-SA"/>
        </w:rPr>
        <w:t xml:space="preserve">viešojo sektoriaus institucijos strateginis planavimas grindžiamas racionalios visapusiškos </w:t>
      </w:r>
      <w:r>
        <w:rPr>
          <w:lang w:eastAsia="ar-SA"/>
        </w:rPr>
        <w:lastRenderedPageBreak/>
        <w:t>sprendimų rengimo ir priėmimo teorijos principais (Raipa, 1999), t.y. pripažįstant pakankamą ateities numatymą. Sisteminį kompleksiškumą, reikiamą apibrėžtumą, dideles formalizavimo galimybes, vienpusio strateginių sprendimų suderinamumo su organizacine struktūra, valdymo bei veiklos stiliumi ir kt. galimybes, strateginio planavimo žingsnių nuoseklumą ir t.t. (Bryson, 1988; Worrall Collinge, Bill, 1998; Mchugh, 1997). Šia metodologija grindžiamas šio darbo tyrimas.</w:t>
      </w:r>
    </w:p>
    <w:p w:rsidR="00995BE0" w:rsidRDefault="00995BE0" w:rsidP="006D73EE">
      <w:pPr>
        <w:spacing w:line="360" w:lineRule="auto"/>
        <w:ind w:firstLine="540"/>
        <w:jc w:val="both"/>
        <w:rPr>
          <w:lang w:eastAsia="ar-SA"/>
        </w:rPr>
      </w:pPr>
      <w:r>
        <w:rPr>
          <w:lang w:eastAsia="ar-SA"/>
        </w:rPr>
        <w:t>Svarbiausias nustatytinio strateginio planavimo tikslas nukreiptas į viešojo sektoriaus institucijos ir jos aplinkos reikalavimų strateginio atitikimo galimybių nustatymą bei kuo geresnį jų panaudojimą (Galloway, 1990;</w:t>
      </w:r>
      <w:r w:rsidRPr="005E71F2">
        <w:rPr>
          <w:lang w:eastAsia="ar-SA"/>
        </w:rPr>
        <w:t xml:space="preserve"> </w:t>
      </w:r>
      <w:r>
        <w:rPr>
          <w:lang w:eastAsia="ar-SA"/>
        </w:rPr>
        <w:t>Mchugh, 1997; Jucevičius, 1998; Vasiliauskas, 2004), todėl pagal šią metodologiją institucijos strateginį veiklos planą pradedama rengti kompleksine strategine analize ir vertinimu (Bivainis, Tunčikienė, 2009).</w:t>
      </w:r>
    </w:p>
    <w:p w:rsidR="00995BE0" w:rsidRDefault="00995BE0" w:rsidP="006D73EE">
      <w:pPr>
        <w:spacing w:line="360" w:lineRule="auto"/>
        <w:ind w:firstLine="540"/>
        <w:jc w:val="both"/>
        <w:rPr>
          <w:lang w:eastAsia="ar-SA"/>
        </w:rPr>
      </w:pPr>
      <w:r>
        <w:rPr>
          <w:lang w:eastAsia="ar-SA"/>
        </w:rPr>
        <w:t>Taikant nustatytinės metodologijos principus, vyrauja strateginio atitikimo, o ne strateginio ketinimo aspektas, nes jis iš esmės yra varžomas formalių strateginio planavimo procedūrų bei taisyklių. Tokiais atvejais kompleksinės strateginės analizės ir vertinimo rezultatai turi sudaryti prielaidas tikslinei perspektyvos orientacijai formuoti ir alternatyvoms parengti priimti ir įgyvendinti sprendimus, kurie būtų pagrįsti turimais ištekliais ir gebėjimais panaudoti aplinkoje susiklėsčiusias galimybes (Jucevičius, 1998).</w:t>
      </w:r>
    </w:p>
    <w:p w:rsidR="00995BE0" w:rsidRPr="001D71BB" w:rsidRDefault="00995BE0" w:rsidP="006D73EE">
      <w:pPr>
        <w:spacing w:line="360" w:lineRule="auto"/>
        <w:ind w:firstLine="540"/>
        <w:jc w:val="both"/>
        <w:rPr>
          <w:lang w:eastAsia="ar-SA"/>
        </w:rPr>
      </w:pPr>
      <w:r>
        <w:rPr>
          <w:lang w:eastAsia="ar-SA"/>
        </w:rPr>
        <w:t>Nustatytinė metodologija akcentuoja galimybę keisti organizacinę struktūrą, organizacinę kultūrą, valdymo bei veiklos stilių, siekiant strateginių sprendimų atitikmens (Vasiliauskas, 2004). Taip pabrėžiamas strateginio atitikmens aspekto dominavimas bei vienpusis strateginių sprendimų ir organizacinės struktūros ryšys (</w:t>
      </w:r>
      <w:r w:rsidRPr="00A02742">
        <w:rPr>
          <w:lang w:eastAsia="ar-SA"/>
        </w:rPr>
        <w:t>Worrall, Collinge, Bill</w:t>
      </w:r>
      <w:r>
        <w:rPr>
          <w:lang w:eastAsia="ar-SA"/>
        </w:rPr>
        <w:t>, 1998; Vasiliauskas, 2002, 2004).</w:t>
      </w:r>
    </w:p>
    <w:p w:rsidR="00995BE0" w:rsidRPr="00F53AA8" w:rsidRDefault="00995BE0" w:rsidP="006D73EE">
      <w:pPr>
        <w:spacing w:line="360" w:lineRule="auto"/>
        <w:ind w:firstLine="600"/>
        <w:jc w:val="both"/>
        <w:rPr>
          <w:spacing w:val="-6"/>
        </w:rPr>
      </w:pPr>
      <w:r w:rsidRPr="00F53AA8">
        <w:rPr>
          <w:spacing w:val="-4"/>
        </w:rPr>
        <w:t>Svarbiausias nustatytinio strateginio planavimo tikslas</w:t>
      </w:r>
      <w:r w:rsidRPr="00F53AA8">
        <w:rPr>
          <w:i/>
          <w:iCs/>
          <w:spacing w:val="-4"/>
        </w:rPr>
        <w:t xml:space="preserve"> </w:t>
      </w:r>
      <w:r w:rsidRPr="00F53AA8">
        <w:rPr>
          <w:spacing w:val="-4"/>
        </w:rPr>
        <w:t>nukreiptas į institucijos strateginio ir jos aplinkos reikala</w:t>
      </w:r>
      <w:r w:rsidRPr="00F53AA8">
        <w:rPr>
          <w:spacing w:val="-4"/>
        </w:rPr>
        <w:softHyphen/>
      </w:r>
      <w:r w:rsidRPr="00F53AA8">
        <w:rPr>
          <w:spacing w:val="-5"/>
        </w:rPr>
        <w:t xml:space="preserve">vimų galimybių atitikimo nustatymą bei kuo geresnį tokių </w:t>
      </w:r>
      <w:r w:rsidRPr="00F53AA8">
        <w:rPr>
          <w:spacing w:val="-4"/>
        </w:rPr>
        <w:t>galimybių naudojimą, todėl pagal nusta</w:t>
      </w:r>
      <w:r w:rsidRPr="00F53AA8">
        <w:rPr>
          <w:spacing w:val="-4"/>
        </w:rPr>
        <w:softHyphen/>
      </w:r>
      <w:r w:rsidRPr="00F53AA8">
        <w:rPr>
          <w:spacing w:val="-6"/>
        </w:rPr>
        <w:t>tytinę metodologiją institucijos strateginį veiklos planą pra</w:t>
      </w:r>
      <w:r w:rsidRPr="00F53AA8">
        <w:rPr>
          <w:spacing w:val="-6"/>
        </w:rPr>
        <w:softHyphen/>
        <w:t>dedama rengti kompleksine strategine analize ir vertinimu</w:t>
      </w:r>
      <w:r>
        <w:rPr>
          <w:spacing w:val="-6"/>
        </w:rPr>
        <w:t xml:space="preserve"> (Bivainis ir kt., 2006)</w:t>
      </w:r>
      <w:r w:rsidRPr="00F53AA8">
        <w:rPr>
          <w:spacing w:val="-6"/>
        </w:rPr>
        <w:t xml:space="preserve">. </w:t>
      </w:r>
    </w:p>
    <w:p w:rsidR="00995BE0" w:rsidRPr="00F53AA8" w:rsidRDefault="00995BE0" w:rsidP="006D73EE">
      <w:pPr>
        <w:shd w:val="clear" w:color="auto" w:fill="FFFFFF"/>
        <w:spacing w:line="360" w:lineRule="auto"/>
        <w:ind w:left="19" w:right="10" w:firstLine="701"/>
        <w:jc w:val="both"/>
      </w:pPr>
      <w:r w:rsidRPr="00F53AA8">
        <w:t>Nustatytinė metodologija strateginį valdymą traktuoja kaip tiesioginį nuoseklų ir racionalų procesą prasidedantį nuo tam tikro dabarties momento analizės pagrindu kuriant strategiją ir ją įgyvendinant. Nustatytinis strateginio valdymo procesas remiasi tam tikra strateginio planavimo sistema kaip formalizuota nuostatų ir metodų visuma, kuri leidžia nuosekliai ir racionaliai analizuoti organizacijos išorinę aplinką ir išteklius, apibrėžti strategijos tikslinę orientaciją, kurti strateginių sprendimų alternatyvas ir parinkti galutinius strateginius sprendimus, kurie vėliau įgyvendinami</w:t>
      </w:r>
      <w:r>
        <w:t xml:space="preserve">. </w:t>
      </w:r>
    </w:p>
    <w:p w:rsidR="00995BE0" w:rsidRPr="00424E7E" w:rsidRDefault="00995BE0" w:rsidP="006D73EE">
      <w:pPr>
        <w:tabs>
          <w:tab w:val="left" w:pos="-1440"/>
          <w:tab w:val="left" w:pos="-540"/>
          <w:tab w:val="right" w:pos="-180"/>
        </w:tabs>
        <w:spacing w:line="360" w:lineRule="auto"/>
        <w:ind w:firstLine="480"/>
        <w:jc w:val="both"/>
      </w:pPr>
      <w:r w:rsidRPr="00424E7E">
        <w:t xml:space="preserve">Nustatytinei metodologijai strateginė analizė, strategijos kūrimas ir strategijos įgyvendinimas nuosekliai eina vienas po kito. Grįžtamasis ryšys liečia tik pačios strategijos kūrimą. Galutiniame cikle strategijos įgyvendinimas pradedamas realizuoti tik galutinai sukūrus strategiją. Strateginio proceso nepertraukiamumas užtikrinamas kai baigiant įgyvendinti parengtą strategiją rengiama </w:t>
      </w:r>
      <w:r w:rsidRPr="00424E7E">
        <w:lastRenderedPageBreak/>
        <w:t>nauja strategija. Naujos strategijos kūrimą gali paankstinti ankstesnės strategijos realizavimo nesėkmės arba esminiai buvusios strategijos neatitikimai išorinės aplinkos pokyčiams (Vasiliauskas, 2000).</w:t>
      </w:r>
    </w:p>
    <w:p w:rsidR="00995BE0" w:rsidRPr="00424E7E" w:rsidRDefault="00995BE0" w:rsidP="00BB54E1">
      <w:pPr>
        <w:tabs>
          <w:tab w:val="left" w:pos="720"/>
        </w:tabs>
        <w:spacing w:line="360" w:lineRule="auto"/>
        <w:jc w:val="both"/>
        <w:rPr>
          <w:u w:val="single"/>
        </w:rPr>
      </w:pPr>
      <w:r>
        <w:tab/>
        <w:t xml:space="preserve">A. </w:t>
      </w:r>
      <w:r w:rsidRPr="00424E7E">
        <w:t>Kavaliauskas (2001) i</w:t>
      </w:r>
      <w:r>
        <w:t xml:space="preserve">šskiria tris </w:t>
      </w:r>
      <w:r w:rsidRPr="00623C65">
        <w:t>pagrindines</w:t>
      </w:r>
      <w:r w:rsidRPr="00424E7E">
        <w:t xml:space="preserve"> nustatytinės strategijos teorijos klases, kurios</w:t>
      </w:r>
      <w:r w:rsidRPr="00F53AA8">
        <w:t xml:space="preserve"> buvo išplėtotos visai neseniai įvertinant tai, kad kiekvienoje organizacijoje yra bendros socialinės kultūrinės sistemos elementų. Ši sistema turi įtaką priimti organizacijos sprendimus, o kartu ir jos strategiją.</w:t>
      </w:r>
    </w:p>
    <w:p w:rsidR="00995BE0" w:rsidRDefault="00995BE0" w:rsidP="006D73EE">
      <w:pPr>
        <w:tabs>
          <w:tab w:val="center" w:pos="720"/>
          <w:tab w:val="right" w:pos="9000"/>
        </w:tabs>
        <w:spacing w:line="360" w:lineRule="auto"/>
        <w:ind w:right="-81"/>
        <w:jc w:val="both"/>
      </w:pPr>
      <w:r w:rsidRPr="00F53AA8">
        <w:tab/>
      </w:r>
      <w:r w:rsidRPr="003777C1">
        <w:tab/>
      </w:r>
      <w:bookmarkStart w:id="30" w:name="OLE_LINK6"/>
      <w:bookmarkStart w:id="31" w:name="OLE_LINK7"/>
      <w:r w:rsidRPr="003777C1">
        <w:t>Nustatytinė strateginė valdymo metodologija turi tiek pranašumų</w:t>
      </w:r>
      <w:r w:rsidRPr="00F53AA8">
        <w:t xml:space="preserve">, </w:t>
      </w:r>
      <w:r>
        <w:t>tiek ir trūkumų</w:t>
      </w:r>
      <w:bookmarkEnd w:id="30"/>
      <w:bookmarkEnd w:id="31"/>
      <w:r>
        <w:t>. Svarbiausi išskirti 4 lentelėje</w:t>
      </w:r>
      <w:r w:rsidRPr="00F53AA8">
        <w:t xml:space="preserve">: </w:t>
      </w:r>
    </w:p>
    <w:p w:rsidR="00995BE0" w:rsidRDefault="00995BE0" w:rsidP="008E3EB2">
      <w:pPr>
        <w:tabs>
          <w:tab w:val="center" w:pos="720"/>
          <w:tab w:val="right" w:pos="9000"/>
        </w:tabs>
        <w:spacing w:line="360" w:lineRule="auto"/>
        <w:ind w:right="-81"/>
        <w:jc w:val="right"/>
      </w:pPr>
      <w:r>
        <w:t>4 lentelė</w:t>
      </w:r>
    </w:p>
    <w:p w:rsidR="00995BE0" w:rsidRPr="00BB54E1" w:rsidRDefault="00995BE0" w:rsidP="008E3EB2">
      <w:pPr>
        <w:tabs>
          <w:tab w:val="center" w:pos="720"/>
          <w:tab w:val="right" w:pos="9000"/>
        </w:tabs>
        <w:spacing w:line="360" w:lineRule="auto"/>
        <w:ind w:right="-81"/>
        <w:jc w:val="center"/>
        <w:rPr>
          <w:b/>
          <w:sz w:val="22"/>
          <w:szCs w:val="22"/>
        </w:rPr>
      </w:pPr>
      <w:r w:rsidRPr="00BB54E1">
        <w:rPr>
          <w:b/>
          <w:sz w:val="22"/>
          <w:szCs w:val="22"/>
        </w:rPr>
        <w:t>Nustatytinės strateginės valdymo metodologijos pranašumai ir trūkumai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995BE0" w:rsidTr="006D73EE">
        <w:tc>
          <w:tcPr>
            <w:tcW w:w="4927" w:type="dxa"/>
          </w:tcPr>
          <w:p w:rsidR="00995BE0" w:rsidRPr="00BB54E1" w:rsidRDefault="00995BE0" w:rsidP="00BB54E1">
            <w:pPr>
              <w:tabs>
                <w:tab w:val="center" w:pos="720"/>
                <w:tab w:val="right" w:pos="9000"/>
              </w:tabs>
              <w:spacing w:line="360" w:lineRule="auto"/>
              <w:ind w:right="-81"/>
              <w:jc w:val="center"/>
              <w:rPr>
                <w:sz w:val="20"/>
                <w:szCs w:val="20"/>
              </w:rPr>
            </w:pPr>
            <w:r w:rsidRPr="00BB54E1">
              <w:rPr>
                <w:sz w:val="20"/>
                <w:szCs w:val="20"/>
              </w:rPr>
              <w:t>PRANAŠUMAI</w:t>
            </w:r>
          </w:p>
        </w:tc>
        <w:tc>
          <w:tcPr>
            <w:tcW w:w="4927" w:type="dxa"/>
          </w:tcPr>
          <w:p w:rsidR="00995BE0" w:rsidRPr="00BB54E1" w:rsidRDefault="00995BE0" w:rsidP="00BB54E1">
            <w:pPr>
              <w:tabs>
                <w:tab w:val="center" w:pos="720"/>
                <w:tab w:val="right" w:pos="9000"/>
              </w:tabs>
              <w:spacing w:line="360" w:lineRule="auto"/>
              <w:ind w:right="-81"/>
              <w:jc w:val="center"/>
              <w:rPr>
                <w:sz w:val="20"/>
                <w:szCs w:val="20"/>
              </w:rPr>
            </w:pPr>
            <w:r w:rsidRPr="00BB54E1">
              <w:rPr>
                <w:sz w:val="20"/>
                <w:szCs w:val="20"/>
              </w:rPr>
              <w:t>TRŪKUMAI</w:t>
            </w:r>
          </w:p>
        </w:tc>
      </w:tr>
      <w:tr w:rsidR="00995BE0" w:rsidTr="006D73EE">
        <w:tc>
          <w:tcPr>
            <w:tcW w:w="4927" w:type="dxa"/>
          </w:tcPr>
          <w:p w:rsidR="00995BE0" w:rsidRPr="00BB54E1" w:rsidRDefault="00995BE0" w:rsidP="006D73EE">
            <w:pPr>
              <w:tabs>
                <w:tab w:val="center" w:pos="5204"/>
                <w:tab w:val="right" w:pos="10049"/>
              </w:tabs>
              <w:jc w:val="both"/>
              <w:rPr>
                <w:sz w:val="20"/>
                <w:szCs w:val="20"/>
              </w:rPr>
            </w:pPr>
            <w:r w:rsidRPr="00BB54E1">
              <w:rPr>
                <w:sz w:val="20"/>
                <w:szCs w:val="20"/>
              </w:rPr>
              <w:t>nustatytinė strategija kompleksiškai apima visą organizaciją ir jos svarbiausias problemas.</w:t>
            </w:r>
          </w:p>
          <w:p w:rsidR="00995BE0" w:rsidRPr="00BB54E1" w:rsidRDefault="00995BE0" w:rsidP="006D73EE">
            <w:pPr>
              <w:tabs>
                <w:tab w:val="center" w:pos="720"/>
                <w:tab w:val="right" w:pos="9000"/>
              </w:tabs>
              <w:ind w:right="-81"/>
              <w:jc w:val="both"/>
              <w:rPr>
                <w:sz w:val="20"/>
                <w:szCs w:val="20"/>
              </w:rPr>
            </w:pPr>
          </w:p>
        </w:tc>
        <w:tc>
          <w:tcPr>
            <w:tcW w:w="4927" w:type="dxa"/>
          </w:tcPr>
          <w:p w:rsidR="00995BE0" w:rsidRPr="00BB54E1" w:rsidRDefault="00995BE0" w:rsidP="006D73EE">
            <w:pPr>
              <w:tabs>
                <w:tab w:val="center" w:pos="720"/>
                <w:tab w:val="right" w:pos="9000"/>
              </w:tabs>
              <w:ind w:right="-81"/>
              <w:jc w:val="both"/>
              <w:rPr>
                <w:sz w:val="20"/>
                <w:szCs w:val="20"/>
              </w:rPr>
            </w:pPr>
            <w:r w:rsidRPr="00BB54E1">
              <w:rPr>
                <w:sz w:val="20"/>
                <w:szCs w:val="20"/>
              </w:rPr>
              <w:t>nustatytinė metodologija remiasi prielaida, kad ateitį galima prognozuoti gana tiksliai, tačiau ne</w:t>
            </w:r>
            <w:r>
              <w:rPr>
                <w:sz w:val="20"/>
                <w:szCs w:val="20"/>
              </w:rPr>
              <w:t xml:space="preserve"> </w:t>
            </w:r>
            <w:r w:rsidRPr="00BB54E1">
              <w:rPr>
                <w:sz w:val="20"/>
                <w:szCs w:val="20"/>
              </w:rPr>
              <w:t>viskas praktiškai pasitvirtina.</w:t>
            </w:r>
          </w:p>
        </w:tc>
      </w:tr>
      <w:tr w:rsidR="00995BE0" w:rsidTr="006D73EE">
        <w:tc>
          <w:tcPr>
            <w:tcW w:w="4927" w:type="dxa"/>
          </w:tcPr>
          <w:p w:rsidR="00995BE0" w:rsidRPr="00BB54E1" w:rsidRDefault="00995BE0" w:rsidP="006D73EE">
            <w:pPr>
              <w:tabs>
                <w:tab w:val="center" w:pos="720"/>
                <w:tab w:val="right" w:pos="9000"/>
              </w:tabs>
              <w:ind w:right="-81"/>
              <w:jc w:val="both"/>
              <w:rPr>
                <w:sz w:val="20"/>
                <w:szCs w:val="20"/>
              </w:rPr>
            </w:pPr>
            <w:r w:rsidRPr="00BB54E1">
              <w:rPr>
                <w:sz w:val="20"/>
                <w:szCs w:val="20"/>
              </w:rPr>
              <w:t>nustatytinė metodologija yra logiška ir nuosekli, formali strateginio planavimo sistema tiksliai atspindi strateginių procesų stadijos seką logiškai ir nuosekliai vedančią galutinį rezultatą organizacijos strategijos link.</w:t>
            </w:r>
          </w:p>
        </w:tc>
        <w:tc>
          <w:tcPr>
            <w:tcW w:w="4927" w:type="dxa"/>
          </w:tcPr>
          <w:p w:rsidR="00995BE0" w:rsidRPr="00BB54E1" w:rsidRDefault="00995BE0" w:rsidP="006D73EE">
            <w:pPr>
              <w:tabs>
                <w:tab w:val="center" w:pos="720"/>
                <w:tab w:val="right" w:pos="9000"/>
              </w:tabs>
              <w:ind w:right="-81"/>
              <w:jc w:val="both"/>
              <w:rPr>
                <w:sz w:val="20"/>
                <w:szCs w:val="20"/>
              </w:rPr>
            </w:pPr>
            <w:r w:rsidRPr="00BB54E1">
              <w:rPr>
                <w:sz w:val="20"/>
                <w:szCs w:val="20"/>
              </w:rPr>
              <w:t>kai metodologija suplanuota sunku ją pakeisti, todėl reikia dažnai keisti strategijas.</w:t>
            </w:r>
          </w:p>
        </w:tc>
      </w:tr>
      <w:tr w:rsidR="00995BE0" w:rsidTr="006D73EE">
        <w:tc>
          <w:tcPr>
            <w:tcW w:w="4927" w:type="dxa"/>
          </w:tcPr>
          <w:p w:rsidR="00995BE0" w:rsidRPr="00BB54E1" w:rsidRDefault="00995BE0" w:rsidP="006D73EE">
            <w:pPr>
              <w:tabs>
                <w:tab w:val="center" w:pos="5204"/>
                <w:tab w:val="right" w:pos="10049"/>
              </w:tabs>
              <w:jc w:val="both"/>
              <w:rPr>
                <w:sz w:val="20"/>
                <w:szCs w:val="20"/>
              </w:rPr>
            </w:pPr>
            <w:r w:rsidRPr="00BB54E1">
              <w:rPr>
                <w:sz w:val="20"/>
                <w:szCs w:val="20"/>
              </w:rPr>
              <w:t>organizacija gali kompleksiškai kontroliuoti strategijos įgyvendinimą ir jos atitikimą kintančiai aplinkos situacijai.</w:t>
            </w:r>
          </w:p>
          <w:p w:rsidR="00995BE0" w:rsidRPr="00BB54E1" w:rsidRDefault="00995BE0" w:rsidP="006D73EE">
            <w:pPr>
              <w:tabs>
                <w:tab w:val="center" w:pos="720"/>
                <w:tab w:val="right" w:pos="9000"/>
              </w:tabs>
              <w:ind w:right="-81"/>
              <w:jc w:val="both"/>
              <w:rPr>
                <w:sz w:val="20"/>
                <w:szCs w:val="20"/>
              </w:rPr>
            </w:pPr>
          </w:p>
        </w:tc>
        <w:tc>
          <w:tcPr>
            <w:tcW w:w="4927" w:type="dxa"/>
          </w:tcPr>
          <w:p w:rsidR="00995BE0" w:rsidRPr="00BB54E1" w:rsidRDefault="00995BE0" w:rsidP="006D73EE">
            <w:pPr>
              <w:tabs>
                <w:tab w:val="center" w:pos="720"/>
                <w:tab w:val="right" w:pos="9000"/>
              </w:tabs>
              <w:ind w:right="-81"/>
              <w:jc w:val="both"/>
              <w:rPr>
                <w:sz w:val="20"/>
                <w:szCs w:val="20"/>
              </w:rPr>
            </w:pPr>
            <w:r w:rsidRPr="00BB54E1">
              <w:rPr>
                <w:sz w:val="20"/>
                <w:szCs w:val="20"/>
              </w:rPr>
              <w:t>dėl didelio išorinės aplinkos dinamiškumo dažnai sunku arba apskritai neįmanoma iš anksto tobulai apibrėžti strategijos tikslinę orientaciją ir pasirinkti geriausius optimalius strategijos sprendimus. Yra daroma labai daug klaidų.</w:t>
            </w:r>
          </w:p>
        </w:tc>
      </w:tr>
      <w:tr w:rsidR="00995BE0" w:rsidTr="006D73EE">
        <w:tc>
          <w:tcPr>
            <w:tcW w:w="4927" w:type="dxa"/>
          </w:tcPr>
          <w:p w:rsidR="00995BE0" w:rsidRPr="00BB54E1" w:rsidRDefault="00995BE0" w:rsidP="006D73EE">
            <w:pPr>
              <w:tabs>
                <w:tab w:val="center" w:pos="5204"/>
                <w:tab w:val="right" w:pos="10049"/>
              </w:tabs>
              <w:jc w:val="both"/>
              <w:rPr>
                <w:sz w:val="20"/>
                <w:szCs w:val="20"/>
              </w:rPr>
            </w:pPr>
            <w:r w:rsidRPr="00BB54E1">
              <w:rPr>
                <w:sz w:val="20"/>
                <w:szCs w:val="20"/>
              </w:rPr>
              <w:t>sukauptas didelis patyrimas nustatytinių strategijų rengimo</w:t>
            </w:r>
            <w:r>
              <w:rPr>
                <w:sz w:val="20"/>
                <w:szCs w:val="20"/>
              </w:rPr>
              <w:t xml:space="preserve"> ir įgyvendinimo srityje stambi</w:t>
            </w:r>
            <w:r w:rsidRPr="00BB54E1">
              <w:rPr>
                <w:sz w:val="20"/>
                <w:szCs w:val="20"/>
              </w:rPr>
              <w:t>ose kompanijose.</w:t>
            </w:r>
          </w:p>
          <w:p w:rsidR="00995BE0" w:rsidRPr="00BB54E1" w:rsidRDefault="00995BE0" w:rsidP="006D73EE">
            <w:pPr>
              <w:tabs>
                <w:tab w:val="center" w:pos="720"/>
                <w:tab w:val="right" w:pos="9000"/>
              </w:tabs>
              <w:ind w:right="-81"/>
              <w:jc w:val="both"/>
              <w:rPr>
                <w:sz w:val="20"/>
                <w:szCs w:val="20"/>
              </w:rPr>
            </w:pPr>
          </w:p>
        </w:tc>
        <w:tc>
          <w:tcPr>
            <w:tcW w:w="4927" w:type="dxa"/>
          </w:tcPr>
          <w:p w:rsidR="00995BE0" w:rsidRPr="00BB54E1" w:rsidRDefault="00995BE0" w:rsidP="006D73EE">
            <w:pPr>
              <w:tabs>
                <w:tab w:val="center" w:pos="720"/>
                <w:tab w:val="right" w:pos="9000"/>
              </w:tabs>
              <w:ind w:right="-81"/>
              <w:jc w:val="both"/>
              <w:rPr>
                <w:sz w:val="20"/>
                <w:szCs w:val="20"/>
              </w:rPr>
            </w:pPr>
            <w:r w:rsidRPr="00BB54E1">
              <w:rPr>
                <w:sz w:val="20"/>
                <w:szCs w:val="20"/>
              </w:rPr>
              <w:t>kartais tikslinga atsisakyti ilgalaikių strateginių pranašumų ir gauti didesnę naudą panaudojus trumpalaikes galimybes. Kai kurie strateginio valdymo specialistai nelinkę į ilgalaikes galimybes.</w:t>
            </w:r>
          </w:p>
        </w:tc>
      </w:tr>
    </w:tbl>
    <w:p w:rsidR="00995BE0" w:rsidRDefault="00995BE0" w:rsidP="006D73EE">
      <w:pPr>
        <w:tabs>
          <w:tab w:val="center" w:pos="720"/>
          <w:tab w:val="right" w:pos="9000"/>
        </w:tabs>
        <w:ind w:right="-81"/>
        <w:jc w:val="center"/>
        <w:rPr>
          <w:sz w:val="20"/>
          <w:szCs w:val="20"/>
        </w:rPr>
      </w:pPr>
      <w:r>
        <w:rPr>
          <w:sz w:val="20"/>
          <w:szCs w:val="20"/>
        </w:rPr>
        <w:t>S</w:t>
      </w:r>
      <w:r w:rsidRPr="003777C1">
        <w:rPr>
          <w:sz w:val="20"/>
          <w:szCs w:val="20"/>
        </w:rPr>
        <w:t xml:space="preserve">udaryta autoriaus, remiantis </w:t>
      </w:r>
      <w:r>
        <w:rPr>
          <w:sz w:val="20"/>
          <w:szCs w:val="20"/>
        </w:rPr>
        <w:t>š</w:t>
      </w:r>
      <w:r w:rsidRPr="003777C1">
        <w:rPr>
          <w:sz w:val="20"/>
          <w:szCs w:val="20"/>
        </w:rPr>
        <w:t>altini</w:t>
      </w:r>
      <w:r>
        <w:rPr>
          <w:sz w:val="20"/>
          <w:szCs w:val="20"/>
        </w:rPr>
        <w:t>ai</w:t>
      </w:r>
      <w:r w:rsidRPr="003777C1">
        <w:rPr>
          <w:sz w:val="20"/>
          <w:szCs w:val="20"/>
        </w:rPr>
        <w:t>s:</w:t>
      </w:r>
      <w:r>
        <w:rPr>
          <w:sz w:val="20"/>
          <w:szCs w:val="20"/>
        </w:rPr>
        <w:t xml:space="preserve"> </w:t>
      </w:r>
      <w:r w:rsidRPr="003777C1">
        <w:rPr>
          <w:sz w:val="20"/>
          <w:szCs w:val="20"/>
        </w:rPr>
        <w:t xml:space="preserve">Vasiliauskas, A. (2002). </w:t>
      </w:r>
      <w:r w:rsidRPr="003777C1">
        <w:rPr>
          <w:i/>
          <w:iCs/>
          <w:sz w:val="20"/>
          <w:szCs w:val="20"/>
        </w:rPr>
        <w:t xml:space="preserve">Strateginis valdymas. </w:t>
      </w:r>
      <w:r>
        <w:rPr>
          <w:sz w:val="20"/>
          <w:szCs w:val="20"/>
        </w:rPr>
        <w:t>Vilnius; Arimavičiūtė</w:t>
      </w:r>
      <w:r w:rsidRPr="003777C1">
        <w:rPr>
          <w:sz w:val="20"/>
          <w:szCs w:val="20"/>
        </w:rPr>
        <w:t xml:space="preserve">, M. (2005). </w:t>
      </w:r>
      <w:r w:rsidRPr="003777C1">
        <w:rPr>
          <w:i/>
          <w:iCs/>
          <w:sz w:val="20"/>
          <w:szCs w:val="20"/>
        </w:rPr>
        <w:t>Viešojo sektoriaus institucijų strateginis valdymas</w:t>
      </w:r>
      <w:r w:rsidRPr="003777C1">
        <w:rPr>
          <w:sz w:val="20"/>
          <w:szCs w:val="20"/>
        </w:rPr>
        <w:t>. Vilnius</w:t>
      </w:r>
    </w:p>
    <w:p w:rsidR="00995BE0" w:rsidRPr="003777C1" w:rsidRDefault="00995BE0" w:rsidP="006D73EE">
      <w:pPr>
        <w:tabs>
          <w:tab w:val="right" w:pos="540"/>
          <w:tab w:val="center" w:pos="720"/>
          <w:tab w:val="right" w:pos="10049"/>
        </w:tabs>
        <w:spacing w:line="360" w:lineRule="auto"/>
        <w:jc w:val="both"/>
        <w:rPr>
          <w:u w:val="single"/>
        </w:rPr>
      </w:pPr>
    </w:p>
    <w:p w:rsidR="00995BE0" w:rsidRPr="00F53AA8" w:rsidRDefault="00995BE0" w:rsidP="006D73EE">
      <w:pPr>
        <w:pStyle w:val="Pagrindinistekstas"/>
        <w:spacing w:after="0" w:line="360" w:lineRule="auto"/>
        <w:ind w:firstLine="540"/>
        <w:jc w:val="both"/>
        <w:rPr>
          <w:bCs/>
          <w:lang w:val="lt-LT"/>
        </w:rPr>
      </w:pPr>
      <w:r w:rsidRPr="00F53AA8">
        <w:rPr>
          <w:bCs/>
          <w:lang w:val="lt-LT"/>
        </w:rPr>
        <w:t>Nustatytinės strateginio planavimo metodologijai būdingas pakankamas ateities numatymas, sisteminis kompleksiškumas, apibrėžtumas (iki determinuoto), didelės formalizavimo galimybės, vienpusis strateginių sprendimų ir organizacinės struktūros, valdymo bei veiklos stiliaus it kt. suderi</w:t>
      </w:r>
      <w:r>
        <w:rPr>
          <w:bCs/>
          <w:lang w:val="lt-LT"/>
        </w:rPr>
        <w:t>n</w:t>
      </w:r>
      <w:r w:rsidRPr="00F53AA8">
        <w:rPr>
          <w:bCs/>
          <w:lang w:val="lt-LT"/>
        </w:rPr>
        <w:t>amumas, menkas iniciatyvos skatinimas, strateginio planavimo žingsnių sekos nuoseklumas. Nustatytinės metodologijos taikymas yra palankus rengti strateginius sprendimus, orientuotus didinti organizacijos strateginio atitikimo jos aplinkos reikalavimams galimybes.</w:t>
      </w:r>
    </w:p>
    <w:p w:rsidR="00995BE0" w:rsidRDefault="00995BE0" w:rsidP="006D73EE">
      <w:pPr>
        <w:spacing w:line="360" w:lineRule="auto"/>
        <w:ind w:firstLine="540"/>
        <w:jc w:val="both"/>
        <w:rPr>
          <w:spacing w:val="-6"/>
        </w:rPr>
      </w:pPr>
      <w:r w:rsidRPr="007C0856">
        <w:t>Viešojo sektoriaus institucijos nustatytinis strateginis planavimas vienareikšmiškai rodo logišką ir nuoseklią stra</w:t>
      </w:r>
      <w:r w:rsidRPr="007C0856">
        <w:softHyphen/>
      </w:r>
      <w:r w:rsidRPr="007C0856">
        <w:rPr>
          <w:spacing w:val="-2"/>
        </w:rPr>
        <w:t xml:space="preserve">teginės analizės bei vertinimo, perspektyvinės tikslinės </w:t>
      </w:r>
      <w:r w:rsidRPr="007C0856">
        <w:t xml:space="preserve">orientacijos formavimo, strateginių sprendimų rengimo bei </w:t>
      </w:r>
      <w:r w:rsidRPr="007C0856">
        <w:rPr>
          <w:spacing w:val="-6"/>
        </w:rPr>
        <w:t xml:space="preserve">priėmimo seką galutinio rezultato – strateginių sprendimų </w:t>
      </w:r>
      <w:r>
        <w:rPr>
          <w:spacing w:val="-6"/>
        </w:rPr>
        <w:t xml:space="preserve">- </w:t>
      </w:r>
      <w:r w:rsidRPr="007C0856">
        <w:t>link. Nenutrūkstamas planavimas įgyvendinamas dėl po</w:t>
      </w:r>
      <w:r w:rsidRPr="007C0856">
        <w:softHyphen/>
        <w:t xml:space="preserve">reikio rengti bei priimti naujus sprendimus, įgyvendinus </w:t>
      </w:r>
      <w:r w:rsidRPr="007C0856">
        <w:rPr>
          <w:spacing w:val="-6"/>
        </w:rPr>
        <w:t>ankstesniuosius</w:t>
      </w:r>
      <w:r>
        <w:rPr>
          <w:spacing w:val="-6"/>
        </w:rPr>
        <w:t xml:space="preserve"> (Bivainis, Tunčikienė, </w:t>
      </w:r>
      <w:r w:rsidRPr="007C0856">
        <w:rPr>
          <w:spacing w:val="-6"/>
        </w:rPr>
        <w:t>200</w:t>
      </w:r>
      <w:r>
        <w:rPr>
          <w:spacing w:val="-6"/>
        </w:rPr>
        <w:t>9)</w:t>
      </w:r>
      <w:r w:rsidRPr="007C0856">
        <w:rPr>
          <w:spacing w:val="-6"/>
        </w:rPr>
        <w:t>.</w:t>
      </w:r>
    </w:p>
    <w:p w:rsidR="00995BE0" w:rsidRDefault="00995BE0" w:rsidP="006D73EE">
      <w:pPr>
        <w:rPr>
          <w:lang w:val="pl-PL"/>
        </w:rPr>
      </w:pPr>
    </w:p>
    <w:p w:rsidR="00995BE0" w:rsidRPr="008E2DB4" w:rsidRDefault="00995BE0" w:rsidP="0038297E">
      <w:pPr>
        <w:pStyle w:val="Antrat2"/>
        <w:rPr>
          <w:sz w:val="24"/>
          <w:szCs w:val="24"/>
          <w:lang w:val="pl-PL"/>
        </w:rPr>
      </w:pPr>
      <w:bookmarkStart w:id="32" w:name="_Toc293248620"/>
      <w:r w:rsidRPr="008E2DB4">
        <w:rPr>
          <w:sz w:val="24"/>
          <w:szCs w:val="24"/>
          <w:lang w:val="pl-PL"/>
        </w:rPr>
        <w:lastRenderedPageBreak/>
        <w:t>1.2 LIETUVOS  SVEIKATOS POLITIKA IR STRATEGINIO VALDYMO TAIKYMAS LIETUVOS SVEIKATOS APSAUGOS SISTEMOJE</w:t>
      </w:r>
      <w:bookmarkEnd w:id="32"/>
    </w:p>
    <w:p w:rsidR="00995BE0" w:rsidRPr="00E356C2" w:rsidRDefault="00995BE0" w:rsidP="00E356C2">
      <w:pPr>
        <w:rPr>
          <w:lang w:eastAsia="ar-SA"/>
        </w:rPr>
      </w:pPr>
    </w:p>
    <w:p w:rsidR="00995BE0" w:rsidRPr="00AC0A2F" w:rsidRDefault="00995BE0" w:rsidP="00AC2D1C">
      <w:pPr>
        <w:pStyle w:val="Antrat3"/>
      </w:pPr>
      <w:bookmarkStart w:id="33" w:name="_Toc293248621"/>
      <w:r>
        <w:t>1.2.</w:t>
      </w:r>
      <w:r w:rsidRPr="001C7068">
        <w:t>1</w:t>
      </w:r>
      <w:r w:rsidRPr="00AC0A2F">
        <w:t xml:space="preserve">  Lietuvos sveikatos politiko</w:t>
      </w:r>
      <w:r>
        <w:t>s pokyčių analizė</w:t>
      </w:r>
      <w:bookmarkEnd w:id="33"/>
    </w:p>
    <w:p w:rsidR="00995BE0" w:rsidRDefault="00995BE0" w:rsidP="00201FEA">
      <w:pPr>
        <w:autoSpaceDE w:val="0"/>
        <w:autoSpaceDN w:val="0"/>
        <w:adjustRightInd w:val="0"/>
        <w:spacing w:line="360" w:lineRule="auto"/>
        <w:ind w:firstLine="567"/>
        <w:jc w:val="both"/>
      </w:pPr>
      <w:r>
        <w:t>Pati sąvoka „sveikatos politika“ nėra plačiai Lietuvoje paplitusi, o mūsų nacionalinėje kultūroje žodis „politika“ dažnai siejamas su politiniais šalies vyksmais. Be jokios abejonės, sveikatos politikoje negali neatsispindėti besiklostanti politinė sankloda, ypač kai rinkėjų valia vyksta ryškūs pokyčiai į vieną ar kitą politinio spektro pusę (Grabauskas ir kt., 2004).</w:t>
      </w:r>
    </w:p>
    <w:p w:rsidR="00995BE0" w:rsidRDefault="00995BE0" w:rsidP="00201FEA">
      <w:pPr>
        <w:autoSpaceDE w:val="0"/>
        <w:autoSpaceDN w:val="0"/>
        <w:adjustRightInd w:val="0"/>
        <w:spacing w:line="360" w:lineRule="auto"/>
        <w:ind w:firstLine="567"/>
        <w:jc w:val="both"/>
      </w:pPr>
      <w:r>
        <w:t>Per pastaruosius du dešimtmečius sveikatos politika pasaulyje ir Europoje susidūrė su didele paslaugų kainų kilimo problema. Išlaidų sveikatos apsaugai didėjimą lėmė gyventojų senėjimas, gausėjančios lėtinės ligos ir invalidumas, taip pat gerėjančios medicinos technologijos ir nauji ligų gydymo metodai bei vis didėjantys visuomenės reikalavimai sveikatos priežiūros kokybei. Daugelis šalių ėmėsi kontroliuoti sveikatos apsaugos paslaugų išlaidų didėjimą (</w:t>
      </w:r>
      <w:r w:rsidRPr="001222BB">
        <w:t>Jankauskienė, Pečiūra, 2007</w:t>
      </w:r>
      <w:r>
        <w:t>).</w:t>
      </w:r>
    </w:p>
    <w:p w:rsidR="00995BE0" w:rsidRDefault="00995BE0" w:rsidP="00D41C81">
      <w:pPr>
        <w:autoSpaceDE w:val="0"/>
        <w:autoSpaceDN w:val="0"/>
        <w:adjustRightInd w:val="0"/>
        <w:spacing w:line="360" w:lineRule="auto"/>
        <w:ind w:firstLine="540"/>
        <w:jc w:val="both"/>
        <w:rPr>
          <w:b/>
          <w:bCs/>
        </w:rPr>
      </w:pPr>
      <w:r>
        <w:t>1991 m. Lietuvoje</w:t>
      </w:r>
      <w:r w:rsidRPr="00201FEA">
        <w:t xml:space="preserve"> atkūrus nepriklausomybę, Lietuvos politikos kūrėjai sutelkė </w:t>
      </w:r>
      <w:r>
        <w:t xml:space="preserve">dėmesį </w:t>
      </w:r>
      <w:r w:rsidRPr="00201FEA">
        <w:t>į struktūrinius ir institucinius pokyčius, rinkos mechanizmus ir sveikatos draudimo sistemos kūrimą, pirminės sveikatos priežiūros reformas bei naują požiūrį į visuomenės sveikatą. Žinoma</w:t>
      </w:r>
      <w:r>
        <w:t>,</w:t>
      </w:r>
      <w:r w:rsidRPr="00201FEA">
        <w:t xml:space="preserve"> minėtieji bandymai turėjo ir trūkumų, kurių didžiąją dalį lėmė pirmaisiais reformų metais įvykęs ekonominių sunkumų sąlygotas žymus valstybės pajamų sumažėjimas (politikos analize). Glausta</w:t>
      </w:r>
      <w:r>
        <w:t xml:space="preserve"> sveikatos politikos raida išdėstyta </w:t>
      </w:r>
      <w:r w:rsidRPr="00701609">
        <w:t>8 priede</w:t>
      </w:r>
      <w:r>
        <w:t xml:space="preserve">. </w:t>
      </w:r>
      <w:r w:rsidRPr="006072EA">
        <w:rPr>
          <w:rFonts w:eastAsia="AGaramondPro-Regular"/>
        </w:rPr>
        <w:t>Lietuvos sveikatos priežiūros reformos pradžia galime laikyti 1991 m. Lietuvos Aukščiausiojoje Taryboje (Atkuriamajame Seime) priimtą Lietuvos nacionalinę sveikatos koncepciją (</w:t>
      </w:r>
      <w:r>
        <w:rPr>
          <w:rFonts w:eastAsia="AGaramondPro-Regular"/>
        </w:rPr>
        <w:t>Grabauskas,</w:t>
      </w:r>
      <w:r w:rsidRPr="00902715">
        <w:rPr>
          <w:rFonts w:eastAsia="AGaramondPro-Regular"/>
        </w:rPr>
        <w:t xml:space="preserve"> </w:t>
      </w:r>
      <w:r w:rsidRPr="00052A9D">
        <w:rPr>
          <w:rFonts w:eastAsia="AGaramondPro-Regular"/>
        </w:rPr>
        <w:t>1997</w:t>
      </w:r>
      <w:r w:rsidRPr="006072EA">
        <w:rPr>
          <w:rFonts w:eastAsia="AGaramondPro-Regular"/>
        </w:rPr>
        <w:t xml:space="preserve">). </w:t>
      </w:r>
      <w:r w:rsidRPr="009A3D51">
        <w:rPr>
          <w:bCs/>
        </w:rPr>
        <w:t>Visa ši teisinė reglamentacija bei vykusios diskusijos, konferencijos</w:t>
      </w:r>
      <w:r>
        <w:rPr>
          <w:b/>
          <w:bCs/>
        </w:rPr>
        <w:t xml:space="preserve"> </w:t>
      </w:r>
      <w:r w:rsidRPr="00DB49E2">
        <w:rPr>
          <w:color w:val="000000"/>
        </w:rPr>
        <w:t>sudarė tvirtą teisinį pagrindą reformoms įgyvendinti. Prasidėjo minėtųjų</w:t>
      </w:r>
      <w:r>
        <w:rPr>
          <w:color w:val="000000"/>
        </w:rPr>
        <w:t xml:space="preserve"> </w:t>
      </w:r>
      <w:r w:rsidRPr="00DB49E2">
        <w:rPr>
          <w:color w:val="000000"/>
        </w:rPr>
        <w:t>įstatymų</w:t>
      </w:r>
      <w:r>
        <w:rPr>
          <w:color w:val="000000"/>
        </w:rPr>
        <w:t xml:space="preserve"> </w:t>
      </w:r>
      <w:r w:rsidRPr="00DB49E2">
        <w:rPr>
          <w:color w:val="000000"/>
        </w:rPr>
        <w:t>įgyvendinimas nacionaliniu lygmeniu. Sveikatos priežiūros paslaugų teikėjų veiklos finansavimas buvo susietas su jų teikiamomis paslaugomis, o valstybinėms sveikatos priežiūros</w:t>
      </w:r>
      <w:r>
        <w:rPr>
          <w:color w:val="000000"/>
        </w:rPr>
        <w:t xml:space="preserve"> </w:t>
      </w:r>
      <w:r w:rsidRPr="00DB49E2">
        <w:rPr>
          <w:color w:val="000000"/>
        </w:rPr>
        <w:t>įstaigoms buvo suteikta daugiau veiklos laisvės ir atsakomybės.</w:t>
      </w:r>
    </w:p>
    <w:p w:rsidR="00995BE0" w:rsidRDefault="00995BE0" w:rsidP="00201FEA">
      <w:pPr>
        <w:autoSpaceDE w:val="0"/>
        <w:autoSpaceDN w:val="0"/>
        <w:adjustRightInd w:val="0"/>
        <w:spacing w:line="360" w:lineRule="auto"/>
        <w:ind w:firstLine="567"/>
        <w:jc w:val="both"/>
      </w:pPr>
      <w:r>
        <w:t>Strateginis šiuolaikinės sveikatos priežiūros tikslas – aktyvinti individų, grupių bei organizacijų dalyvavimą diegiant įvairias sveikatos gerinimo programas, skatinant sveikatos paslaugų teikėjų ir vartotojų dialogą, ugdant pacientų atsakomybę už savo sveikatą.</w:t>
      </w:r>
    </w:p>
    <w:p w:rsidR="00995BE0" w:rsidRPr="001D71BB" w:rsidRDefault="00995BE0" w:rsidP="00201FEA">
      <w:pPr>
        <w:autoSpaceDE w:val="0"/>
        <w:autoSpaceDN w:val="0"/>
        <w:adjustRightInd w:val="0"/>
        <w:spacing w:line="360" w:lineRule="auto"/>
        <w:ind w:firstLine="567"/>
        <w:jc w:val="both"/>
      </w:pPr>
      <w:r w:rsidRPr="001D71BB">
        <w:t xml:space="preserve">Lietuva 1992 metais įstojo į Pasaulio sveikatos organizaciją (PSO). Ši organizacija šalyse narėse įgyvendina ir koordinuoja sveikatos politiką ir jos stiprinimo strategiją. Dar 1948 m. PSO ekspertai pasiūlė plataus turinio sveikatos sampratą kaip visiškos fizinės, psichinės ir socialinės gerovės būseną, o ne tik ligos ar neįgalumo nebuvimą. Ši samprata leidžia biologinius, psichologinius ir socialinius veiksnius vertinti kaip kontinuumą nuo visiškos sveikatos (pilnatvės, kokybiško gyvenimo) iki sunkios ligos. Tai implikuoja įvairių visuomenės institucijų, specialistų </w:t>
      </w:r>
      <w:r w:rsidRPr="001D71BB">
        <w:lastRenderedPageBreak/>
        <w:t>suderintą bendradarbiavimą, siekiant palaikyti ir stiprinti asmens ir visuomenės sveikatą (Gustainienė, 2003).</w:t>
      </w:r>
      <w:r>
        <w:t xml:space="preserve"> Kadangi Lietuvoje </w:t>
      </w:r>
      <w:r w:rsidRPr="006072EA">
        <w:t>sovietmečiu vyravo biomedicininė sveikatos samprata</w:t>
      </w:r>
      <w:r>
        <w:t>,</w:t>
      </w:r>
      <w:r w:rsidRPr="000A102C">
        <w:t xml:space="preserve"> </w:t>
      </w:r>
      <w:r w:rsidRPr="006072EA">
        <w:t>didžiausias dėmesys buvo skiriamas fizinės sveikatos saugojimui ir stiprinimui</w:t>
      </w:r>
      <w:r>
        <w:t xml:space="preserve">, </w:t>
      </w:r>
      <w:r w:rsidRPr="006072EA">
        <w:t>sveikatos priežiūros sistema neišvengiamai turėjo būti reformuojama</w:t>
      </w:r>
      <w:r>
        <w:t>.</w:t>
      </w:r>
    </w:p>
    <w:p w:rsidR="00995BE0" w:rsidRPr="001D71BB" w:rsidRDefault="00995BE0" w:rsidP="00201FEA">
      <w:pPr>
        <w:autoSpaceDE w:val="0"/>
        <w:autoSpaceDN w:val="0"/>
        <w:adjustRightInd w:val="0"/>
        <w:spacing w:line="360" w:lineRule="auto"/>
        <w:ind w:firstLine="567"/>
        <w:jc w:val="both"/>
      </w:pPr>
      <w:r w:rsidRPr="001D71BB">
        <w:t xml:space="preserve">Lietuvos sveikatos apsaugos reforma planuota vadovaujantis PSO Liublianos </w:t>
      </w:r>
      <w:r>
        <w:t>chartijos principais</w:t>
      </w:r>
      <w:r w:rsidRPr="001D71BB">
        <w:t>. Pagrindinės reformų idėjos Lietuvoje (</w:t>
      </w:r>
      <w:r>
        <w:t>P</w:t>
      </w:r>
      <w:r w:rsidRPr="001D71BB">
        <w:t>irmasis reformų dešimtmetis, 2000):</w:t>
      </w:r>
    </w:p>
    <w:p w:rsidR="00995BE0" w:rsidRPr="001D71BB" w:rsidRDefault="00995BE0" w:rsidP="00201FEA">
      <w:pPr>
        <w:numPr>
          <w:ilvl w:val="0"/>
          <w:numId w:val="3"/>
        </w:numPr>
        <w:autoSpaceDE w:val="0"/>
        <w:autoSpaceDN w:val="0"/>
        <w:adjustRightInd w:val="0"/>
        <w:spacing w:line="360" w:lineRule="auto"/>
        <w:jc w:val="both"/>
      </w:pPr>
      <w:r w:rsidRPr="001D71BB">
        <w:t>Atsisakyti sovietinio organizavimo  būdo (Semaškos modelio), nuo visiems gerai matomų jos ydų;</w:t>
      </w:r>
    </w:p>
    <w:p w:rsidR="00995BE0" w:rsidRPr="001D71BB" w:rsidRDefault="00995BE0" w:rsidP="00201FEA">
      <w:pPr>
        <w:numPr>
          <w:ilvl w:val="0"/>
          <w:numId w:val="3"/>
        </w:numPr>
        <w:autoSpaceDE w:val="0"/>
        <w:autoSpaceDN w:val="0"/>
        <w:adjustRightInd w:val="0"/>
        <w:spacing w:line="360" w:lineRule="auto"/>
        <w:jc w:val="both"/>
      </w:pPr>
      <w:r w:rsidRPr="001D71BB">
        <w:t>Atkurti tai kas buvo iki sovietinės okupacijos (ligonių kasų sistema, organizuoti privalomąjį sveikatos draudimą pagal Bismarko modelį);</w:t>
      </w:r>
    </w:p>
    <w:p w:rsidR="00995BE0" w:rsidRDefault="00995BE0" w:rsidP="00201FEA">
      <w:pPr>
        <w:numPr>
          <w:ilvl w:val="0"/>
          <w:numId w:val="3"/>
        </w:numPr>
        <w:autoSpaceDE w:val="0"/>
        <w:autoSpaceDN w:val="0"/>
        <w:adjustRightInd w:val="0"/>
        <w:spacing w:line="360" w:lineRule="auto"/>
        <w:jc w:val="both"/>
      </w:pPr>
      <w:r w:rsidRPr="001D71BB">
        <w:t>Priartėti prie Vakarų šalių visuomenės organizavimo modelių, įdiegiant pradžioje platesnį visuomenės sveikatos suvokimą, o vėliau ir konkrečias paslaugų apmokėjimo sistemas.</w:t>
      </w:r>
    </w:p>
    <w:p w:rsidR="00995BE0" w:rsidRDefault="00995BE0" w:rsidP="00201FEA">
      <w:pPr>
        <w:autoSpaceDE w:val="0"/>
        <w:autoSpaceDN w:val="0"/>
        <w:adjustRightInd w:val="0"/>
        <w:spacing w:line="360" w:lineRule="auto"/>
        <w:ind w:firstLine="540"/>
        <w:jc w:val="both"/>
      </w:pPr>
      <w:r w:rsidRPr="0074346F">
        <w:t xml:space="preserve">Lietuvoje jau </w:t>
      </w:r>
      <w:r>
        <w:t xml:space="preserve">trečiąjį </w:t>
      </w:r>
      <w:r w:rsidRPr="0074346F">
        <w:t>dešimtmetį vykstanti sveikatos</w:t>
      </w:r>
      <w:r>
        <w:t xml:space="preserve"> </w:t>
      </w:r>
      <w:r w:rsidRPr="0074346F">
        <w:t>sistemos reforma tapo nemažu išbandymu ir</w:t>
      </w:r>
      <w:r>
        <w:t xml:space="preserve"> </w:t>
      </w:r>
      <w:r w:rsidRPr="0074346F">
        <w:t>sveikatos politikams, ir sveikatos profesionalams, taip</w:t>
      </w:r>
      <w:r>
        <w:t xml:space="preserve"> </w:t>
      </w:r>
      <w:r w:rsidRPr="0074346F">
        <w:t>pat ir pacientams.</w:t>
      </w:r>
    </w:p>
    <w:p w:rsidR="00995BE0" w:rsidRPr="0074346F" w:rsidRDefault="00995BE0" w:rsidP="00201FEA">
      <w:pPr>
        <w:autoSpaceDE w:val="0"/>
        <w:autoSpaceDN w:val="0"/>
        <w:adjustRightInd w:val="0"/>
        <w:spacing w:line="360" w:lineRule="auto"/>
        <w:ind w:firstLine="540"/>
        <w:jc w:val="both"/>
      </w:pPr>
      <w:r w:rsidRPr="0074346F">
        <w:t>Pagrindinis sveikatos sistemos reformos</w:t>
      </w:r>
      <w:r>
        <w:t xml:space="preserve"> </w:t>
      </w:r>
      <w:r w:rsidRPr="0074346F">
        <w:t>tikslas – gerinti gyventojų sveikatą. Šį tikslą</w:t>
      </w:r>
      <w:r>
        <w:t xml:space="preserve"> </w:t>
      </w:r>
      <w:r w:rsidRPr="0074346F">
        <w:t>pasiekti galima didinant sveikatos sistemos efektyvumą,</w:t>
      </w:r>
      <w:r>
        <w:t xml:space="preserve"> </w:t>
      </w:r>
      <w:r w:rsidRPr="0074346F">
        <w:t>užtikrinant sveikatos paslaugų kokybę, tenkinant</w:t>
      </w:r>
      <w:r>
        <w:t xml:space="preserve"> </w:t>
      </w:r>
      <w:r w:rsidRPr="0074346F">
        <w:t>pacientų poreikius, teisingai paskirstant išteklius</w:t>
      </w:r>
      <w:r>
        <w:t xml:space="preserve"> </w:t>
      </w:r>
      <w:r w:rsidRPr="0074346F">
        <w:t>bei garantuojant sveikatos santykių teisumą ir lygybę</w:t>
      </w:r>
      <w:r>
        <w:t xml:space="preserve"> (Kalėdienė, </w:t>
      </w:r>
      <w:r w:rsidRPr="0074346F">
        <w:t>2004</w:t>
      </w:r>
      <w:r>
        <w:t>)</w:t>
      </w:r>
      <w:r w:rsidRPr="0074346F">
        <w:t>.</w:t>
      </w:r>
    </w:p>
    <w:p w:rsidR="00995BE0" w:rsidRPr="001D71BB" w:rsidRDefault="00995BE0" w:rsidP="00201FEA">
      <w:pPr>
        <w:autoSpaceDE w:val="0"/>
        <w:autoSpaceDN w:val="0"/>
        <w:adjustRightInd w:val="0"/>
        <w:spacing w:line="360" w:lineRule="auto"/>
        <w:ind w:firstLine="540"/>
        <w:jc w:val="both"/>
        <w:rPr>
          <w:rFonts w:ascii="MyriadPro-Regular" w:hAnsi="MyriadPro-Regular" w:cs="MyriadPro-Regular"/>
        </w:rPr>
      </w:pPr>
      <w:r>
        <w:rPr>
          <w:sz w:val="23"/>
          <w:szCs w:val="23"/>
        </w:rPr>
        <w:t xml:space="preserve">Pirminė sveikatos priežiūra – tai valstybės sveikatos priežiūros sistemos pagrindas ir bendros socialinės bei ekonominės raidos dalis. Šioje grandyje vyksta pirminis individų, šeimų ir bendruomenės kontaktas su nacionaline sveikatos sistema, priartinant sveikatos priežiūrą prie žmonių gyvenimo ir darbo vietų, pirmasis nenutrūkstamo sveikatos priežiūros proceso elementas. Pirminė sveikatos priežiūra sprendžia pagrindines bendruomenės sveikatos problemas, teikdama vidaus ligų profilaktikos, gydymo, sveikatos išsaugojimo bei reabilitacijos paslaugas. Tai grandis, kuri organizuoja ir koordinuoja paciento sveikatos priežiūrą, reguliuoja aukštesnio lygio sveikatos paslaugų prieinamumą bei tikslingumą, orientuota į pacientą, jo sveikatos išsaugojimą, o ne ligų gydymą (Sveikata visiems XXI a., </w:t>
      </w:r>
      <w:r w:rsidRPr="001B203F">
        <w:rPr>
          <w:sz w:val="23"/>
          <w:szCs w:val="23"/>
        </w:rPr>
        <w:t>19</w:t>
      </w:r>
      <w:r>
        <w:rPr>
          <w:sz w:val="23"/>
          <w:szCs w:val="23"/>
        </w:rPr>
        <w:t xml:space="preserve">98; </w:t>
      </w:r>
      <w:r w:rsidRPr="001305EA">
        <w:rPr>
          <w:color w:val="000000"/>
          <w:sz w:val="23"/>
          <w:szCs w:val="23"/>
        </w:rPr>
        <w:t xml:space="preserve">MacDonald </w:t>
      </w:r>
      <w:r>
        <w:rPr>
          <w:color w:val="000000"/>
          <w:sz w:val="23"/>
          <w:szCs w:val="23"/>
        </w:rPr>
        <w:t xml:space="preserve">ir kt., </w:t>
      </w:r>
      <w:r w:rsidRPr="001305EA">
        <w:rPr>
          <w:color w:val="000000"/>
          <w:sz w:val="23"/>
          <w:szCs w:val="23"/>
        </w:rPr>
        <w:t>2001</w:t>
      </w:r>
      <w:r>
        <w:rPr>
          <w:sz w:val="23"/>
          <w:szCs w:val="23"/>
        </w:rPr>
        <w:t xml:space="preserve">). </w:t>
      </w:r>
      <w:r w:rsidRPr="001D71BB">
        <w:t>JAV atliktų tyrimų duomenimis, investicija į efektyvias elgsenos keitimo intervencijas per 2–5 metus at</w:t>
      </w:r>
      <w:r>
        <w:t>siperka 3–6 kartus (Jordan ir kt., 2008</w:t>
      </w:r>
      <w:r w:rsidRPr="00F23487">
        <w:t>).</w:t>
      </w:r>
      <w:r w:rsidRPr="00C932E9">
        <w:t xml:space="preserve"> </w:t>
      </w:r>
      <w:r w:rsidRPr="001D71BB">
        <w:t>PSO duomenimis, apie 80 proc. kardiovaskulinių susirgimų, 90 proc. tipo diabeto ir 30 proc. onkologinių susirgimų gali būti išvengta, jei visuomenė laikytųsi taisyklingos mitybos principų, būtų fiziškai aktyvi ir nerūkytų (</w:t>
      </w:r>
      <w:r w:rsidRPr="00701609">
        <w:t>Primary Health Care – Now more than ever, 2008</w:t>
      </w:r>
      <w:r w:rsidRPr="001D71BB">
        <w:rPr>
          <w:rFonts w:ascii="MyriadPro-Regular" w:hAnsi="MyriadPro-Regular" w:cs="MyriadPro-Regular"/>
        </w:rPr>
        <w:t>).</w:t>
      </w:r>
    </w:p>
    <w:p w:rsidR="00995BE0" w:rsidRDefault="00995BE0" w:rsidP="00201FEA">
      <w:pPr>
        <w:spacing w:line="360" w:lineRule="auto"/>
        <w:ind w:firstLine="540"/>
        <w:jc w:val="both"/>
      </w:pPr>
      <w:r w:rsidRPr="0074346F">
        <w:t xml:space="preserve">Gerai funkcionuojanti pirminė sveikatos priežiūra gali būti traktuojama kaip priemonė, padedanti užtikrinti šalyje sveikatos paslaugų teikimą bei leidžianti racionaliai naudoti ribotas lėšas, skiriamas sveikatos priežiūrai. Efektyvi pirminė sveikatos priežiūra gali padėti išspręsti 80 proc. </w:t>
      </w:r>
      <w:r w:rsidRPr="0074346F">
        <w:lastRenderedPageBreak/>
        <w:t>visų šalies sveikatos problemų, antrinė sveikatos priežiūra 15 proc. tretinė 5 proc.</w:t>
      </w:r>
      <w:r>
        <w:t xml:space="preserve"> (Valius, Jurgutis, 2003).</w:t>
      </w:r>
    </w:p>
    <w:p w:rsidR="00995BE0" w:rsidRDefault="00995BE0" w:rsidP="00201FEA">
      <w:pPr>
        <w:autoSpaceDE w:val="0"/>
        <w:autoSpaceDN w:val="0"/>
        <w:adjustRightInd w:val="0"/>
        <w:spacing w:line="360" w:lineRule="auto"/>
        <w:ind w:firstLine="540"/>
        <w:jc w:val="both"/>
        <w:rPr>
          <w:bCs/>
        </w:rPr>
      </w:pPr>
      <w:r w:rsidRPr="006E16C1">
        <w:t>Kiekviena šalis siekia sukurti tokią nacionalinę sveikatos apsaugos sistemą, kuri geriausiai atitiktų lygybės ir prieinamumo visiems reikalavimus ir padėtų racionaliau naudojant išteklius gerinti visuomenės sveikatą. Šalys, kuriose tinkamas dėmesys buvo skiriamas į bendruomenę orientuotai ir šeimos medicina pagrįstai pirminei sveikatos priežiūrai, dabar jau džiaugiasi pagerėjusiais visuomenės sveikatos rezultatais, nulemtais efektyvesnės sveikatos apsaugos sistemos</w:t>
      </w:r>
      <w:r>
        <w:rPr>
          <w:rFonts w:ascii="MyriadPro-Regular" w:hAnsi="MyriadPro-Regular" w:cs="MyriadPro-Regular"/>
        </w:rPr>
        <w:t xml:space="preserve"> (</w:t>
      </w:r>
      <w:r w:rsidRPr="001D71BB">
        <w:t xml:space="preserve">Primary Health Care </w:t>
      </w:r>
      <w:r>
        <w:t>in the Northern Dimension Countries</w:t>
      </w:r>
      <w:r>
        <w:rPr>
          <w:bCs/>
        </w:rPr>
        <w:t xml:space="preserve">, </w:t>
      </w:r>
      <w:r w:rsidRPr="00017001">
        <w:rPr>
          <w:bCs/>
        </w:rPr>
        <w:t>2008)</w:t>
      </w:r>
      <w:r>
        <w:rPr>
          <w:bCs/>
        </w:rPr>
        <w:t>.</w:t>
      </w:r>
    </w:p>
    <w:p w:rsidR="00995BE0" w:rsidRPr="006072EA" w:rsidRDefault="00995BE0" w:rsidP="00201FEA">
      <w:pPr>
        <w:tabs>
          <w:tab w:val="left" w:pos="851"/>
        </w:tabs>
        <w:autoSpaceDE w:val="0"/>
        <w:autoSpaceDN w:val="0"/>
        <w:adjustRightInd w:val="0"/>
        <w:spacing w:line="360" w:lineRule="auto"/>
        <w:ind w:firstLine="540"/>
        <w:jc w:val="both"/>
        <w:rPr>
          <w:rFonts w:eastAsia="AGaramondPro-Regular"/>
        </w:rPr>
      </w:pPr>
      <w:r>
        <w:t>Labai svarbus veiksnys, nuo kurio priklauso sveikatos politika – pareigūnų, atsakingų už sveikatos politiką, kompetencija. Šiuo požiūriu svarbūs vadybiniai sugebėjimai. Jų turint galima užtikrinti reikalingą aktyviai sveikatos politikai įgyvendinti tarpžinybinį ir tarpsektorinį bendradarbiavimą, kuris turi tapti aktyvios sveikatos politikos pagrindu (</w:t>
      </w:r>
      <w:r w:rsidRPr="001222BB">
        <w:t>Jankauskienė, Pečiūra, 200</w:t>
      </w:r>
      <w:r>
        <w:t>7).</w:t>
      </w:r>
    </w:p>
    <w:p w:rsidR="00995BE0" w:rsidRPr="00201FEA" w:rsidRDefault="00995BE0" w:rsidP="0038297E">
      <w:pPr>
        <w:pStyle w:val="Antrat3"/>
        <w:rPr>
          <w:lang w:val="pt-BR"/>
        </w:rPr>
      </w:pPr>
      <w:bookmarkStart w:id="34" w:name="_Toc293248622"/>
      <w:r>
        <w:rPr>
          <w:lang w:val="pt-BR"/>
        </w:rPr>
        <w:t>1.</w:t>
      </w:r>
      <w:r w:rsidRPr="00D1088B">
        <w:rPr>
          <w:lang w:val="pt-BR"/>
        </w:rPr>
        <w:t>2.</w:t>
      </w:r>
      <w:r>
        <w:rPr>
          <w:lang w:val="pt-BR"/>
        </w:rPr>
        <w:t>2</w:t>
      </w:r>
      <w:r w:rsidRPr="00D1088B">
        <w:rPr>
          <w:lang w:val="pt-BR"/>
        </w:rPr>
        <w:t xml:space="preserve"> </w:t>
      </w:r>
      <w:r w:rsidRPr="00201FEA">
        <w:rPr>
          <w:lang w:val="pt-BR"/>
        </w:rPr>
        <w:t>Strateginio valdymo pritaikymas Lietuvos sveikatos sistemoje</w:t>
      </w:r>
      <w:bookmarkEnd w:id="34"/>
    </w:p>
    <w:p w:rsidR="00995BE0" w:rsidRPr="00001E66" w:rsidRDefault="00995BE0" w:rsidP="006D73EE">
      <w:pPr>
        <w:spacing w:line="360" w:lineRule="auto"/>
        <w:ind w:firstLine="540"/>
        <w:jc w:val="both"/>
      </w:pPr>
      <w:r>
        <w:t>S</w:t>
      </w:r>
      <w:r w:rsidRPr="00220737">
        <w:t xml:space="preserve">veikatos priežiūros </w:t>
      </w:r>
      <w:r>
        <w:t>s</w:t>
      </w:r>
      <w:r w:rsidRPr="00220737">
        <w:t xml:space="preserve">varba </w:t>
      </w:r>
      <w:r>
        <w:t>ir jos poveikis</w:t>
      </w:r>
      <w:r w:rsidRPr="00220737">
        <w:t xml:space="preserve"> globalini</w:t>
      </w:r>
      <w:r>
        <w:t>ui</w:t>
      </w:r>
      <w:r w:rsidRPr="00220737">
        <w:t xml:space="preserve"> ekonomini</w:t>
      </w:r>
      <w:r>
        <w:t>ui vystymuisi</w:t>
      </w:r>
      <w:r w:rsidRPr="00220737">
        <w:t xml:space="preserve"> traukia daugelio teoretikų, visuomenės, ir privataus kapitalo savininkų dėmesį</w:t>
      </w:r>
      <w:r>
        <w:t xml:space="preserve"> (Smilga, Janušonienė, </w:t>
      </w:r>
      <w:r w:rsidRPr="00084234">
        <w:t>2009</w:t>
      </w:r>
      <w:r>
        <w:t>)</w:t>
      </w:r>
      <w:r w:rsidRPr="00220737">
        <w:t>.</w:t>
      </w:r>
      <w:r>
        <w:t xml:space="preserve"> </w:t>
      </w:r>
      <w:r w:rsidRPr="00001E66">
        <w:t>Vienas iš didžiausių šiu</w:t>
      </w:r>
      <w:r>
        <w:t>o</w:t>
      </w:r>
      <w:r w:rsidRPr="00001E66">
        <w:t xml:space="preserve">laikinių sveikatos apsaugos sektoriaus iššūkių – identifikuoti ir planuoti </w:t>
      </w:r>
      <w:r>
        <w:t>savo veiklą, kuri padėtų spręsti problemas, kurios susijusios su</w:t>
      </w:r>
      <w:r w:rsidRPr="00001E66">
        <w:t xml:space="preserve"> </w:t>
      </w:r>
      <w:r>
        <w:t>socialiniais</w:t>
      </w:r>
      <w:r w:rsidRPr="00001E66">
        <w:t>/demografini</w:t>
      </w:r>
      <w:r>
        <w:t>ais</w:t>
      </w:r>
      <w:r w:rsidRPr="00001E66">
        <w:t xml:space="preserve"> pokyči</w:t>
      </w:r>
      <w:r>
        <w:t>ais,</w:t>
      </w:r>
      <w:r w:rsidRPr="00001E66">
        <w:t xml:space="preserve"> ekonomin</w:t>
      </w:r>
      <w:r>
        <w:t>ėmis sąlygomis,</w:t>
      </w:r>
      <w:r w:rsidRPr="00001E66">
        <w:t xml:space="preserve"> įstatymų leidyb</w:t>
      </w:r>
      <w:r>
        <w:t>a</w:t>
      </w:r>
      <w:r w:rsidRPr="00001E66">
        <w:t>, politini</w:t>
      </w:r>
      <w:r>
        <w:t>ais sprendimais. XXI a. t</w:t>
      </w:r>
      <w:r w:rsidRPr="00001E66">
        <w:t xml:space="preserve">iek viešos, tiek ir privačios sveikatos apsaugos įstaigos susiduria su </w:t>
      </w:r>
      <w:r>
        <w:t xml:space="preserve">minėtais pokyčiais, tačiau ne visi vadovai pasiruošę ir geba juos atlaikyti bei išgyventi. </w:t>
      </w:r>
      <w:r w:rsidRPr="00084234">
        <w:rPr>
          <w:lang w:eastAsia="ar-SA"/>
        </w:rPr>
        <w:t xml:space="preserve">Sėkmingai besivystančios sveikatos apsaugos organizacijos turi vadovus, kurie supranta išorinių pokyčių reikšmę, geba vykdyti efektyvias strategijas, kurios įveikia pokyčius. Šie gebėjimai kartu apjungia tai, ką vadiname „strateginis valdymas“ </w:t>
      </w:r>
      <w:r w:rsidRPr="00D1088B">
        <w:rPr>
          <w:lang w:eastAsia="ar-SA"/>
        </w:rPr>
        <w:t>(Swayne ir kt., 2006</w:t>
      </w:r>
      <w:r w:rsidRPr="00084234">
        <w:rPr>
          <w:lang w:eastAsia="ar-SA"/>
        </w:rPr>
        <w:t>).</w:t>
      </w:r>
      <w:r w:rsidRPr="0037253B">
        <w:t xml:space="preserve"> </w:t>
      </w:r>
    </w:p>
    <w:p w:rsidR="00995BE0" w:rsidRPr="00001E66" w:rsidRDefault="00995BE0" w:rsidP="00B83366">
      <w:pPr>
        <w:spacing w:line="360" w:lineRule="auto"/>
        <w:ind w:firstLine="600"/>
        <w:jc w:val="both"/>
      </w:pPr>
      <w:r w:rsidRPr="00771825">
        <w:t>Sveikatos apsauga yra viena valstybės vystymo strategijos posistemių, glaudžiai susijusi su bendru ekonomikos ir infrastruktūros raidos tikslu ar jų sistema (Smilga, Grebliauskas, 2000; Smilga, 1997). Modernioji vadyba leidžia pažvelgti į sveikatos apsaugos sistemą kaip į vieną sudėtinių valstybės strateginio valdymo posistemių (Smilga, Janušonienė, 2005).</w:t>
      </w:r>
      <w:r w:rsidRPr="0037253B">
        <w:t xml:space="preserve"> </w:t>
      </w:r>
      <w:r>
        <w:t>Autoriai</w:t>
      </w:r>
      <w:r w:rsidRPr="00001E66">
        <w:t xml:space="preserve"> teigia, kad efektyvesnė sveikatos apsaugos sistemos politika įmanoma tik suderinus visų valstybės vystymo strategijos posistemių tikslus ir veiklą tiek šalies viduje, tiek ES regiono atžvilgiu. Siūlomas konceptualus modelis iš vadybos pozicijų sveikatos apsaugos sistemos organizatoriams, medikams ekspertams ir praktikams.</w:t>
      </w:r>
    </w:p>
    <w:p w:rsidR="00995BE0" w:rsidRPr="00001E66" w:rsidRDefault="00995BE0" w:rsidP="00B83366">
      <w:pPr>
        <w:pStyle w:val="paprastapastraipa"/>
        <w:spacing w:line="360" w:lineRule="auto"/>
        <w:ind w:firstLine="600"/>
        <w:rPr>
          <w:sz w:val="24"/>
          <w:lang w:val="lt-LT"/>
        </w:rPr>
      </w:pPr>
      <w:r w:rsidRPr="00001E66">
        <w:rPr>
          <w:sz w:val="24"/>
          <w:lang w:val="lt-LT"/>
        </w:rPr>
        <w:t xml:space="preserve">Sveikatos apsaugos sistema turėtų apimti visas veiklos kryptis, kurios turi įtakos žmonių sveikatai: ekonomika, ekologija, socialinė apsauga, sveikatos apsauga. Problemos turėtų būti sprendžiamos kompleksiškai, integruotai. Strateginio potencialo plėtra sveikatos apsaugos sistemoje </w:t>
      </w:r>
      <w:r w:rsidRPr="00001E66">
        <w:rPr>
          <w:sz w:val="24"/>
          <w:lang w:val="lt-LT"/>
        </w:rPr>
        <w:lastRenderedPageBreak/>
        <w:t xml:space="preserve">(kaip, beje, ir pramonės, verslo, paslaugų, kultūros, mokslo ir kt. sferose) yra svarbi sudedamoji siekiant strateginių tikslų </w:t>
      </w:r>
      <w:r w:rsidRPr="00D1088B">
        <w:rPr>
          <w:sz w:val="24"/>
          <w:lang w:val="lt-LT"/>
        </w:rPr>
        <w:t>(Ansoff, 198</w:t>
      </w:r>
      <w:r>
        <w:rPr>
          <w:sz w:val="24"/>
          <w:lang w:val="lt-LT"/>
        </w:rPr>
        <w:t>8</w:t>
      </w:r>
      <w:r w:rsidRPr="00D1088B">
        <w:rPr>
          <w:sz w:val="24"/>
          <w:lang w:val="lt-LT"/>
        </w:rPr>
        <w:t>; Koteen, 1988; Drucker, 1995</w:t>
      </w:r>
      <w:r w:rsidRPr="00001E66">
        <w:rPr>
          <w:sz w:val="24"/>
          <w:lang w:val="lt-LT"/>
        </w:rPr>
        <w:t>).</w:t>
      </w:r>
    </w:p>
    <w:p w:rsidR="00995BE0" w:rsidRDefault="00995BE0" w:rsidP="0043073E">
      <w:pPr>
        <w:spacing w:line="360" w:lineRule="auto"/>
        <w:ind w:firstLine="720"/>
        <w:jc w:val="both"/>
        <w:rPr>
          <w:bCs/>
          <w:iCs/>
        </w:rPr>
      </w:pPr>
      <w:r>
        <w:t>Smilga, Janušonienė (</w:t>
      </w:r>
      <w:r w:rsidRPr="00900B7A">
        <w:t>2003</w:t>
      </w:r>
      <w:r>
        <w:t>) pažymėjo būtinumą suprasti</w:t>
      </w:r>
      <w:r w:rsidRPr="00900B7A">
        <w:t xml:space="preserve">, kad sveikatos sistemoje svarbiausia yra ne ligų gydymas, o kiekvienam visuomenės nariui užtikrinti jo paties sveikatą „sveikatos kiekį“. 1948 m. Pasaulio sveikatos organizacija savo konstitucijoje </w:t>
      </w:r>
      <w:r>
        <w:t xml:space="preserve">sveikatą </w:t>
      </w:r>
      <w:r w:rsidRPr="00900B7A">
        <w:t>apibr</w:t>
      </w:r>
      <w:r>
        <w:t>ė</w:t>
      </w:r>
      <w:r w:rsidRPr="00900B7A">
        <w:t>ž</w:t>
      </w:r>
      <w:r>
        <w:t xml:space="preserve">ė kaip </w:t>
      </w:r>
      <w:r w:rsidRPr="00900B7A">
        <w:rPr>
          <w:bCs/>
          <w:iCs/>
        </w:rPr>
        <w:t>visapusę</w:t>
      </w:r>
      <w:r w:rsidRPr="00900B7A">
        <w:rPr>
          <w:rFonts w:ascii="TimesNewRoman,BoldItalic" w:cs="TimesNewRoman,BoldItalic"/>
          <w:bCs/>
          <w:iCs/>
        </w:rPr>
        <w:t xml:space="preserve"> </w:t>
      </w:r>
      <w:r w:rsidRPr="00900B7A">
        <w:rPr>
          <w:bCs/>
          <w:iCs/>
        </w:rPr>
        <w:t>fizinę, dvasinę</w:t>
      </w:r>
      <w:r w:rsidRPr="00900B7A">
        <w:rPr>
          <w:rFonts w:ascii="TimesNewRoman,BoldItalic" w:cs="TimesNewRoman,BoldItalic"/>
          <w:bCs/>
          <w:iCs/>
        </w:rPr>
        <w:t xml:space="preserve"> </w:t>
      </w:r>
      <w:r w:rsidRPr="00900B7A">
        <w:rPr>
          <w:bCs/>
          <w:iCs/>
        </w:rPr>
        <w:t>ir socialinę</w:t>
      </w:r>
      <w:r w:rsidRPr="00900B7A">
        <w:rPr>
          <w:rFonts w:ascii="TimesNewRoman,BoldItalic" w:cs="TimesNewRoman,BoldItalic"/>
          <w:bCs/>
          <w:iCs/>
        </w:rPr>
        <w:t xml:space="preserve"> </w:t>
      </w:r>
      <w:r w:rsidRPr="00900B7A">
        <w:rPr>
          <w:bCs/>
          <w:iCs/>
        </w:rPr>
        <w:t>gerovę, o ne tik ligų</w:t>
      </w:r>
      <w:r w:rsidRPr="00900B7A">
        <w:rPr>
          <w:rFonts w:ascii="TimesNewRoman,BoldItalic" w:cs="TimesNewRoman,BoldItalic"/>
          <w:bCs/>
          <w:iCs/>
        </w:rPr>
        <w:t xml:space="preserve"> </w:t>
      </w:r>
      <w:r w:rsidRPr="00900B7A">
        <w:rPr>
          <w:bCs/>
          <w:iCs/>
        </w:rPr>
        <w:t>ar negalavimų</w:t>
      </w:r>
      <w:r w:rsidRPr="00900B7A">
        <w:rPr>
          <w:rFonts w:ascii="TimesNewRoman,BoldItalic" w:cs="TimesNewRoman,BoldItalic"/>
          <w:bCs/>
          <w:iCs/>
        </w:rPr>
        <w:t xml:space="preserve"> </w:t>
      </w:r>
      <w:r w:rsidRPr="00900B7A">
        <w:rPr>
          <w:bCs/>
          <w:iCs/>
        </w:rPr>
        <w:t>nebuvimą.</w:t>
      </w:r>
    </w:p>
    <w:p w:rsidR="00995BE0" w:rsidRPr="00C44C55" w:rsidRDefault="00995BE0" w:rsidP="006D73EE">
      <w:pPr>
        <w:autoSpaceDE w:val="0"/>
        <w:autoSpaceDN w:val="0"/>
        <w:adjustRightInd w:val="0"/>
        <w:spacing w:line="360" w:lineRule="auto"/>
        <w:ind w:firstLine="540"/>
        <w:jc w:val="both"/>
      </w:pPr>
      <w:r w:rsidRPr="00C44C55">
        <w:t>Otavos chartij</w:t>
      </w:r>
      <w:r>
        <w:t>oje</w:t>
      </w:r>
      <w:r w:rsidRPr="00C44C55">
        <w:t xml:space="preserve"> (1986) sveikata suprantama kaip m</w:t>
      </w:r>
      <w:r>
        <w:t>ū</w:t>
      </w:r>
      <w:r w:rsidRPr="00C44C55">
        <w:t>s</w:t>
      </w:r>
      <w:r>
        <w:t>ų</w:t>
      </w:r>
      <w:r w:rsidRPr="00C44C55">
        <w:t xml:space="preserve"> kasdienio gyvenimo dalis, gyvenimo</w:t>
      </w:r>
      <w:r>
        <w:t xml:space="preserve"> </w:t>
      </w:r>
      <w:r w:rsidRPr="00C44C55">
        <w:t>kokyb</w:t>
      </w:r>
      <w:r>
        <w:t>ė</w:t>
      </w:r>
      <w:r w:rsidRPr="00C44C55">
        <w:t>s rodiklis, o ne gyvenimo tikslas. Sveikata nevertinama vien pagal</w:t>
      </w:r>
      <w:r>
        <w:t xml:space="preserve"> </w:t>
      </w:r>
      <w:r w:rsidRPr="00C44C55">
        <w:t>ligas ir mirti. Tai tokia b</w:t>
      </w:r>
      <w:r>
        <w:t>ū</w:t>
      </w:r>
      <w:r w:rsidRPr="00C44C55">
        <w:t>kl</w:t>
      </w:r>
      <w:r>
        <w:t>ė</w:t>
      </w:r>
      <w:r w:rsidRPr="00C44C55">
        <w:t>, kuria panašus individai ir bendruomen</w:t>
      </w:r>
      <w:r>
        <w:t>ė</w:t>
      </w:r>
      <w:r w:rsidRPr="00C44C55">
        <w:t>s stengiasi pasiekti ir išlaikyti,</w:t>
      </w:r>
      <w:r>
        <w:t xml:space="preserve"> </w:t>
      </w:r>
      <w:r w:rsidRPr="00C44C55">
        <w:t>o ne lig</w:t>
      </w:r>
      <w:r>
        <w:t>ų</w:t>
      </w:r>
      <w:r w:rsidRPr="00C44C55">
        <w:t xml:space="preserve"> ir sužalojim</w:t>
      </w:r>
      <w:r>
        <w:t>ų</w:t>
      </w:r>
      <w:r w:rsidRPr="00C44C55">
        <w:t xml:space="preserve"> gydymo bei slaugymo rezultatas. </w:t>
      </w:r>
      <w:r w:rsidRPr="00C44C55">
        <w:rPr>
          <w:bCs/>
          <w:iCs/>
        </w:rPr>
        <w:t>Sveikata tarsi sankryža: tai vieta, kurioje susitinka biologiniai ir socialiniai veiksniai, individas ir bendruomenė, socialinė ir ekonominė politika. Be savo vidinės vertės, sveikata dar yra asmens ir kolektyvo saviraiškos būdas, visuomenės ir jos institucijų sėkmės rodiklis kuriant gerovę, kuri yra svarbiausias raidos tikslas</w:t>
      </w:r>
      <w:r>
        <w:rPr>
          <w:b/>
          <w:bCs/>
          <w:i/>
          <w:iCs/>
        </w:rPr>
        <w:t xml:space="preserve"> </w:t>
      </w:r>
      <w:r w:rsidRPr="00C44C55">
        <w:t>(Frenk, 199</w:t>
      </w:r>
      <w:r w:rsidRPr="001927B9">
        <w:t>3</w:t>
      </w:r>
      <w:r w:rsidRPr="00C44C55">
        <w:t>).</w:t>
      </w:r>
    </w:p>
    <w:p w:rsidR="00995BE0" w:rsidRPr="00C44C55" w:rsidRDefault="00995BE0" w:rsidP="006D73EE">
      <w:pPr>
        <w:autoSpaceDE w:val="0"/>
        <w:autoSpaceDN w:val="0"/>
        <w:adjustRightInd w:val="0"/>
        <w:spacing w:line="360" w:lineRule="auto"/>
        <w:ind w:firstLine="540"/>
        <w:jc w:val="both"/>
      </w:pPr>
      <w:r w:rsidRPr="00C44C55">
        <w:t>Tokia daugiaplan</w:t>
      </w:r>
      <w:r>
        <w:t>ė</w:t>
      </w:r>
      <w:r w:rsidRPr="00C44C55">
        <w:t xml:space="preserve"> sveikatos samprata pakeit</w:t>
      </w:r>
      <w:r>
        <w:t>ė</w:t>
      </w:r>
      <w:r w:rsidRPr="00C44C55">
        <w:t xml:space="preserve"> sveikatos politikos strategij</w:t>
      </w:r>
      <w:r>
        <w:t>ą</w:t>
      </w:r>
      <w:r w:rsidRPr="00C44C55">
        <w:t>. Jeigu sveikata</w:t>
      </w:r>
      <w:r>
        <w:t xml:space="preserve"> </w:t>
      </w:r>
      <w:r w:rsidRPr="00C44C55">
        <w:t>suprantama vien tik kaip lig</w:t>
      </w:r>
      <w:r>
        <w:t>ų</w:t>
      </w:r>
      <w:r w:rsidRPr="00C44C55">
        <w:t xml:space="preserve"> ir negalavim</w:t>
      </w:r>
      <w:r>
        <w:t>ų</w:t>
      </w:r>
      <w:r w:rsidRPr="00C44C55">
        <w:t xml:space="preserve"> nebuvimas, tai sveikatos politikos strategija skirta</w:t>
      </w:r>
      <w:r>
        <w:t xml:space="preserve"> </w:t>
      </w:r>
      <w:r w:rsidRPr="00C44C55">
        <w:t>organizuoti sveikat</w:t>
      </w:r>
      <w:r>
        <w:t>ą</w:t>
      </w:r>
      <w:r w:rsidRPr="00C44C55">
        <w:t xml:space="preserve"> gr</w:t>
      </w:r>
      <w:r>
        <w:t>ą</w:t>
      </w:r>
      <w:r w:rsidRPr="00C44C55">
        <w:t>žinan</w:t>
      </w:r>
      <w:r>
        <w:t>č</w:t>
      </w:r>
      <w:r w:rsidRPr="00C44C55">
        <w:t>ias medicinos ir socialines paslaugas. Pagal platesn</w:t>
      </w:r>
      <w:r>
        <w:t>į</w:t>
      </w:r>
      <w:r w:rsidRPr="00C44C55">
        <w:t xml:space="preserve"> (holistin</w:t>
      </w:r>
      <w:r>
        <w:t>į</w:t>
      </w:r>
      <w:r w:rsidRPr="00C44C55">
        <w:t>)</w:t>
      </w:r>
      <w:r>
        <w:t xml:space="preserve"> </w:t>
      </w:r>
      <w:r w:rsidRPr="00C44C55">
        <w:t>sveikatos supratim</w:t>
      </w:r>
      <w:r>
        <w:t>ą</w:t>
      </w:r>
      <w:r w:rsidRPr="00C44C55">
        <w:t>, jos ekologin</w:t>
      </w:r>
      <w:r>
        <w:t>į</w:t>
      </w:r>
      <w:r w:rsidRPr="00C44C55">
        <w:t xml:space="preserve"> model</w:t>
      </w:r>
      <w:r>
        <w:t>į</w:t>
      </w:r>
      <w:r w:rsidRPr="00C44C55">
        <w:t>, sveikatos politikos pagrind</w:t>
      </w:r>
      <w:r>
        <w:t>ą</w:t>
      </w:r>
      <w:r w:rsidRPr="00C44C55">
        <w:t xml:space="preserve"> sudaro asmens ir</w:t>
      </w:r>
      <w:r>
        <w:t xml:space="preserve"> </w:t>
      </w:r>
      <w:r w:rsidRPr="00C44C55">
        <w:t>visuomen</w:t>
      </w:r>
      <w:r>
        <w:t>ė</w:t>
      </w:r>
      <w:r w:rsidRPr="00C44C55">
        <w:t>s sveikatos potencial</w:t>
      </w:r>
      <w:r>
        <w:t>ų</w:t>
      </w:r>
      <w:r w:rsidRPr="00C44C55">
        <w:t xml:space="preserve"> stiprinimas</w:t>
      </w:r>
      <w:r>
        <w:t xml:space="preserve"> (Javtokas, </w:t>
      </w:r>
      <w:r w:rsidRPr="00AC4225">
        <w:t>2009</w:t>
      </w:r>
      <w:r>
        <w:t>)</w:t>
      </w:r>
      <w:r w:rsidRPr="00C44C55">
        <w:t>.</w:t>
      </w:r>
    </w:p>
    <w:p w:rsidR="00995BE0" w:rsidRPr="00771825" w:rsidRDefault="00995BE0" w:rsidP="006D73EE">
      <w:pPr>
        <w:spacing w:line="360" w:lineRule="auto"/>
        <w:ind w:firstLine="540"/>
        <w:jc w:val="both"/>
      </w:pPr>
      <w:r>
        <w:t xml:space="preserve">Visuomenės sveikatos politika pradėjo formuotis 1993 m., kai Lietuva tapo Europos Tarybos nare. 1993 m. buvo privatizuotas farmacijos sektorius ir įsteigtas </w:t>
      </w:r>
      <w:r w:rsidRPr="004276AC">
        <w:t>sveikatos ap</w:t>
      </w:r>
      <w:r>
        <w:t xml:space="preserve">saugos reformos biuras, kuris paruošė teisinę bazę sveikatos apsaugai ir nustatė pagrindinį tikslą – reformuoti sveikatos apsaugos paslaugas ir orientuoti jas į pirminę sveikatos priežiūrą, padidinti paslaugų </w:t>
      </w:r>
      <w:r w:rsidRPr="00771825">
        <w:t>tiekėjų produktyvumą.</w:t>
      </w:r>
      <w:r w:rsidRPr="00AC4225">
        <w:t xml:space="preserve"> </w:t>
      </w:r>
      <w:r>
        <w:t>1994 m. priimtas sveikatos sistemos įstatymas, sudaręs teisinį pagrindą sveikatos priežiūros politikai ir apibrėžęs valstybinių valdymo subjektų vaidmenį.</w:t>
      </w:r>
    </w:p>
    <w:p w:rsidR="00995BE0" w:rsidRPr="007B5182" w:rsidRDefault="00995BE0" w:rsidP="006D73EE">
      <w:pPr>
        <w:spacing w:line="360" w:lineRule="auto"/>
        <w:ind w:firstLine="540"/>
        <w:jc w:val="both"/>
      </w:pPr>
      <w:r w:rsidRPr="007B5182">
        <w:t>S. L. Syme</w:t>
      </w:r>
      <w:r>
        <w:t xml:space="preserve"> (</w:t>
      </w:r>
      <w:r w:rsidRPr="00084F0B">
        <w:t>1996</w:t>
      </w:r>
      <w:r>
        <w:t>)</w:t>
      </w:r>
      <w:r w:rsidRPr="007B5182">
        <w:t xml:space="preserve"> teigia, kad būtina visuomenės sveikatos problemas sprendžianti strategija, kur sveikatos būklės rodikliai būtų išdėstyti remiantis kompleksiniais, dinamiškais ir sąveikaujančiais socialiniais tarpusavio santykiais, kuriuos nustatytų socialinės institucijos ir organizacijos, įskaitant šeimas, bendruomenes, darbo vietas.</w:t>
      </w:r>
    </w:p>
    <w:p w:rsidR="00995BE0" w:rsidRDefault="00995BE0" w:rsidP="006D73EE">
      <w:pPr>
        <w:spacing w:line="360" w:lineRule="auto"/>
        <w:ind w:firstLine="540"/>
        <w:jc w:val="both"/>
      </w:pPr>
      <w:r>
        <w:t>K</w:t>
      </w:r>
      <w:r w:rsidRPr="00771825">
        <w:t>iekvienas žmogus turėtų suvokti, jog ne Sveikatos apsaugos ministerija, ne ligoninė ar tam tikras gydytojas pagerins jo sveikatą, o jis pats turi prisiimti asmeninę atsakomybę už ją (Smilga, Janušonienė, 2005).</w:t>
      </w:r>
    </w:p>
    <w:p w:rsidR="00995BE0" w:rsidRDefault="00995BE0" w:rsidP="006D73EE">
      <w:pPr>
        <w:autoSpaceDE w:val="0"/>
        <w:autoSpaceDN w:val="0"/>
        <w:adjustRightInd w:val="0"/>
        <w:spacing w:line="360" w:lineRule="auto"/>
        <w:ind w:firstLine="540"/>
        <w:jc w:val="both"/>
        <w:rPr>
          <w:iCs/>
        </w:rPr>
      </w:pPr>
      <w:r w:rsidRPr="00194FC1">
        <w:t xml:space="preserve">Vienas išskirtiniausių šiuolaikinės visuomenės sveikatos bruožų – visos visuomenės, jos struktūrų bei individų atsakomybę už savo ir kitų sveikatą bei aktyvus dalyvavimas sprendžiant sveikatos problemas. Ši integruota sąvoka vadinama </w:t>
      </w:r>
      <w:r w:rsidRPr="00194FC1">
        <w:rPr>
          <w:b/>
          <w:bCs/>
          <w:i/>
          <w:iCs/>
        </w:rPr>
        <w:t xml:space="preserve">naująja visuomenės sveikata, </w:t>
      </w:r>
      <w:r w:rsidRPr="00194FC1">
        <w:t xml:space="preserve">vartojama pabrėžti platesnį, socialinį visuomenės sveikatos supratimą. Jai artima </w:t>
      </w:r>
      <w:r w:rsidRPr="00194FC1">
        <w:rPr>
          <w:b/>
          <w:bCs/>
          <w:i/>
          <w:iCs/>
        </w:rPr>
        <w:t xml:space="preserve">moderniosios visuomenės </w:t>
      </w:r>
      <w:r w:rsidRPr="00194FC1">
        <w:rPr>
          <w:b/>
          <w:bCs/>
          <w:i/>
          <w:iCs/>
        </w:rPr>
        <w:lastRenderedPageBreak/>
        <w:t xml:space="preserve">sveikatos </w:t>
      </w:r>
      <w:r w:rsidRPr="00194FC1">
        <w:rPr>
          <w:i/>
          <w:iCs/>
        </w:rPr>
        <w:t xml:space="preserve">(Modern Public Health) </w:t>
      </w:r>
      <w:r w:rsidRPr="00194FC1">
        <w:t xml:space="preserve">sąvoka apima visuomenės sveikatos ir sveikatos stiprinimo veikla, didžiausią dėmesį skiria socialinei atsakomybei, nagrinėja fizines, socialines ir ekonomines ligų priežastis (Javtokas, 2009). </w:t>
      </w:r>
      <w:r>
        <w:t xml:space="preserve">M. B. </w:t>
      </w:r>
      <w:r>
        <w:rPr>
          <w:iCs/>
        </w:rPr>
        <w:t>Mittelmark</w:t>
      </w:r>
      <w:r w:rsidRPr="00194FC1">
        <w:rPr>
          <w:iCs/>
        </w:rPr>
        <w:t xml:space="preserve"> </w:t>
      </w:r>
      <w:r>
        <w:rPr>
          <w:iCs/>
        </w:rPr>
        <w:t>(</w:t>
      </w:r>
      <w:r w:rsidRPr="00194FC1">
        <w:rPr>
          <w:iCs/>
        </w:rPr>
        <w:t xml:space="preserve">2000) teigia, kad </w:t>
      </w:r>
      <w:r>
        <w:rPr>
          <w:bCs/>
          <w:iCs/>
        </w:rPr>
        <w:t>š</w:t>
      </w:r>
      <w:r w:rsidRPr="00194FC1">
        <w:rPr>
          <w:bCs/>
          <w:iCs/>
        </w:rPr>
        <w:t xml:space="preserve">iuolaikinės visuomenės sveikatos problemas lemia socialinė nelygybė ir psichikos sveikatos sutrikimai, siejami su tokiais reiškiniais kaip nusikalstamumas, vandalizmas, chuliganizmas, susvetimėjimas, potraukis </w:t>
      </w:r>
      <w:r>
        <w:rPr>
          <w:bCs/>
          <w:iCs/>
        </w:rPr>
        <w:t>į</w:t>
      </w:r>
      <w:r w:rsidRPr="00194FC1">
        <w:rPr>
          <w:bCs/>
          <w:iCs/>
        </w:rPr>
        <w:t xml:space="preserve"> azartinius žaidimus, alkohol</w:t>
      </w:r>
      <w:r>
        <w:rPr>
          <w:bCs/>
          <w:iCs/>
        </w:rPr>
        <w:t>į</w:t>
      </w:r>
      <w:r w:rsidRPr="00194FC1">
        <w:rPr>
          <w:bCs/>
          <w:iCs/>
        </w:rPr>
        <w:t xml:space="preserve"> ir narkotikus, smurtavimas prieš vaikus bei sutuoktinius</w:t>
      </w:r>
      <w:r w:rsidRPr="00194FC1">
        <w:rPr>
          <w:iCs/>
        </w:rPr>
        <w:t>.</w:t>
      </w:r>
      <w:r>
        <w:rPr>
          <w:iCs/>
        </w:rPr>
        <w:t xml:space="preserve"> Tokių problemų nesprendžia jokios ligoninės, poliklinikos ar panašios įstaigos, nes jas lemia socialinė nelygybė. </w:t>
      </w:r>
    </w:p>
    <w:p w:rsidR="00995BE0" w:rsidRDefault="00995BE0" w:rsidP="0024126C">
      <w:pPr>
        <w:spacing w:line="360" w:lineRule="auto"/>
        <w:ind w:firstLine="540"/>
        <w:jc w:val="both"/>
        <w:rPr>
          <w:lang w:eastAsia="ar-SA"/>
        </w:rPr>
      </w:pPr>
      <w:r>
        <w:rPr>
          <w:lang w:eastAsia="ar-SA"/>
        </w:rPr>
        <w:t>Pagal R. Beaglehole ir R. Bonita (</w:t>
      </w:r>
      <w:r w:rsidRPr="00AF3310">
        <w:rPr>
          <w:lang w:eastAsia="ar-SA"/>
        </w:rPr>
        <w:t>1997</w:t>
      </w:r>
      <w:r>
        <w:rPr>
          <w:lang w:eastAsia="ar-SA"/>
        </w:rPr>
        <w:t>), pagrindiniai šiuolaikinio visuomenės sveikatos mokslo teorijos ir praktikos elementai yra šie:</w:t>
      </w:r>
    </w:p>
    <w:p w:rsidR="00995BE0" w:rsidRDefault="00995BE0" w:rsidP="0024126C">
      <w:pPr>
        <w:numPr>
          <w:ilvl w:val="0"/>
          <w:numId w:val="31"/>
        </w:numPr>
        <w:spacing w:line="360" w:lineRule="auto"/>
        <w:jc w:val="both"/>
        <w:rPr>
          <w:lang w:eastAsia="ar-SA"/>
        </w:rPr>
      </w:pPr>
      <w:r>
        <w:rPr>
          <w:lang w:eastAsia="ar-SA"/>
        </w:rPr>
        <w:t>Kolektyvinė atsakomybė ir valstybės vaidmuo saugant ir stiprinant žmonių sveikatą;</w:t>
      </w:r>
    </w:p>
    <w:p w:rsidR="00995BE0" w:rsidRDefault="00995BE0" w:rsidP="0024126C">
      <w:pPr>
        <w:numPr>
          <w:ilvl w:val="0"/>
          <w:numId w:val="31"/>
        </w:numPr>
        <w:spacing w:line="360" w:lineRule="auto"/>
        <w:jc w:val="both"/>
        <w:rPr>
          <w:lang w:eastAsia="ar-SA"/>
        </w:rPr>
      </w:pPr>
      <w:r>
        <w:rPr>
          <w:lang w:eastAsia="ar-SA"/>
        </w:rPr>
        <w:t>Dėmesys visai populiacijai;</w:t>
      </w:r>
    </w:p>
    <w:p w:rsidR="00995BE0" w:rsidRDefault="00995BE0" w:rsidP="0024126C">
      <w:pPr>
        <w:numPr>
          <w:ilvl w:val="0"/>
          <w:numId w:val="31"/>
        </w:numPr>
        <w:spacing w:line="360" w:lineRule="auto"/>
        <w:jc w:val="both"/>
        <w:rPr>
          <w:lang w:eastAsia="ar-SA"/>
        </w:rPr>
      </w:pPr>
      <w:r>
        <w:rPr>
          <w:lang w:eastAsia="ar-SA"/>
        </w:rPr>
        <w:t>Ligų profilaktika, ypač populiacinė strategija, plečiant pirminę sveikatos priežiūrą;</w:t>
      </w:r>
    </w:p>
    <w:p w:rsidR="00995BE0" w:rsidRDefault="00995BE0" w:rsidP="0024126C">
      <w:pPr>
        <w:numPr>
          <w:ilvl w:val="0"/>
          <w:numId w:val="31"/>
        </w:numPr>
        <w:spacing w:line="360" w:lineRule="auto"/>
        <w:jc w:val="both"/>
        <w:rPr>
          <w:lang w:eastAsia="ar-SA"/>
        </w:rPr>
      </w:pPr>
      <w:r>
        <w:rPr>
          <w:lang w:eastAsia="ar-SA"/>
        </w:rPr>
        <w:t>Dėmesys pagrindiniams socialiniams ekonominiams ir kitiems sveikatą veikiantiems veiksniams;</w:t>
      </w:r>
    </w:p>
    <w:p w:rsidR="00995BE0" w:rsidRDefault="00995BE0" w:rsidP="0024126C">
      <w:pPr>
        <w:numPr>
          <w:ilvl w:val="0"/>
          <w:numId w:val="31"/>
        </w:numPr>
        <w:spacing w:line="360" w:lineRule="auto"/>
        <w:jc w:val="both"/>
        <w:rPr>
          <w:lang w:eastAsia="ar-SA"/>
        </w:rPr>
      </w:pPr>
      <w:r>
        <w:rPr>
          <w:lang w:eastAsia="ar-SA"/>
        </w:rPr>
        <w:t>Daugelio disciplinų ryšys, apimantis kiekybinius ir kokybinius tyrimų ir vertinimo metodus;</w:t>
      </w:r>
    </w:p>
    <w:p w:rsidR="00995BE0" w:rsidRDefault="00995BE0" w:rsidP="0024126C">
      <w:pPr>
        <w:numPr>
          <w:ilvl w:val="0"/>
          <w:numId w:val="31"/>
        </w:numPr>
        <w:spacing w:line="360" w:lineRule="auto"/>
        <w:jc w:val="both"/>
        <w:rPr>
          <w:lang w:eastAsia="ar-SA"/>
        </w:rPr>
      </w:pPr>
      <w:r>
        <w:rPr>
          <w:lang w:eastAsia="ar-SA"/>
        </w:rPr>
        <w:t>Partnerystė su bendruomene.</w:t>
      </w:r>
    </w:p>
    <w:p w:rsidR="00995BE0" w:rsidRDefault="00995BE0" w:rsidP="009211FB">
      <w:pPr>
        <w:autoSpaceDE w:val="0"/>
        <w:autoSpaceDN w:val="0"/>
        <w:adjustRightInd w:val="0"/>
        <w:spacing w:line="360" w:lineRule="auto"/>
        <w:ind w:firstLine="540"/>
        <w:jc w:val="both"/>
        <w:rPr>
          <w:b/>
          <w:bCs/>
          <w:i/>
          <w:iCs/>
        </w:rPr>
      </w:pPr>
      <w:r w:rsidRPr="002C57C4">
        <w:rPr>
          <w:bCs/>
          <w:iCs/>
        </w:rPr>
        <w:t>Modernioji visuomen</w:t>
      </w:r>
      <w:r>
        <w:rPr>
          <w:bCs/>
          <w:iCs/>
        </w:rPr>
        <w:t>ė</w:t>
      </w:r>
      <w:r w:rsidRPr="002C57C4">
        <w:rPr>
          <w:bCs/>
          <w:iCs/>
        </w:rPr>
        <w:t>s sveikatos prieži</w:t>
      </w:r>
      <w:r>
        <w:rPr>
          <w:bCs/>
          <w:iCs/>
        </w:rPr>
        <w:t>ū</w:t>
      </w:r>
      <w:r w:rsidRPr="002C57C4">
        <w:rPr>
          <w:bCs/>
          <w:iCs/>
        </w:rPr>
        <w:t xml:space="preserve">ra orientuojama </w:t>
      </w:r>
      <w:r>
        <w:rPr>
          <w:bCs/>
          <w:iCs/>
        </w:rPr>
        <w:t>į</w:t>
      </w:r>
      <w:r w:rsidRPr="002C57C4">
        <w:rPr>
          <w:bCs/>
          <w:iCs/>
        </w:rPr>
        <w:t xml:space="preserve"> sveikatos stiprinim</w:t>
      </w:r>
      <w:r>
        <w:rPr>
          <w:bCs/>
          <w:iCs/>
        </w:rPr>
        <w:t>ą</w:t>
      </w:r>
      <w:r w:rsidRPr="002C57C4">
        <w:rPr>
          <w:bCs/>
          <w:iCs/>
        </w:rPr>
        <w:t>,</w:t>
      </w:r>
      <w:r>
        <w:rPr>
          <w:bCs/>
          <w:iCs/>
        </w:rPr>
        <w:t xml:space="preserve"> </w:t>
      </w:r>
      <w:r w:rsidRPr="002C57C4">
        <w:rPr>
          <w:bCs/>
          <w:iCs/>
        </w:rPr>
        <w:t>nes sveikatos stiprinimas yra vienas iš efektyviausi</w:t>
      </w:r>
      <w:r>
        <w:rPr>
          <w:bCs/>
          <w:iCs/>
        </w:rPr>
        <w:t>ų</w:t>
      </w:r>
      <w:r w:rsidRPr="002C57C4">
        <w:rPr>
          <w:bCs/>
          <w:iCs/>
        </w:rPr>
        <w:t xml:space="preserve"> b</w:t>
      </w:r>
      <w:r>
        <w:rPr>
          <w:bCs/>
          <w:iCs/>
        </w:rPr>
        <w:t>ū</w:t>
      </w:r>
      <w:r w:rsidRPr="002C57C4">
        <w:rPr>
          <w:bCs/>
          <w:iCs/>
        </w:rPr>
        <w:t>d</w:t>
      </w:r>
      <w:r>
        <w:rPr>
          <w:bCs/>
          <w:iCs/>
        </w:rPr>
        <w:t>ų</w:t>
      </w:r>
      <w:r w:rsidRPr="002C57C4">
        <w:rPr>
          <w:bCs/>
          <w:iCs/>
        </w:rPr>
        <w:t xml:space="preserve">, </w:t>
      </w:r>
      <w:r>
        <w:rPr>
          <w:bCs/>
          <w:iCs/>
        </w:rPr>
        <w:t>į</w:t>
      </w:r>
      <w:r w:rsidRPr="002C57C4">
        <w:rPr>
          <w:bCs/>
          <w:iCs/>
        </w:rPr>
        <w:t>galinan</w:t>
      </w:r>
      <w:r>
        <w:rPr>
          <w:bCs/>
          <w:iCs/>
        </w:rPr>
        <w:t>č</w:t>
      </w:r>
      <w:r w:rsidRPr="002C57C4">
        <w:rPr>
          <w:bCs/>
          <w:iCs/>
        </w:rPr>
        <w:t>i</w:t>
      </w:r>
      <w:r>
        <w:rPr>
          <w:bCs/>
          <w:iCs/>
        </w:rPr>
        <w:t>ų</w:t>
      </w:r>
      <w:r w:rsidRPr="002C57C4">
        <w:rPr>
          <w:bCs/>
          <w:iCs/>
        </w:rPr>
        <w:t xml:space="preserve"> pakeisti gyventoj</w:t>
      </w:r>
      <w:r>
        <w:rPr>
          <w:bCs/>
          <w:iCs/>
        </w:rPr>
        <w:t xml:space="preserve">ų </w:t>
      </w:r>
      <w:r w:rsidRPr="002C57C4">
        <w:rPr>
          <w:bCs/>
          <w:iCs/>
        </w:rPr>
        <w:t>elgsen</w:t>
      </w:r>
      <w:r>
        <w:rPr>
          <w:bCs/>
          <w:iCs/>
        </w:rPr>
        <w:t>ą</w:t>
      </w:r>
      <w:r w:rsidRPr="002C57C4">
        <w:rPr>
          <w:bCs/>
          <w:iCs/>
        </w:rPr>
        <w:t>, kurti socialin</w:t>
      </w:r>
      <w:r>
        <w:rPr>
          <w:bCs/>
          <w:iCs/>
        </w:rPr>
        <w:t>ė</w:t>
      </w:r>
      <w:r w:rsidRPr="002C57C4">
        <w:rPr>
          <w:bCs/>
          <w:iCs/>
        </w:rPr>
        <w:t>s aplinkos s</w:t>
      </w:r>
      <w:r>
        <w:rPr>
          <w:bCs/>
          <w:iCs/>
        </w:rPr>
        <w:t>ą</w:t>
      </w:r>
      <w:r w:rsidRPr="002C57C4">
        <w:rPr>
          <w:bCs/>
          <w:iCs/>
        </w:rPr>
        <w:t>lygas sveikatai stiprinti, našiai ir k</w:t>
      </w:r>
      <w:r>
        <w:rPr>
          <w:bCs/>
          <w:iCs/>
        </w:rPr>
        <w:t>ū</w:t>
      </w:r>
      <w:r w:rsidRPr="002C57C4">
        <w:rPr>
          <w:bCs/>
          <w:iCs/>
        </w:rPr>
        <w:t>rybingai dirbti.</w:t>
      </w:r>
      <w:r>
        <w:rPr>
          <w:bCs/>
          <w:iCs/>
        </w:rPr>
        <w:t xml:space="preserve"> </w:t>
      </w:r>
      <w:r w:rsidRPr="002C57C4">
        <w:rPr>
          <w:bCs/>
          <w:iCs/>
        </w:rPr>
        <w:t>Sveikatos stiprinimas atveria nauj</w:t>
      </w:r>
      <w:r>
        <w:rPr>
          <w:bCs/>
          <w:iCs/>
        </w:rPr>
        <w:t>ą</w:t>
      </w:r>
      <w:r w:rsidRPr="002C57C4">
        <w:rPr>
          <w:bCs/>
          <w:iCs/>
        </w:rPr>
        <w:t xml:space="preserve"> visuomen</w:t>
      </w:r>
      <w:r>
        <w:rPr>
          <w:bCs/>
          <w:iCs/>
        </w:rPr>
        <w:t>ė</w:t>
      </w:r>
      <w:r w:rsidRPr="002C57C4">
        <w:rPr>
          <w:bCs/>
          <w:iCs/>
        </w:rPr>
        <w:t>s sveikatos veiklos er</w:t>
      </w:r>
      <w:r>
        <w:rPr>
          <w:bCs/>
          <w:iCs/>
        </w:rPr>
        <w:t>ą</w:t>
      </w:r>
      <w:r w:rsidRPr="002C57C4">
        <w:rPr>
          <w:bCs/>
          <w:iCs/>
        </w:rPr>
        <w:t xml:space="preserve"> klestin</w:t>
      </w:r>
      <w:r>
        <w:rPr>
          <w:bCs/>
          <w:iCs/>
        </w:rPr>
        <w:t>č</w:t>
      </w:r>
      <w:r w:rsidRPr="002C57C4">
        <w:rPr>
          <w:bCs/>
          <w:iCs/>
        </w:rPr>
        <w:t>iai ir lygiateisiai visuomenei kurti</w:t>
      </w:r>
      <w:r>
        <w:rPr>
          <w:bCs/>
          <w:iCs/>
        </w:rPr>
        <w:t xml:space="preserve"> (Javtokas, </w:t>
      </w:r>
      <w:r w:rsidRPr="002C57C4">
        <w:rPr>
          <w:bCs/>
          <w:iCs/>
        </w:rPr>
        <w:t>2009</w:t>
      </w:r>
      <w:r>
        <w:rPr>
          <w:bCs/>
          <w:iCs/>
        </w:rPr>
        <w:t>)</w:t>
      </w:r>
      <w:r>
        <w:rPr>
          <w:b/>
          <w:bCs/>
          <w:i/>
          <w:iCs/>
        </w:rPr>
        <w:t>.</w:t>
      </w:r>
    </w:p>
    <w:p w:rsidR="00995BE0" w:rsidRPr="007B5182" w:rsidRDefault="00995BE0" w:rsidP="006D73EE">
      <w:pPr>
        <w:autoSpaceDE w:val="0"/>
        <w:autoSpaceDN w:val="0"/>
        <w:adjustRightInd w:val="0"/>
        <w:spacing w:line="360" w:lineRule="auto"/>
        <w:ind w:firstLine="540"/>
        <w:jc w:val="both"/>
      </w:pPr>
      <w:r w:rsidRPr="007B5182">
        <w:t xml:space="preserve"> Išsivysčiusių šalių sveikatos apsaugos srityje atsirado nauja paradigma – natūralios sveikatos filosofija, akcentuojanti holistinius sveikatos priežiūros metodus (organizmo, kaip visumos, gydymas), kurianti geresnės sveikatos arba geros sveikatos palaikymo strategiją, akcentuojant prevenciją, pačių pacientų atsakomybę už sprendimus, lemiančius jų sveikatą, teigiamą pasaulėžiūrą, žmogaus organizmo įgimto sveikimo galią (Pietroni, 1991). Lietuvos sveikuolių sąjungos prezidentas D. Kepenis pabrėžia, jog pagrindinės sveikatinimo veiklos strateginės kryptys yra pasaulėžiūra ir dvasinis gyvenimas. Ir dar daugiau, suvokimas, kad sveikatos rezultatą lemia ne tik sveikatos apsauga, bet ir kitos socialinės investicijos (švietimas, socialinės paslaugos, užimtumas ir supanti aplinka) bei jų tarpusavio ryšiai, leidžia praplėsti rezultatų visumą ir turinį. Būtina iš esmės keisti egzistuojančią sveikatos apsaugos finansavimo sistemą, t. y. apmokėti už gydymo įstaigų paslaugas remiantis ne gydymo proceso tarpiniais rezultatais, bet galutiniais – sveikatos būklės grąžinimo rezultatais (kiekybiniais rodikliais): geresnis funkcionavimas, pagerėjusi socialinė adaptacija, gyvenimo kokybė, pasitenkinimas teikiamomis paslaugomis, sumažėjęs </w:t>
      </w:r>
      <w:r w:rsidRPr="007B5182">
        <w:lastRenderedPageBreak/>
        <w:t>atkryčių skaičius ir kt. Gydymo įstaiga turi stebėti kiekvieną savo buvusį pacientą. Kadangi to nėra, trūksta ir atsakomybės.</w:t>
      </w:r>
    </w:p>
    <w:p w:rsidR="00995BE0" w:rsidRPr="0035016C" w:rsidRDefault="00995BE0" w:rsidP="006D73EE">
      <w:pPr>
        <w:spacing w:line="360" w:lineRule="auto"/>
        <w:ind w:firstLine="540"/>
        <w:jc w:val="both"/>
      </w:pPr>
      <w:r w:rsidRPr="0035016C">
        <w:t xml:space="preserve">Smilga, Janušonienė (2009), išanalizavę kitų šalių patirtį teigia, kad nėra stiprios koreliacijos tarp visuomenės sveikatos būklės ir medicininės priežiūros, todėl būtina surasti sprendimo būdų tokiose potencialiose mokslo sferose kaip strateginis valdymas, kuris susitelkia ne finansinių aspektų analizėje, bet greičiau strateginiui mąstymui, analizei, ir sintezei. Norint Lietuvoje formuoti strateginio valdymo modelį, išskiria tokias pagrindines sąlygas: </w:t>
      </w:r>
    </w:p>
    <w:p w:rsidR="00995BE0" w:rsidRPr="0035016C" w:rsidRDefault="00995BE0" w:rsidP="006D73EE">
      <w:pPr>
        <w:numPr>
          <w:ilvl w:val="0"/>
          <w:numId w:val="19"/>
        </w:numPr>
        <w:spacing w:line="360" w:lineRule="auto"/>
        <w:jc w:val="both"/>
      </w:pPr>
      <w:r>
        <w:t>H</w:t>
      </w:r>
      <w:r w:rsidRPr="0035016C">
        <w:t xml:space="preserve">olistinis požiūris, </w:t>
      </w:r>
    </w:p>
    <w:p w:rsidR="00995BE0" w:rsidRPr="0035016C" w:rsidRDefault="00995BE0" w:rsidP="006D73EE">
      <w:pPr>
        <w:numPr>
          <w:ilvl w:val="0"/>
          <w:numId w:val="19"/>
        </w:numPr>
        <w:spacing w:line="360" w:lineRule="auto"/>
        <w:jc w:val="both"/>
      </w:pPr>
      <w:r>
        <w:t>S</w:t>
      </w:r>
      <w:r w:rsidRPr="0035016C">
        <w:t>veikatos priežiūros sistemos aplinkos lankstumas ir globalizacija,</w:t>
      </w:r>
    </w:p>
    <w:p w:rsidR="00995BE0" w:rsidRPr="0035016C" w:rsidRDefault="00995BE0" w:rsidP="006D73EE">
      <w:pPr>
        <w:numPr>
          <w:ilvl w:val="0"/>
          <w:numId w:val="19"/>
        </w:numPr>
        <w:spacing w:line="360" w:lineRule="auto"/>
        <w:jc w:val="both"/>
      </w:pPr>
      <w:r>
        <w:t>N</w:t>
      </w:r>
      <w:r w:rsidRPr="0035016C">
        <w:t xml:space="preserve">aujos viešos vadybos sąvokos augimas, </w:t>
      </w:r>
    </w:p>
    <w:p w:rsidR="00995BE0" w:rsidRPr="0035016C" w:rsidRDefault="00995BE0" w:rsidP="006D73EE">
      <w:pPr>
        <w:numPr>
          <w:ilvl w:val="0"/>
          <w:numId w:val="19"/>
        </w:numPr>
        <w:spacing w:line="360" w:lineRule="auto"/>
        <w:jc w:val="both"/>
      </w:pPr>
      <w:r>
        <w:t>P</w:t>
      </w:r>
      <w:r w:rsidRPr="0035016C">
        <w:t>erėjimas nuo nulinės konkurenci</w:t>
      </w:r>
      <w:r>
        <w:t>jos</w:t>
      </w:r>
      <w:r w:rsidRPr="0035016C">
        <w:t xml:space="preserve"> prie vertės kūrimo ir konkurencijos, </w:t>
      </w:r>
    </w:p>
    <w:p w:rsidR="00995BE0" w:rsidRPr="0035016C" w:rsidRDefault="00995BE0" w:rsidP="006D73EE">
      <w:pPr>
        <w:numPr>
          <w:ilvl w:val="0"/>
          <w:numId w:val="19"/>
        </w:numPr>
        <w:spacing w:line="360" w:lineRule="auto"/>
        <w:jc w:val="both"/>
      </w:pPr>
      <w:r>
        <w:t>B</w:t>
      </w:r>
      <w:r w:rsidRPr="0035016C">
        <w:t xml:space="preserve">esikeičianti aplinka priverčia sveikatos priežiūros sistemą išlaikyti tokias padėtis kaip ieškojimas naujų strateginių galimybių, konkurencingo potencialo vystymo, ir kūrybiškumo; </w:t>
      </w:r>
    </w:p>
    <w:p w:rsidR="00995BE0" w:rsidRPr="0035016C" w:rsidRDefault="00995BE0" w:rsidP="006D73EE">
      <w:pPr>
        <w:numPr>
          <w:ilvl w:val="0"/>
          <w:numId w:val="19"/>
        </w:numPr>
        <w:spacing w:line="360" w:lineRule="auto"/>
        <w:jc w:val="both"/>
      </w:pPr>
      <w:r w:rsidRPr="0035016C">
        <w:t xml:space="preserve">Naujos strateginės galimybės, konkurencinio potencialo išsivystymas, ir kūrybiškumas yra teigiamai vertinami naujos formos organizacijoje, kuri yra strategiškai orientuota; </w:t>
      </w:r>
    </w:p>
    <w:p w:rsidR="00995BE0" w:rsidRPr="0035016C" w:rsidRDefault="00995BE0" w:rsidP="006D73EE">
      <w:pPr>
        <w:numPr>
          <w:ilvl w:val="0"/>
          <w:numId w:val="19"/>
        </w:numPr>
        <w:spacing w:line="360" w:lineRule="auto"/>
        <w:jc w:val="both"/>
      </w:pPr>
      <w:r>
        <w:t>B</w:t>
      </w:r>
      <w:r w:rsidRPr="0035016C">
        <w:t>esikeičiančios aplinkos kontekste labai svarbu organizuoti sveikatos priežiūros sistemą, kaip susijusių ir bendradarbiaujančių organizacijų tinklą.</w:t>
      </w:r>
    </w:p>
    <w:p w:rsidR="00995BE0" w:rsidRDefault="00995BE0" w:rsidP="006D73EE">
      <w:pPr>
        <w:spacing w:line="360" w:lineRule="auto"/>
        <w:ind w:firstLine="540"/>
        <w:jc w:val="both"/>
      </w:pPr>
      <w:r w:rsidRPr="0035016C">
        <w:t xml:space="preserve">Svarbiausios </w:t>
      </w:r>
      <w:r>
        <w:t>Lietuvos</w:t>
      </w:r>
      <w:r w:rsidRPr="0035016C">
        <w:t xml:space="preserve"> sveikatos priežiūros sistemos problemos yra tokios: plati ligoninių</w:t>
      </w:r>
      <w:r>
        <w:t xml:space="preserve"> sistema, nepakankamai išvystyta</w:t>
      </w:r>
      <w:r w:rsidRPr="0035016C">
        <w:t xml:space="preserve"> pirminės sveikatos priežiūros sistema, </w:t>
      </w:r>
      <w:r>
        <w:t>visuomenės sveikatos priežiūros i</w:t>
      </w:r>
      <w:r w:rsidRPr="0035016C">
        <w:t>šlaid</w:t>
      </w:r>
      <w:r>
        <w:t>ų</w:t>
      </w:r>
      <w:r w:rsidRPr="0043073E">
        <w:t xml:space="preserve"> </w:t>
      </w:r>
      <w:r w:rsidRPr="0035016C">
        <w:t>mažinamas</w:t>
      </w:r>
      <w:r>
        <w:t>. Palyginimui Lietuvos</w:t>
      </w:r>
      <w:r w:rsidRPr="0035016C">
        <w:t xml:space="preserve"> sveikatos priežiūros sistemos organizacinė</w:t>
      </w:r>
      <w:r>
        <w:t>s</w:t>
      </w:r>
      <w:r w:rsidRPr="0035016C">
        <w:t xml:space="preserve"> struktūr</w:t>
      </w:r>
      <w:r>
        <w:t>os</w:t>
      </w:r>
      <w:r w:rsidRPr="0035016C">
        <w:t xml:space="preserve"> modelis</w:t>
      </w:r>
      <w:r>
        <w:t xml:space="preserve"> palygintas su tokiomis</w:t>
      </w:r>
      <w:r w:rsidRPr="0035016C">
        <w:t xml:space="preserve"> pažangi</w:t>
      </w:r>
      <w:r>
        <w:t>omis</w:t>
      </w:r>
      <w:r w:rsidRPr="0035016C">
        <w:t xml:space="preserve"> Europos šali</w:t>
      </w:r>
      <w:r>
        <w:t>mis</w:t>
      </w:r>
      <w:r w:rsidRPr="0035016C">
        <w:t xml:space="preserve"> </w:t>
      </w:r>
      <w:r>
        <w:t>kaip</w:t>
      </w:r>
      <w:r w:rsidRPr="0035016C">
        <w:t xml:space="preserve"> Nyderlandai, Prancūzija, Vokietija, Švedija, Suomija, Danija. </w:t>
      </w:r>
      <w:r>
        <w:t>P</w:t>
      </w:r>
      <w:r w:rsidRPr="0035016C">
        <w:t xml:space="preserve">agrindinis </w:t>
      </w:r>
      <w:r>
        <w:t>skirtumai buvo tie, jog tose šalyse vyrauja didesnė konkurencija</w:t>
      </w:r>
      <w:r w:rsidRPr="0035016C">
        <w:t xml:space="preserve"> ir d</w:t>
      </w:r>
      <w:r>
        <w:t>idesnis dėmesys</w:t>
      </w:r>
      <w:r w:rsidRPr="0035016C">
        <w:t xml:space="preserve"> pirmin</w:t>
      </w:r>
      <w:r>
        <w:t>ei</w:t>
      </w:r>
      <w:r w:rsidRPr="0035016C">
        <w:t xml:space="preserve"> </w:t>
      </w:r>
      <w:r>
        <w:t>sveikatos priežiūrai</w:t>
      </w:r>
      <w:r w:rsidRPr="0035016C">
        <w:t>.</w:t>
      </w:r>
    </w:p>
    <w:p w:rsidR="00995BE0" w:rsidRDefault="00995BE0" w:rsidP="006D73EE">
      <w:pPr>
        <w:spacing w:line="360" w:lineRule="auto"/>
        <w:ind w:firstLine="540"/>
        <w:jc w:val="both"/>
      </w:pPr>
      <w:r>
        <w:t xml:space="preserve">Todėl autoriai siūlo savo sukurtą strateginio valdymo modelį, skirtą Lietuvos sveikatos apsaugos sistemai (4 pav.). </w:t>
      </w:r>
      <w:r w:rsidRPr="00B424A0">
        <w:t xml:space="preserve">Strateginis vadybos procesas yra padalytas į tris stadijas: “silpnų strateginių signalų identifikavimas ir įvertinimas”, “strategijos sudarymas” ir “strategijos </w:t>
      </w:r>
      <w:r>
        <w:t>įgyvendinimas</w:t>
      </w:r>
      <w:r w:rsidRPr="00B424A0">
        <w:t>”. Svarbiausias strateginio va</w:t>
      </w:r>
      <w:r>
        <w:t>ldymo</w:t>
      </w:r>
      <w:r w:rsidRPr="00B424A0">
        <w:t xml:space="preserve"> modelio rezultatas yra aukščiausios vertės pacientui ir potencialiam klientui sukūrimas.</w:t>
      </w:r>
      <w:r>
        <w:t xml:space="preserve"> Naujam Lietuvos sveikatos priežiūros strateginio valdymo modelyje išskiriamas konkurencijos </w:t>
      </w:r>
      <w:r w:rsidRPr="00135CBE">
        <w:t>skatinimas</w:t>
      </w:r>
      <w:r>
        <w:t xml:space="preserve">, </w:t>
      </w:r>
      <w:r w:rsidRPr="00135CBE">
        <w:t xml:space="preserve">pagrįsto </w:t>
      </w:r>
      <w:r>
        <w:t>rezultatais ir pacientų vertei, o ne tik pagal kainų skirtumą, kai paprastai renkamos įstaigos kur pigesnės paslaugos. Taip pat aukšta kokybė neturėtų būti brangi, o pati paslaugų vertė turėtų būti nustatyta įvertinant paslaugų tiekėjų patirtį, lygį ir žinias medicinos būklės lygmenyje.</w:t>
      </w:r>
    </w:p>
    <w:p w:rsidR="00995BE0" w:rsidRDefault="00995BE0" w:rsidP="006D73EE">
      <w:pPr>
        <w:spacing w:line="360" w:lineRule="auto"/>
        <w:ind w:firstLine="540"/>
        <w:jc w:val="both"/>
      </w:pPr>
    </w:p>
    <w:p w:rsidR="00995BE0" w:rsidRDefault="00995BE0" w:rsidP="006D73EE">
      <w:pPr>
        <w:spacing w:line="360" w:lineRule="auto"/>
        <w:ind w:firstLine="540"/>
        <w:jc w:val="both"/>
      </w:pPr>
    </w:p>
    <w:p w:rsidR="00995BE0" w:rsidRDefault="00995BE0" w:rsidP="006D73EE">
      <w:pPr>
        <w:spacing w:line="360" w:lineRule="auto"/>
        <w:ind w:firstLine="540"/>
        <w:jc w:val="both"/>
      </w:pPr>
    </w:p>
    <w:p w:rsidR="00995BE0" w:rsidRDefault="00995BE0" w:rsidP="006D73EE"/>
    <w:p w:rsidR="00995BE0" w:rsidRDefault="00CB16CF" w:rsidP="006D73EE">
      <w:r>
        <w:rPr>
          <w:noProof/>
        </w:rPr>
        <w:pict>
          <v:oval id="_x0000_s1026" style="position:absolute;margin-left:270pt;margin-top:9pt;width:138.6pt;height:54pt;z-index:251620352">
            <v:textbox style="mso-next-textbox:#_x0000_s1026">
              <w:txbxContent>
                <w:p w:rsidR="00995BE0" w:rsidRPr="005065D3" w:rsidRDefault="00995BE0" w:rsidP="006D73EE">
                  <w:pPr>
                    <w:jc w:val="center"/>
                    <w:rPr>
                      <w:sz w:val="20"/>
                      <w:szCs w:val="20"/>
                    </w:rPr>
                  </w:pPr>
                  <w:r w:rsidRPr="005065D3">
                    <w:rPr>
                      <w:sz w:val="20"/>
                      <w:szCs w:val="20"/>
                    </w:rPr>
                    <w:t>Silpni strateginiai signalai</w:t>
                  </w:r>
                </w:p>
              </w:txbxContent>
            </v:textbox>
          </v:oval>
        </w:pict>
      </w:r>
      <w:r>
        <w:rPr>
          <w:noProof/>
        </w:rPr>
        <w:pict>
          <v:oval id="_x0000_s1027" style="position:absolute;margin-left:252pt;margin-top:-27pt;width:189.6pt;height:94.2pt;z-index:251619328" fillcolor="#d8d8d8" strokecolor="#666" strokeweight="1pt">
            <v:fill color2="#ccc"/>
            <v:stroke dashstyle="dash"/>
            <v:shadow on="t" type="perspective" color="#7f7f7f" opacity=".5" offset="1pt" offset2="-3pt"/>
            <v:textbox style="mso-next-textbox:#_x0000_s1027">
              <w:txbxContent>
                <w:p w:rsidR="00995BE0" w:rsidRPr="005065D3" w:rsidRDefault="00995BE0" w:rsidP="006D73EE">
                  <w:pPr>
                    <w:jc w:val="center"/>
                    <w:rPr>
                      <w:sz w:val="20"/>
                      <w:szCs w:val="20"/>
                    </w:rPr>
                  </w:pPr>
                  <w:r w:rsidRPr="005065D3">
                    <w:rPr>
                      <w:sz w:val="20"/>
                      <w:szCs w:val="20"/>
                    </w:rPr>
                    <w:t>Sveikatos apsaugos aplinka</w:t>
                  </w:r>
                </w:p>
              </w:txbxContent>
            </v:textbox>
          </v:oval>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28" type="#_x0000_t70" style="position:absolute;margin-left:174.75pt;margin-top:-4.05pt;width:19.8pt;height:499.2pt;z-index:251618304"/>
        </w:pict>
      </w:r>
      <w:r>
        <w:rPr>
          <w:noProof/>
        </w:rPr>
        <w:pict>
          <v:roundrect id="_x0000_s1029" style="position:absolute;margin-left:4.8pt;margin-top:-.1pt;width:164.4pt;height:476.65pt;z-index:251614208" arcsize="10923f">
            <v:stroke dashstyle="1 1"/>
            <v:textbox style="mso-next-textbox:#_x0000_s1029">
              <w:txbxContent>
                <w:p w:rsidR="00995BE0" w:rsidRPr="00103510" w:rsidRDefault="00995BE0" w:rsidP="006D73EE">
                  <w:pPr>
                    <w:jc w:val="center"/>
                    <w:rPr>
                      <w:b/>
                    </w:rPr>
                  </w:pPr>
                  <w:r w:rsidRPr="00103510">
                    <w:rPr>
                      <w:b/>
                    </w:rPr>
                    <w:t>Strateginio valdymo procesas</w:t>
                  </w:r>
                </w:p>
              </w:txbxContent>
            </v:textbox>
          </v:roundrect>
        </w:pict>
      </w:r>
    </w:p>
    <w:p w:rsidR="00995BE0" w:rsidRDefault="00995BE0" w:rsidP="006D73EE"/>
    <w:p w:rsidR="00995BE0" w:rsidRDefault="00995BE0" w:rsidP="006D73EE"/>
    <w:p w:rsidR="00995BE0" w:rsidRDefault="00CB16CF" w:rsidP="006D73EE">
      <w:r>
        <w:rPr>
          <w:noProof/>
        </w:rPr>
        <w:pict>
          <v:shapetype id="_x0000_t32" coordsize="21600,21600" o:spt="32" o:oned="t" path="m,l21600,21600e" filled="f">
            <v:path arrowok="t" fillok="f" o:connecttype="none"/>
            <o:lock v:ext="edit" shapetype="t"/>
          </v:shapetype>
          <v:shape id="_x0000_s1030" type="#_x0000_t32" style="position:absolute;margin-left:433.35pt;margin-top:1.2pt;width:34.2pt;height:49.2pt;z-index:251623424" o:connectortype="straight" strokeweight="4pt">
            <v:stroke endarrow="block"/>
          </v:shape>
        </w:pict>
      </w:r>
      <w:r>
        <w:rPr>
          <w:noProof/>
        </w:rPr>
        <w:pict>
          <v:shape id="_x0000_s1031" type="#_x0000_t32" style="position:absolute;margin-left:203.55pt;margin-top:10.5pt;width:51pt;height:22.8pt;flip:x;z-index:251621376" o:connectortype="straight" strokeweight="4pt">
            <v:stroke endarrow="block"/>
          </v:shape>
        </w:pict>
      </w:r>
    </w:p>
    <w:p w:rsidR="00995BE0" w:rsidRDefault="00CB16CF" w:rsidP="006D73EE">
      <w:r>
        <w:rPr>
          <w:noProof/>
        </w:rPr>
        <w:pict>
          <v:shape id="_x0000_s1032" type="#_x0000_t32" style="position:absolute;margin-left:422.55pt;margin-top:.15pt;width:30pt;height:49.8pt;z-index:251624448" o:connectortype="straight" strokeweight="4pt">
            <v:stroke endarrow="block"/>
          </v:shape>
        </w:pict>
      </w:r>
      <w:r>
        <w:rPr>
          <w:noProof/>
        </w:rPr>
        <w:pict>
          <v:shape id="_x0000_s1033" type="#_x0000_t32" style="position:absolute;margin-left:216.6pt;margin-top:.15pt;width:48.6pt;height:49.8pt;flip:x;z-index:251622400" o:connectortype="straight" strokeweight="4pt">
            <v:stroke endarrow="block"/>
          </v:shape>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4" type="#_x0000_t15" style="position:absolute;margin-left:37.35pt;margin-top:.15pt;width:111pt;height:44.4pt;z-index:251615232">
            <v:textbox style="mso-next-textbox:#_x0000_s1034">
              <w:txbxContent>
                <w:p w:rsidR="00995BE0" w:rsidRPr="00103510" w:rsidRDefault="00995BE0" w:rsidP="006D73EE">
                  <w:pPr>
                    <w:rPr>
                      <w:sz w:val="20"/>
                      <w:szCs w:val="20"/>
                    </w:rPr>
                  </w:pPr>
                  <w:r w:rsidRPr="00103510">
                    <w:rPr>
                      <w:sz w:val="20"/>
                      <w:szCs w:val="20"/>
                    </w:rPr>
                    <w:t>Strateginių signalų identifikavimas ir vertinimas</w:t>
                  </w:r>
                </w:p>
              </w:txbxContent>
            </v:textbox>
          </v:shape>
        </w:pict>
      </w:r>
    </w:p>
    <w:p w:rsidR="00995BE0" w:rsidRDefault="00CB16CF" w:rsidP="006D73EE">
      <w:pPr>
        <w:tabs>
          <w:tab w:val="left" w:pos="8568"/>
        </w:tabs>
      </w:pPr>
      <w:r>
        <w:rPr>
          <w:noProof/>
        </w:rPr>
        <w:pict>
          <v:oval id="_x0000_s1035" style="position:absolute;margin-left:254.55pt;margin-top:1.05pt;width:174pt;height:70.8pt;z-index:251625472" fillcolor="#d8d8d8">
            <v:stroke dashstyle="dash"/>
            <v:textbox style="mso-next-textbox:#_x0000_s1035">
              <w:txbxContent>
                <w:p w:rsidR="00995BE0" w:rsidRPr="005065D3" w:rsidRDefault="00995BE0" w:rsidP="006D73EE">
                  <w:pPr>
                    <w:jc w:val="center"/>
                    <w:rPr>
                      <w:sz w:val="20"/>
                      <w:szCs w:val="20"/>
                    </w:rPr>
                  </w:pPr>
                  <w:r w:rsidRPr="005065D3">
                    <w:rPr>
                      <w:sz w:val="20"/>
                      <w:szCs w:val="20"/>
                    </w:rPr>
                    <w:t>Konkurencija paremta kuriant paslaugų vertę pacientams</w:t>
                  </w:r>
                </w:p>
              </w:txbxContent>
            </v:textbox>
          </v:oval>
        </w:pict>
      </w:r>
      <w:r w:rsidR="00995BE0">
        <w:tab/>
      </w:r>
    </w:p>
    <w:p w:rsidR="00995BE0" w:rsidRDefault="00995BE0" w:rsidP="006D73EE">
      <w:pPr>
        <w:tabs>
          <w:tab w:val="left" w:pos="8568"/>
        </w:tabs>
      </w:pPr>
      <w:r>
        <w:tab/>
      </w:r>
    </w:p>
    <w:p w:rsidR="00995BE0" w:rsidRDefault="00995BE0" w:rsidP="006D73EE"/>
    <w:p w:rsidR="00995BE0" w:rsidRDefault="00995BE0" w:rsidP="006D73EE"/>
    <w:p w:rsidR="00995BE0" w:rsidRDefault="00CB16CF" w:rsidP="006D73EE">
      <w:r>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6" type="#_x0000_t79" style="position:absolute;margin-left:198pt;margin-top:1.8pt;width:241.35pt;height:157.2pt;z-index:251626496">
            <v:textbox style="mso-next-textbox:#_x0000_s1036">
              <w:txbxContent>
                <w:p w:rsidR="00995BE0" w:rsidRPr="005065D3" w:rsidRDefault="00995BE0" w:rsidP="006D73EE">
                  <w:pPr>
                    <w:numPr>
                      <w:ilvl w:val="0"/>
                      <w:numId w:val="18"/>
                    </w:numPr>
                    <w:rPr>
                      <w:sz w:val="20"/>
                      <w:szCs w:val="20"/>
                    </w:rPr>
                  </w:pPr>
                  <w:r w:rsidRPr="005065D3">
                    <w:rPr>
                      <w:sz w:val="20"/>
                      <w:szCs w:val="20"/>
                    </w:rPr>
                    <w:t>Dėmesys pacientų vertei;</w:t>
                  </w:r>
                </w:p>
                <w:p w:rsidR="00995BE0" w:rsidRPr="005065D3" w:rsidRDefault="00995BE0" w:rsidP="006D73EE">
                  <w:pPr>
                    <w:numPr>
                      <w:ilvl w:val="0"/>
                      <w:numId w:val="18"/>
                    </w:numPr>
                    <w:rPr>
                      <w:sz w:val="20"/>
                      <w:szCs w:val="20"/>
                    </w:rPr>
                  </w:pPr>
                  <w:r w:rsidRPr="005065D3">
                    <w:rPr>
                      <w:sz w:val="20"/>
                      <w:szCs w:val="20"/>
                    </w:rPr>
                    <w:t>Konkurencija paremta rezultatais;</w:t>
                  </w:r>
                </w:p>
                <w:p w:rsidR="00995BE0" w:rsidRPr="005065D3" w:rsidRDefault="00995BE0" w:rsidP="006D73EE">
                  <w:pPr>
                    <w:numPr>
                      <w:ilvl w:val="0"/>
                      <w:numId w:val="18"/>
                    </w:numPr>
                    <w:rPr>
                      <w:sz w:val="20"/>
                      <w:szCs w:val="20"/>
                    </w:rPr>
                  </w:pPr>
                  <w:r w:rsidRPr="005065D3">
                    <w:rPr>
                      <w:sz w:val="20"/>
                      <w:szCs w:val="20"/>
                    </w:rPr>
                    <w:t>Konkuren</w:t>
                  </w:r>
                  <w:r>
                    <w:rPr>
                      <w:sz w:val="20"/>
                      <w:szCs w:val="20"/>
                    </w:rPr>
                    <w:t>cija koncentruojasi į medicinos</w:t>
                  </w:r>
                  <w:r w:rsidRPr="005065D3">
                    <w:rPr>
                      <w:sz w:val="20"/>
                      <w:szCs w:val="20"/>
                    </w:rPr>
                    <w:t xml:space="preserve"> </w:t>
                  </w:r>
                  <w:r>
                    <w:rPr>
                      <w:sz w:val="20"/>
                      <w:szCs w:val="20"/>
                    </w:rPr>
                    <w:t>lygį</w:t>
                  </w:r>
                  <w:r w:rsidRPr="005065D3">
                    <w:rPr>
                      <w:sz w:val="20"/>
                      <w:szCs w:val="20"/>
                    </w:rPr>
                    <w:t xml:space="preserve"> visame priežiūros cikle;</w:t>
                  </w:r>
                </w:p>
                <w:p w:rsidR="00995BE0" w:rsidRDefault="00995BE0" w:rsidP="006D73EE">
                  <w:pPr>
                    <w:numPr>
                      <w:ilvl w:val="0"/>
                      <w:numId w:val="18"/>
                    </w:numPr>
                    <w:rPr>
                      <w:sz w:val="20"/>
                      <w:szCs w:val="20"/>
                    </w:rPr>
                  </w:pPr>
                  <w:r w:rsidRPr="005065D3">
                    <w:rPr>
                      <w:sz w:val="20"/>
                      <w:szCs w:val="20"/>
                    </w:rPr>
                    <w:t>Paslaugų teikėjų patirtis,</w:t>
                  </w:r>
                  <w:r>
                    <w:t xml:space="preserve"> </w:t>
                  </w:r>
                  <w:r w:rsidRPr="005065D3">
                    <w:rPr>
                      <w:sz w:val="20"/>
                      <w:szCs w:val="20"/>
                    </w:rPr>
                    <w:t>lygis ir žinios</w:t>
                  </w:r>
                  <w:r>
                    <w:rPr>
                      <w:sz w:val="20"/>
                      <w:szCs w:val="20"/>
                    </w:rPr>
                    <w:t>;</w:t>
                  </w:r>
                </w:p>
                <w:p w:rsidR="00995BE0" w:rsidRDefault="00995BE0" w:rsidP="006D73EE">
                  <w:pPr>
                    <w:numPr>
                      <w:ilvl w:val="0"/>
                      <w:numId w:val="18"/>
                    </w:numPr>
                    <w:rPr>
                      <w:sz w:val="20"/>
                      <w:szCs w:val="20"/>
                    </w:rPr>
                  </w:pPr>
                  <w:r>
                    <w:rPr>
                      <w:sz w:val="20"/>
                      <w:szCs w:val="20"/>
                    </w:rPr>
                    <w:t>Konkurencija orientuota ne tik vietiniui lygiui;</w:t>
                  </w:r>
                </w:p>
                <w:p w:rsidR="00995BE0" w:rsidRDefault="00995BE0" w:rsidP="006D73EE">
                  <w:pPr>
                    <w:numPr>
                      <w:ilvl w:val="0"/>
                      <w:numId w:val="18"/>
                    </w:numPr>
                    <w:rPr>
                      <w:sz w:val="20"/>
                      <w:szCs w:val="20"/>
                    </w:rPr>
                  </w:pPr>
                  <w:r>
                    <w:rPr>
                      <w:sz w:val="20"/>
                      <w:szCs w:val="20"/>
                    </w:rPr>
                    <w:t>Informacijos sklaida;</w:t>
                  </w:r>
                </w:p>
                <w:p w:rsidR="00995BE0" w:rsidRDefault="00995BE0" w:rsidP="006D73EE">
                  <w:pPr>
                    <w:numPr>
                      <w:ilvl w:val="0"/>
                      <w:numId w:val="18"/>
                    </w:numPr>
                  </w:pPr>
                  <w:r>
                    <w:t>I</w:t>
                  </w:r>
                  <w:r w:rsidRPr="005065D3">
                    <w:rPr>
                      <w:sz w:val="20"/>
                      <w:szCs w:val="20"/>
                    </w:rPr>
                    <w:t>novacijos</w:t>
                  </w:r>
                  <w:r>
                    <w:rPr>
                      <w:sz w:val="20"/>
                      <w:szCs w:val="20"/>
                    </w:rPr>
                    <w:t>.</w:t>
                  </w:r>
                </w:p>
              </w:txbxContent>
            </v:textbox>
          </v:shape>
        </w:pict>
      </w:r>
    </w:p>
    <w:p w:rsidR="00995BE0" w:rsidRPr="0035016C" w:rsidRDefault="00995BE0" w:rsidP="006D73EE"/>
    <w:p w:rsidR="00995BE0" w:rsidRDefault="00995BE0" w:rsidP="006D73EE">
      <w:pPr>
        <w:rPr>
          <w:lang w:val="pl-PL"/>
        </w:rPr>
      </w:pPr>
    </w:p>
    <w:p w:rsidR="00995BE0" w:rsidRDefault="00995BE0" w:rsidP="006D73EE"/>
    <w:p w:rsidR="00995BE0" w:rsidRDefault="00CB16CF" w:rsidP="006D73EE">
      <w:r>
        <w:rPr>
          <w:noProof/>
        </w:rPr>
        <w:pict>
          <v:shape id="_x0000_s1037" type="#_x0000_t15" style="position:absolute;margin-left:33.75pt;margin-top:5.4pt;width:99.6pt;height:31.8pt;z-index:251616256">
            <v:textbox style="mso-next-textbox:#_x0000_s1037">
              <w:txbxContent>
                <w:p w:rsidR="00995BE0" w:rsidRPr="00103510" w:rsidRDefault="00995BE0" w:rsidP="006D73EE">
                  <w:pPr>
                    <w:rPr>
                      <w:sz w:val="20"/>
                      <w:szCs w:val="20"/>
                    </w:rPr>
                  </w:pPr>
                  <w:r w:rsidRPr="00103510">
                    <w:rPr>
                      <w:sz w:val="20"/>
                      <w:szCs w:val="20"/>
                    </w:rPr>
                    <w:t>Strategijos formavimas</w:t>
                  </w:r>
                </w:p>
              </w:txbxContent>
            </v:textbox>
          </v:shape>
        </w:pict>
      </w:r>
    </w:p>
    <w:p w:rsidR="00995BE0" w:rsidRDefault="00995BE0" w:rsidP="006D73EE"/>
    <w:p w:rsidR="00995BE0" w:rsidRDefault="00995BE0" w:rsidP="006D73EE"/>
    <w:p w:rsidR="00995BE0" w:rsidRDefault="00995BE0" w:rsidP="006D73EE"/>
    <w:p w:rsidR="00995BE0" w:rsidRDefault="00995BE0" w:rsidP="006D73EE"/>
    <w:p w:rsidR="00995BE0" w:rsidRDefault="00995BE0" w:rsidP="006D73EE"/>
    <w:p w:rsidR="00995BE0" w:rsidRDefault="00995BE0" w:rsidP="006D73EE"/>
    <w:p w:rsidR="00995BE0" w:rsidRDefault="00995BE0" w:rsidP="006D73EE"/>
    <w:p w:rsidR="00995BE0" w:rsidRDefault="00CB16CF" w:rsidP="006D73EE">
      <w:r>
        <w:rPr>
          <w:noProof/>
        </w:rPr>
        <w:pict>
          <v:oval id="_x0000_s1038" style="position:absolute;margin-left:225pt;margin-top:2.45pt;width:186pt;height:84.6pt;z-index:251627520" fillcolor="#d8d8d8">
            <v:stroke dashstyle="dash"/>
            <v:textbox style="mso-next-textbox:#_x0000_s1038">
              <w:txbxContent>
                <w:p w:rsidR="00995BE0" w:rsidRPr="00CB1CCD" w:rsidRDefault="00995BE0" w:rsidP="006D73EE">
                  <w:pPr>
                    <w:jc w:val="center"/>
                    <w:rPr>
                      <w:sz w:val="20"/>
                      <w:szCs w:val="20"/>
                    </w:rPr>
                  </w:pPr>
                  <w:r w:rsidRPr="00CB1CCD">
                    <w:rPr>
                      <w:sz w:val="20"/>
                      <w:szCs w:val="20"/>
                    </w:rPr>
                    <w:t>Strategiškai sutelkta sistema</w:t>
                  </w:r>
                </w:p>
              </w:txbxContent>
            </v:textbox>
          </v:oval>
        </w:pict>
      </w:r>
    </w:p>
    <w:p w:rsidR="00995BE0" w:rsidRPr="005065D3" w:rsidRDefault="00995BE0" w:rsidP="006D73EE">
      <w:pPr>
        <w:rPr>
          <w:b/>
        </w:rPr>
      </w:pPr>
    </w:p>
    <w:p w:rsidR="00995BE0" w:rsidRPr="005065D3" w:rsidRDefault="00CB16CF" w:rsidP="006D73EE">
      <w:pPr>
        <w:rPr>
          <w:b/>
        </w:rPr>
      </w:pPr>
      <w:r w:rsidRPr="00CB16CF">
        <w:rPr>
          <w:noProof/>
        </w:rPr>
        <w:pict>
          <v:oval id="_x0000_s1039" style="position:absolute;margin-left:225pt;margin-top:1.85pt;width:162.6pt;height:54pt;z-index:251628544">
            <v:textbox style="mso-next-textbox:#_x0000_s1039">
              <w:txbxContent>
                <w:p w:rsidR="00995BE0" w:rsidRPr="005065D3" w:rsidRDefault="00995BE0" w:rsidP="006D73EE">
                  <w:pPr>
                    <w:rPr>
                      <w:sz w:val="20"/>
                      <w:szCs w:val="20"/>
                    </w:rPr>
                  </w:pPr>
                  <w:r w:rsidRPr="005065D3">
                    <w:rPr>
                      <w:sz w:val="20"/>
                      <w:szCs w:val="20"/>
                    </w:rPr>
                    <w:t>Balanced Scorecards</w:t>
                  </w:r>
                  <w:r>
                    <w:rPr>
                      <w:sz w:val="20"/>
                      <w:szCs w:val="20"/>
                    </w:rPr>
                    <w:t xml:space="preserve"> (BSC)</w:t>
                  </w:r>
                  <w:r w:rsidRPr="005065D3">
                    <w:rPr>
                      <w:sz w:val="20"/>
                      <w:szCs w:val="20"/>
                    </w:rPr>
                    <w:t>*, strateginiai žemėlapiai</w:t>
                  </w:r>
                </w:p>
              </w:txbxContent>
            </v:textbox>
          </v:oval>
        </w:pict>
      </w:r>
    </w:p>
    <w:p w:rsidR="00995BE0" w:rsidRDefault="00CB16CF" w:rsidP="006D73EE">
      <w:r>
        <w:rPr>
          <w:noProof/>
        </w:rPr>
        <w:pict>
          <v:shape id="_x0000_s1040" type="#_x0000_t15" style="position:absolute;margin-left:42.75pt;margin-top:13.4pt;width:93.6pt;height:31.8pt;z-index:251617280">
            <v:textbox style="mso-next-textbox:#_x0000_s1040">
              <w:txbxContent>
                <w:p w:rsidR="00995BE0" w:rsidRPr="00103510" w:rsidRDefault="00995BE0" w:rsidP="006D73EE">
                  <w:pPr>
                    <w:rPr>
                      <w:sz w:val="20"/>
                      <w:szCs w:val="20"/>
                    </w:rPr>
                  </w:pPr>
                  <w:r w:rsidRPr="00103510">
                    <w:rPr>
                      <w:sz w:val="20"/>
                      <w:szCs w:val="20"/>
                    </w:rPr>
                    <w:t>Strategijos įgyvendinimas</w:t>
                  </w:r>
                </w:p>
              </w:txbxContent>
            </v:textbox>
          </v:shape>
        </w:pict>
      </w:r>
    </w:p>
    <w:p w:rsidR="00995BE0" w:rsidRDefault="00995BE0" w:rsidP="006D73EE"/>
    <w:p w:rsidR="00995BE0" w:rsidRDefault="00CB16CF" w:rsidP="006D73EE">
      <w:r>
        <w:rPr>
          <w:noProof/>
        </w:rPr>
        <w:pict>
          <v:shape id="_x0000_s1041" type="#_x0000_t79" style="position:absolute;margin-left:367.95pt;margin-top:.2pt;width:88.2pt;height:76.2pt;z-index:251631616">
            <v:textbox style="mso-next-textbox:#_x0000_s1041">
              <w:txbxContent>
                <w:p w:rsidR="00995BE0" w:rsidRPr="00CB1CCD" w:rsidRDefault="00995BE0" w:rsidP="006D73EE">
                  <w:pPr>
                    <w:jc w:val="center"/>
                    <w:rPr>
                      <w:sz w:val="20"/>
                      <w:szCs w:val="20"/>
                    </w:rPr>
                  </w:pPr>
                  <w:r w:rsidRPr="00CB1CCD">
                    <w:rPr>
                      <w:sz w:val="20"/>
                      <w:szCs w:val="20"/>
                    </w:rPr>
                    <w:t>Organizacijos lygiavimas link strategijos</w:t>
                  </w:r>
                </w:p>
              </w:txbxContent>
            </v:textbox>
          </v:shape>
        </w:pict>
      </w:r>
      <w:r>
        <w:rPr>
          <w:noProof/>
        </w:rPr>
        <w:pict>
          <v:shape id="_x0000_s1042" type="#_x0000_t79" style="position:absolute;margin-left:196.2pt;margin-top:.2pt;width:83.4pt;height:76.2pt;z-index:251629568">
            <v:textbox style="mso-next-textbox:#_x0000_s1042">
              <w:txbxContent>
                <w:p w:rsidR="00995BE0" w:rsidRDefault="00995BE0" w:rsidP="006D73EE">
                  <w:pPr>
                    <w:jc w:val="center"/>
                  </w:pPr>
                  <w:r w:rsidRPr="00CB1CCD">
                    <w:rPr>
                      <w:sz w:val="20"/>
                      <w:szCs w:val="20"/>
                    </w:rPr>
                    <w:t>P</w:t>
                  </w:r>
                  <w:r>
                    <w:rPr>
                      <w:sz w:val="20"/>
                      <w:szCs w:val="20"/>
                    </w:rPr>
                    <w:t>o</w:t>
                  </w:r>
                  <w:r w:rsidRPr="00CB1CCD">
                    <w:rPr>
                      <w:sz w:val="20"/>
                      <w:szCs w:val="20"/>
                    </w:rPr>
                    <w:t>kyčių mobilizavimas per valdančiuosius</w:t>
                  </w:r>
                </w:p>
              </w:txbxContent>
            </v:textbox>
          </v:shape>
        </w:pict>
      </w:r>
      <w:r>
        <w:rPr>
          <w:noProof/>
        </w:rPr>
        <w:pict>
          <v:shape id="_x0000_s1043" type="#_x0000_t79" style="position:absolute;margin-left:283.95pt;margin-top:.2pt;width:76.2pt;height:76.2pt;z-index:251630592">
            <v:textbox style="mso-next-textbox:#_x0000_s1043">
              <w:txbxContent>
                <w:p w:rsidR="00995BE0" w:rsidRPr="00CB1CCD" w:rsidRDefault="00995BE0" w:rsidP="006D73EE">
                  <w:pPr>
                    <w:jc w:val="center"/>
                    <w:rPr>
                      <w:sz w:val="20"/>
                      <w:szCs w:val="20"/>
                    </w:rPr>
                  </w:pPr>
                  <w:r w:rsidRPr="00CB1CCD">
                    <w:rPr>
                      <w:sz w:val="20"/>
                      <w:szCs w:val="20"/>
                    </w:rPr>
                    <w:t>Strategijos vertimas į vartojamus terminus</w:t>
                  </w:r>
                </w:p>
              </w:txbxContent>
            </v:textbox>
          </v:shape>
        </w:pict>
      </w:r>
    </w:p>
    <w:p w:rsidR="00995BE0" w:rsidRDefault="00995BE0" w:rsidP="006D73EE"/>
    <w:p w:rsidR="00995BE0" w:rsidRDefault="00995BE0" w:rsidP="006D73EE"/>
    <w:p w:rsidR="00995BE0" w:rsidRDefault="00995BE0" w:rsidP="006D73EE"/>
    <w:p w:rsidR="00995BE0" w:rsidRDefault="00995BE0" w:rsidP="006D73EE"/>
    <w:p w:rsidR="00995BE0" w:rsidRDefault="00995BE0" w:rsidP="006D73EE"/>
    <w:p w:rsidR="00995BE0" w:rsidRDefault="00995BE0" w:rsidP="006D73EE">
      <w:pPr>
        <w:tabs>
          <w:tab w:val="left" w:pos="5988"/>
          <w:tab w:val="left" w:pos="7584"/>
        </w:tabs>
      </w:pPr>
      <w:r>
        <w:tab/>
      </w:r>
      <w:r>
        <w:tab/>
      </w:r>
    </w:p>
    <w:p w:rsidR="00995BE0" w:rsidRDefault="00995BE0" w:rsidP="006D73EE"/>
    <w:p w:rsidR="00995BE0" w:rsidRDefault="00CB16CF" w:rsidP="006D73EE">
      <w:r>
        <w:rPr>
          <w:noProof/>
        </w:rPr>
        <w:pict>
          <v:oval id="_x0000_s1044" style="position:absolute;margin-left:252pt;margin-top:7.85pt;width:100.8pt;height:46.8pt;z-index:251634688">
            <v:textbox style="mso-next-textbox:#_x0000_s1044">
              <w:txbxContent>
                <w:p w:rsidR="00995BE0" w:rsidRPr="000E028F" w:rsidRDefault="00995BE0" w:rsidP="006D73EE">
                  <w:pPr>
                    <w:jc w:val="center"/>
                    <w:rPr>
                      <w:sz w:val="20"/>
                      <w:szCs w:val="20"/>
                    </w:rPr>
                  </w:pPr>
                  <w:r w:rsidRPr="000E028F">
                    <w:rPr>
                      <w:sz w:val="20"/>
                      <w:szCs w:val="20"/>
                    </w:rPr>
                    <w:t>Tiekėjai</w:t>
                  </w:r>
                </w:p>
              </w:txbxContent>
            </v:textbox>
          </v:oval>
        </w:pict>
      </w:r>
      <w:r>
        <w:rPr>
          <w:noProof/>
        </w:rPr>
        <w:pict>
          <v:oval id="_x0000_s1045" style="position:absolute;margin-left:36pt;margin-top:7.85pt;width:85.2pt;height:42pt;z-index:251633664">
            <v:textbox style="mso-next-textbox:#_x0000_s1045">
              <w:txbxContent>
                <w:p w:rsidR="00995BE0" w:rsidRPr="000E028F" w:rsidRDefault="00995BE0" w:rsidP="006D73EE">
                  <w:pPr>
                    <w:jc w:val="center"/>
                    <w:rPr>
                      <w:sz w:val="20"/>
                      <w:szCs w:val="20"/>
                    </w:rPr>
                  </w:pPr>
                  <w:r w:rsidRPr="000E028F">
                    <w:rPr>
                      <w:sz w:val="20"/>
                      <w:szCs w:val="20"/>
                    </w:rPr>
                    <w:t>Vartotojai</w:t>
                  </w:r>
                </w:p>
              </w:txbxContent>
            </v:textbox>
          </v:oval>
        </w:pict>
      </w:r>
      <w:r>
        <w:rPr>
          <w:noProof/>
        </w:rPr>
        <w:pict>
          <v:roundrect id="_x0000_s1046" style="position:absolute;margin-left:108pt;margin-top:7.85pt;width:173.4pt;height:46.2pt;z-index:251632640" arcsize="10923f">
            <v:textbox style="mso-next-textbox:#_x0000_s1046">
              <w:txbxContent>
                <w:p w:rsidR="00995BE0" w:rsidRPr="000E028F" w:rsidRDefault="00995BE0" w:rsidP="006D73EE">
                  <w:pPr>
                    <w:jc w:val="center"/>
                    <w:rPr>
                      <w:sz w:val="20"/>
                      <w:szCs w:val="20"/>
                    </w:rPr>
                  </w:pPr>
                  <w:r w:rsidRPr="000E028F">
                    <w:rPr>
                      <w:sz w:val="20"/>
                      <w:szCs w:val="20"/>
                    </w:rPr>
                    <w:t>Naujos strategijos rezultatai</w:t>
                  </w:r>
                </w:p>
              </w:txbxContent>
            </v:textbox>
          </v:roundrect>
        </w:pict>
      </w:r>
    </w:p>
    <w:p w:rsidR="00995BE0" w:rsidRDefault="00995BE0" w:rsidP="006D73EE"/>
    <w:p w:rsidR="00995BE0" w:rsidRDefault="00995BE0" w:rsidP="006D73EE"/>
    <w:p w:rsidR="00995BE0" w:rsidRDefault="00995BE0" w:rsidP="006D73EE"/>
    <w:p w:rsidR="00995BE0" w:rsidRDefault="00995BE0" w:rsidP="006D73EE"/>
    <w:p w:rsidR="00995BE0" w:rsidRPr="0043073E" w:rsidRDefault="00995BE0" w:rsidP="006D73EE">
      <w:pPr>
        <w:spacing w:after="100" w:afterAutospacing="1"/>
        <w:jc w:val="center"/>
        <w:rPr>
          <w:b/>
        </w:rPr>
      </w:pPr>
      <w:r w:rsidRPr="00424E7E">
        <w:rPr>
          <w:b/>
          <w:sz w:val="22"/>
          <w:szCs w:val="22"/>
        </w:rPr>
        <w:t>4 p</w:t>
      </w:r>
      <w:r w:rsidRPr="00256CDC">
        <w:rPr>
          <w:b/>
          <w:sz w:val="22"/>
          <w:szCs w:val="22"/>
        </w:rPr>
        <w:t>av</w:t>
      </w:r>
      <w:r w:rsidRPr="0043073E">
        <w:rPr>
          <w:b/>
        </w:rPr>
        <w:t xml:space="preserve">. </w:t>
      </w:r>
      <w:r w:rsidRPr="00256CDC">
        <w:rPr>
          <w:sz w:val="22"/>
          <w:szCs w:val="22"/>
        </w:rPr>
        <w:t>Lietuvos sveikatos apsaugos sistemos strateginio valdymo modelis</w:t>
      </w:r>
    </w:p>
    <w:p w:rsidR="00995BE0" w:rsidRDefault="00995BE0" w:rsidP="006D73EE">
      <w:pPr>
        <w:autoSpaceDE w:val="0"/>
        <w:autoSpaceDN w:val="0"/>
        <w:adjustRightInd w:val="0"/>
        <w:spacing w:after="100" w:afterAutospacing="1"/>
        <w:jc w:val="center"/>
        <w:rPr>
          <w:sz w:val="20"/>
          <w:szCs w:val="20"/>
        </w:rPr>
      </w:pPr>
      <w:r>
        <w:rPr>
          <w:sz w:val="20"/>
          <w:szCs w:val="20"/>
        </w:rPr>
        <w:t>S</w:t>
      </w:r>
      <w:r w:rsidRPr="00CB1CCD">
        <w:rPr>
          <w:sz w:val="20"/>
          <w:szCs w:val="20"/>
        </w:rPr>
        <w:t xml:space="preserve">udaryta autoriaus, remiantis </w:t>
      </w:r>
      <w:r>
        <w:rPr>
          <w:sz w:val="20"/>
          <w:szCs w:val="20"/>
        </w:rPr>
        <w:t>š</w:t>
      </w:r>
      <w:r w:rsidRPr="00CB1CCD">
        <w:rPr>
          <w:sz w:val="20"/>
          <w:szCs w:val="20"/>
        </w:rPr>
        <w:t>altini</w:t>
      </w:r>
      <w:r>
        <w:rPr>
          <w:sz w:val="20"/>
          <w:szCs w:val="20"/>
        </w:rPr>
        <w:t>u</w:t>
      </w:r>
      <w:r w:rsidRPr="00CB1CCD">
        <w:rPr>
          <w:sz w:val="20"/>
          <w:szCs w:val="20"/>
        </w:rPr>
        <w:t>:</w:t>
      </w:r>
      <w:r>
        <w:rPr>
          <w:sz w:val="20"/>
          <w:szCs w:val="20"/>
        </w:rPr>
        <w:t xml:space="preserve"> </w:t>
      </w:r>
      <w:r w:rsidRPr="00CB1CCD">
        <w:rPr>
          <w:sz w:val="20"/>
          <w:szCs w:val="20"/>
        </w:rPr>
        <w:t xml:space="preserve">Smilga, E., Janušonienė, K. (2009). The Process of Strategic Management Model Formation and Application in The Lithuanian Health Care System. Ekonomika. [Interaktyvus] [žiūrėta 2011-02-14]. Prieiga per internetą: </w:t>
      </w:r>
      <w:hyperlink r:id="rId24" w:history="1">
        <w:r w:rsidRPr="00CB1CCD">
          <w:rPr>
            <w:rStyle w:val="Hipersaitas"/>
            <w:sz w:val="20"/>
            <w:szCs w:val="20"/>
          </w:rPr>
          <w:t>http://www.leidykla.vu.lt/fileadmin/Ekonomika/87/124-140.pdf</w:t>
        </w:r>
      </w:hyperlink>
    </w:p>
    <w:p w:rsidR="00995BE0" w:rsidRDefault="00995BE0" w:rsidP="006D73EE">
      <w:pPr>
        <w:autoSpaceDE w:val="0"/>
        <w:autoSpaceDN w:val="0"/>
        <w:adjustRightInd w:val="0"/>
        <w:spacing w:after="100" w:afterAutospacing="1"/>
        <w:jc w:val="center"/>
        <w:rPr>
          <w:sz w:val="20"/>
          <w:szCs w:val="20"/>
        </w:rPr>
      </w:pPr>
      <w:r>
        <w:rPr>
          <w:sz w:val="20"/>
          <w:szCs w:val="20"/>
        </w:rPr>
        <w:t>(</w:t>
      </w:r>
      <w:r w:rsidRPr="000E028F">
        <w:rPr>
          <w:sz w:val="20"/>
          <w:szCs w:val="20"/>
        </w:rPr>
        <w:t xml:space="preserve">* </w:t>
      </w:r>
      <w:r>
        <w:rPr>
          <w:sz w:val="20"/>
          <w:szCs w:val="20"/>
        </w:rPr>
        <w:t xml:space="preserve"> </w:t>
      </w:r>
      <w:r w:rsidRPr="000E028F">
        <w:rPr>
          <w:sz w:val="20"/>
          <w:szCs w:val="20"/>
        </w:rPr>
        <w:t>Klasikinis angliškas pavadinimas "Balanced Scorecard" ne angliškai kalbančiose šalyse įgavo pavadinimus "subalansuotų efektyvumo rodiklių sistema" ir "vertinimo rodiklių sistema". Abu pavadinimai yra gana gremėzdiški, be to jie nėra adekvatūs termino "Balanced Scorecard" vertimai, todėl siūloma vartoti originalią transkripciją — "Balanced Scorecard"</w:t>
      </w:r>
      <w:r>
        <w:rPr>
          <w:sz w:val="20"/>
          <w:szCs w:val="20"/>
        </w:rPr>
        <w:t>)</w:t>
      </w:r>
    </w:p>
    <w:p w:rsidR="00995BE0" w:rsidRPr="000E028F" w:rsidRDefault="00995BE0" w:rsidP="006D73EE">
      <w:pPr>
        <w:autoSpaceDE w:val="0"/>
        <w:autoSpaceDN w:val="0"/>
        <w:adjustRightInd w:val="0"/>
        <w:spacing w:after="100" w:afterAutospacing="1"/>
        <w:jc w:val="center"/>
        <w:rPr>
          <w:sz w:val="20"/>
          <w:szCs w:val="20"/>
        </w:rPr>
      </w:pPr>
    </w:p>
    <w:p w:rsidR="00995BE0" w:rsidRPr="008973C6" w:rsidRDefault="00995BE0" w:rsidP="006D73EE">
      <w:pPr>
        <w:spacing w:line="360" w:lineRule="auto"/>
        <w:ind w:firstLine="540"/>
        <w:jc w:val="both"/>
      </w:pPr>
      <w:r w:rsidRPr="008973C6">
        <w:lastRenderedPageBreak/>
        <w:t>Strategiškai sutelkta organizacija yra suformuota, kai visos organizacijos dalys susitelkia ties strateginiais prioritetais, kurie yra nurodyti strateginiuose žemėlapiuose ir koreliuoja su atitinkamų organizacijų BSC ar jų skyriais. Tada būtinos sąlygos, reikalingos strateginiui valdymui integruotis į visą sveikatos priežiūros sistemą, kyla. Strategiškai sutelktos Lietuvos sveikatos priežiūros sistemos sukūrimas padėtų pasiekti bendrų veiklos rezultatų, kai sistema savarankiškai pasiekia daugiau, negu jos atskiros dalys apskritai. Labai svarbu surinkti plano kūrimo specialistų komandą, t.y. strateginį skyrių, kuris sugebėtų sėkmingai įgyvendinti ir pritaikyti suplanuotų scenarijų per Lietuvos sveikatos priežiūros sistemos strateginio valdymo modelio sudarymo procesą.</w:t>
      </w:r>
    </w:p>
    <w:p w:rsidR="00995BE0" w:rsidRDefault="00995BE0" w:rsidP="000975F7">
      <w:pPr>
        <w:pStyle w:val="prastasistinklapis"/>
        <w:spacing w:before="0" w:beforeAutospacing="0" w:after="0" w:afterAutospacing="0" w:line="360" w:lineRule="auto"/>
        <w:ind w:firstLine="567"/>
        <w:jc w:val="both"/>
      </w:pPr>
      <w:r>
        <w:t xml:space="preserve">Autoriai rekomenduojama formuoti Lietuvos sveikatos apsaugos strateginį valdymą remiantis šiais žingsniais: </w:t>
      </w:r>
      <w:r w:rsidRPr="00AD2CFA">
        <w:t>pak</w:t>
      </w:r>
      <w:r>
        <w:t>yčių</w:t>
      </w:r>
      <w:r w:rsidRPr="00AD2CFA">
        <w:t xml:space="preserve"> mobilizacija per vykdomąjį vadovavimą</w:t>
      </w:r>
      <w:r>
        <w:t>, strateginių terminų išvertimas į operacinius terminus ir organizacijos lygiavimas į strategiją. Pagrindinis vaidmuo pritaikant strateginį valdymą Lietuvos sveikatos sistemoje – vaidmenų sukūrimas. Labai svarbu surinkti specialistus, kurie gebėtų sukurti vaidmenis, t.y. strateginį departamentą, kuris gebėtų sėkmingai pritaikyti planuojamų scenarijų metodus formuojant strateginį valdymo modelį sveikatos apsaugoje.</w:t>
      </w:r>
    </w:p>
    <w:p w:rsidR="00995BE0" w:rsidRPr="00E75817" w:rsidRDefault="00995BE0" w:rsidP="000975F7">
      <w:pPr>
        <w:pStyle w:val="prastasistinklapis"/>
        <w:spacing w:before="0" w:beforeAutospacing="0" w:after="0" w:afterAutospacing="0" w:line="360" w:lineRule="auto"/>
        <w:ind w:firstLine="567"/>
        <w:jc w:val="both"/>
      </w:pPr>
      <w:r w:rsidRPr="00E75817">
        <w:t>Investicija į sveikatą yra investicija į šalies pažangos dabartį ir ateitį. Ši investicija nėra vien finansai, bet visų pirma šalies politinis įsipareigojimas visą valstybės socialinės struktūros sistemą, t. y. visų visuomenės socialinės-ekonominės veiklos sektorių veiklą orientuoti į sveikatos saugą, jos stiprinimą, ligų prevenciją. Tada sveikatos sektoriui atsiras daugiau galimybių atlikti savo tiesiogines pareigas bei prigimtines funkcijas (Jurgutis, 2009).</w:t>
      </w:r>
      <w:r w:rsidRPr="00491D19">
        <w:rPr>
          <w:color w:val="FF0000"/>
        </w:rPr>
        <w:t xml:space="preserve"> </w:t>
      </w:r>
    </w:p>
    <w:p w:rsidR="00995BE0" w:rsidRPr="00F23487" w:rsidRDefault="00995BE0" w:rsidP="00965A99">
      <w:pPr>
        <w:autoSpaceDE w:val="0"/>
        <w:autoSpaceDN w:val="0"/>
        <w:adjustRightInd w:val="0"/>
        <w:spacing w:line="360" w:lineRule="auto"/>
        <w:ind w:firstLine="600"/>
        <w:jc w:val="both"/>
        <w:rPr>
          <w:bCs/>
          <w:iCs/>
        </w:rPr>
      </w:pPr>
      <w:r>
        <w:t>Suvokimas, kas efektyvų sistemos darbą lemia ne finansavimas, o veiksmingas sistemos strateginis valdymas, gali padėti įvertinti sveikatos apsaugos sistemos realijas ir galimybes (Smilga, Janušonienė</w:t>
      </w:r>
      <w:r w:rsidRPr="00C87824">
        <w:t>, 2006</w:t>
      </w:r>
      <w:r>
        <w:t>, 2007). Savo straipsnyje autoriai teigia, kad nors mūsų šalyje yra pakankamai labai gerai parengtų medikų, kurių kvalifikacija pripažįstama užsienio valstybėse, tačiau jų potencialas, gydymo, profilaktikos ir reabilitacijos procesai yra nepakankamai efektyvūs. O viso šito problema tai, kad trūksta šiuolaikinės vadybos, kuri pirmiausia tai strateginis valdymas ir planavimas. Nesant strateginio atitikimo tarp įvairių sveikatos institucijų, visa sistema funkcionuoja neefektyviai ir dažniausiai nepasiekia užsibrėžtų tikslų.</w:t>
      </w:r>
    </w:p>
    <w:p w:rsidR="00995BE0" w:rsidRPr="005F5B41" w:rsidRDefault="00995BE0" w:rsidP="003F6A9E">
      <w:pPr>
        <w:spacing w:line="360" w:lineRule="auto"/>
        <w:ind w:firstLine="567"/>
        <w:jc w:val="both"/>
      </w:pPr>
      <w:bookmarkStart w:id="35" w:name="_Toc293039975"/>
      <w:bookmarkStart w:id="36" w:name="_Toc285659289"/>
      <w:bookmarkStart w:id="37" w:name="_Toc285660850"/>
      <w:r w:rsidRPr="005F5B41">
        <w:t>Norint pagerinti esamą sveikatingumą, sveikatos rezultatų įvertinimas turėtų tapti siektinu standartu tiek privačiam, tiek viešajam sveikatos apsaugos sektoriams. Dažnai šie duomenys renkami be specialaus tikslo, todėl svarbu kurti duomenų sistemas – galutinę</w:t>
      </w:r>
      <w:r>
        <w:t xml:space="preserve"> sveikatos re</w:t>
      </w:r>
      <w:r w:rsidRPr="005F5B41">
        <w:t>zultatų statistiką. Valstybė ir apskritys renka mirtingumo, sergamumo ir invalidumo duomenis, bet kol sveikatos apsaugos sistema tiesiogiai neatsakinga už paciento priežiūrą ir finansavimą, ryšys tarp rezultato, struktūros ir proceso nėra glaudus.</w:t>
      </w:r>
      <w:bookmarkEnd w:id="35"/>
    </w:p>
    <w:p w:rsidR="00995BE0" w:rsidRDefault="00995BE0" w:rsidP="00990CCD">
      <w:pPr>
        <w:rPr>
          <w:lang w:eastAsia="ar-SA"/>
        </w:rPr>
      </w:pPr>
    </w:p>
    <w:p w:rsidR="00995BE0" w:rsidRDefault="00995BE0" w:rsidP="00990CCD">
      <w:pPr>
        <w:rPr>
          <w:lang w:eastAsia="ar-SA"/>
        </w:rPr>
      </w:pPr>
    </w:p>
    <w:p w:rsidR="00995BE0" w:rsidRDefault="00995BE0" w:rsidP="00990CCD">
      <w:pPr>
        <w:rPr>
          <w:lang w:eastAsia="ar-SA"/>
        </w:rPr>
      </w:pPr>
    </w:p>
    <w:p w:rsidR="00995BE0" w:rsidRDefault="00995BE0" w:rsidP="00BB26D8">
      <w:pPr>
        <w:pStyle w:val="Antrat1"/>
        <w:spacing w:line="240" w:lineRule="auto"/>
      </w:pPr>
      <w:bookmarkStart w:id="38" w:name="_Toc293248623"/>
      <w:r>
        <w:lastRenderedPageBreak/>
        <w:t>2. ŠIAULIŲ MIESTO SAVIVALDYBĖS VISUOMENĖS SVEIKATOS BIURO VEIKLOS ANALIZĖ IR JO VEIKLOS PRIORITETAI</w:t>
      </w:r>
      <w:bookmarkEnd w:id="38"/>
    </w:p>
    <w:p w:rsidR="00995BE0" w:rsidRPr="006D2D5E" w:rsidRDefault="00995BE0" w:rsidP="00BB26D8">
      <w:pPr>
        <w:pStyle w:val="Antrat2"/>
        <w:spacing w:before="0" w:after="0"/>
        <w:rPr>
          <w:sz w:val="28"/>
          <w:szCs w:val="28"/>
          <w:lang w:val="lt-LT"/>
        </w:rPr>
      </w:pPr>
    </w:p>
    <w:p w:rsidR="00995BE0" w:rsidRPr="006D2D5E" w:rsidRDefault="00995BE0" w:rsidP="00BB26D8">
      <w:pPr>
        <w:pStyle w:val="Antrat2"/>
        <w:spacing w:before="0" w:after="0"/>
        <w:rPr>
          <w:sz w:val="28"/>
          <w:szCs w:val="28"/>
          <w:lang w:val="lt-LT"/>
        </w:rPr>
      </w:pPr>
      <w:bookmarkStart w:id="39" w:name="_Toc293248624"/>
      <w:r w:rsidRPr="006D2D5E">
        <w:rPr>
          <w:sz w:val="28"/>
          <w:szCs w:val="28"/>
          <w:lang w:val="lt-LT"/>
        </w:rPr>
        <w:t xml:space="preserve">2.1 </w:t>
      </w:r>
      <w:r w:rsidRPr="00BB26D8">
        <w:rPr>
          <w:sz w:val="28"/>
          <w:szCs w:val="28"/>
          <w:lang w:val="lt-LT"/>
        </w:rPr>
        <w:t>Tyrimo metodika</w:t>
      </w:r>
      <w:bookmarkEnd w:id="39"/>
    </w:p>
    <w:p w:rsidR="00995BE0" w:rsidRPr="006D2D5E" w:rsidRDefault="00995BE0" w:rsidP="00BB26D8">
      <w:pPr>
        <w:pStyle w:val="Antrat3"/>
        <w:spacing w:before="0" w:after="0"/>
      </w:pPr>
      <w:bookmarkStart w:id="40" w:name="_Toc293248625"/>
      <w:r w:rsidRPr="006D2D5E">
        <w:t>2.1.1 Teoriniai šaltiniai</w:t>
      </w:r>
      <w:bookmarkEnd w:id="40"/>
    </w:p>
    <w:p w:rsidR="00995BE0" w:rsidRDefault="00995BE0" w:rsidP="008F73A0">
      <w:pPr>
        <w:spacing w:line="360" w:lineRule="auto"/>
        <w:ind w:firstLine="567"/>
        <w:jc w:val="both"/>
        <w:rPr>
          <w:color w:val="FF0000"/>
        </w:rPr>
      </w:pPr>
      <w:r w:rsidRPr="006D2D5E">
        <w:t>Išnagrinėti pagrindiniai teoriniai šaltiniai</w:t>
      </w:r>
      <w:r>
        <w:t xml:space="preserve"> </w:t>
      </w:r>
      <w:r w:rsidRPr="00323299">
        <w:t>apie strateginį valdymą ir jo taikymą viešojo sektoriaus organizacijose, nustatytinę strateginio valdymo metodologiją, Lietuvos sveikatos politikos pokyčius.</w:t>
      </w:r>
      <w:r w:rsidRPr="006D2D5E">
        <w:t xml:space="preserve"> </w:t>
      </w:r>
      <w:r>
        <w:t xml:space="preserve">Pateiktas galimas strateginio valdymo pritaikymas Lietuvos sveiktos apsaugos sistemoje. </w:t>
      </w:r>
      <w:r w:rsidRPr="006D2D5E">
        <w:t>Analizuojant strateginio valdymo taikymą viešajame sektoriu</w:t>
      </w:r>
      <w:r>
        <w:t>j</w:t>
      </w:r>
      <w:r w:rsidRPr="006D2D5E">
        <w:t xml:space="preserve">e naudoti </w:t>
      </w:r>
      <w:r>
        <w:t xml:space="preserve">J. </w:t>
      </w:r>
      <w:r w:rsidRPr="006D2D5E">
        <w:t>Staponkienės (2004),</w:t>
      </w:r>
      <w:r>
        <w:t xml:space="preserve"> J. E.</w:t>
      </w:r>
      <w:r w:rsidRPr="006D2D5E">
        <w:t xml:space="preserve"> Lane (2001), </w:t>
      </w:r>
      <w:r>
        <w:t xml:space="preserve">G. A. </w:t>
      </w:r>
      <w:r w:rsidRPr="006D2D5E">
        <w:t xml:space="preserve">Boyne ir kt. (2003), </w:t>
      </w:r>
      <w:r>
        <w:t xml:space="preserve">C. </w:t>
      </w:r>
      <w:r w:rsidRPr="006D2D5E">
        <w:t>Pollitt,</w:t>
      </w:r>
      <w:r>
        <w:t xml:space="preserve"> G.</w:t>
      </w:r>
      <w:r w:rsidRPr="006D2D5E">
        <w:t xml:space="preserve"> Bouckaert (20</w:t>
      </w:r>
      <w:r>
        <w:t>00) bei W. Parsons (2001) šaltiniai.</w:t>
      </w:r>
      <w:r w:rsidRPr="006D2D5E">
        <w:t xml:space="preserve"> </w:t>
      </w:r>
      <w:r>
        <w:t>N</w:t>
      </w:r>
      <w:r w:rsidRPr="006D2D5E">
        <w:t>ustatytin</w:t>
      </w:r>
      <w:r>
        <w:t>ės</w:t>
      </w:r>
      <w:r w:rsidRPr="006D2D5E">
        <w:t xml:space="preserve"> strateginio valdymo metodologij</w:t>
      </w:r>
      <w:r>
        <w:t>os</w:t>
      </w:r>
      <w:r w:rsidRPr="006D2D5E">
        <w:t xml:space="preserve"> </w:t>
      </w:r>
      <w:r>
        <w:t xml:space="preserve">tinkamumui viešajame sektoriuje </w:t>
      </w:r>
      <w:r w:rsidRPr="006D2D5E">
        <w:t xml:space="preserve">pagrįsti remtasi </w:t>
      </w:r>
      <w:r>
        <w:t xml:space="preserve">J. </w:t>
      </w:r>
      <w:r w:rsidRPr="006D2D5E">
        <w:t xml:space="preserve">Bivainio, </w:t>
      </w:r>
      <w:r>
        <w:t xml:space="preserve">Ž. </w:t>
      </w:r>
      <w:r w:rsidRPr="006D2D5E">
        <w:t xml:space="preserve">Tunčikienės (2006, 2009), </w:t>
      </w:r>
      <w:r>
        <w:t xml:space="preserve">L. </w:t>
      </w:r>
      <w:r w:rsidRPr="006D2D5E">
        <w:t>Worrall</w:t>
      </w:r>
      <w:r>
        <w:t xml:space="preserve"> ir kt.</w:t>
      </w:r>
      <w:r w:rsidRPr="006D2D5E">
        <w:t xml:space="preserve"> (1998),</w:t>
      </w:r>
      <w:r>
        <w:t xml:space="preserve"> M.</w:t>
      </w:r>
      <w:r w:rsidRPr="006D2D5E">
        <w:t xml:space="preserve"> Mchugh (1997) šaltiniais. </w:t>
      </w:r>
      <w:r>
        <w:t xml:space="preserve">Vertinant </w:t>
      </w:r>
      <w:r w:rsidRPr="00A02742">
        <w:t xml:space="preserve">Lietuvos sveikatos politikos pokyčius ir pirminės sveikatos priežiūros svarbą naudotasi </w:t>
      </w:r>
      <w:r>
        <w:t xml:space="preserve">V. </w:t>
      </w:r>
      <w:r w:rsidRPr="00A02742">
        <w:t>Grabausko (1997, 2004),</w:t>
      </w:r>
      <w:r>
        <w:t xml:space="preserve"> R.</w:t>
      </w:r>
      <w:r w:rsidRPr="00A02742">
        <w:t xml:space="preserve"> Kalėdienės (2004, 2010) šaltiniais, jos svarba išdėstyta leidinyje “Primary Health Care – Now more than ever“ (2008).</w:t>
      </w:r>
      <w:r w:rsidRPr="00A02742">
        <w:rPr>
          <w:sz w:val="22"/>
          <w:szCs w:val="22"/>
        </w:rPr>
        <w:t xml:space="preserve"> Siekiant pateikti s</w:t>
      </w:r>
      <w:r w:rsidRPr="00A02742">
        <w:t xml:space="preserve">trateginio valdymo taikymą Lietuvos sveikatos apsaugos sistemoje naudoti </w:t>
      </w:r>
      <w:r>
        <w:t xml:space="preserve">E. </w:t>
      </w:r>
      <w:r w:rsidRPr="00A02742">
        <w:t>Smilgos,</w:t>
      </w:r>
      <w:r>
        <w:t xml:space="preserve"> K.</w:t>
      </w:r>
      <w:r w:rsidRPr="00A02742">
        <w:t xml:space="preserve"> Janušonienės (2003, 2005, 2006, 2007, 2009), </w:t>
      </w:r>
      <w:r>
        <w:t xml:space="preserve">E. </w:t>
      </w:r>
      <w:r w:rsidRPr="00A02742">
        <w:t>Smilgos ir</w:t>
      </w:r>
      <w:r>
        <w:t xml:space="preserve"> A.</w:t>
      </w:r>
      <w:r w:rsidRPr="00A02742">
        <w:t xml:space="preserve"> Grebliausko (2000),</w:t>
      </w:r>
      <w:r>
        <w:t xml:space="preserve"> C. A.</w:t>
      </w:r>
      <w:r w:rsidRPr="00A02742">
        <w:t xml:space="preserve"> Enz (2010) moksliniais šaltiniais.</w:t>
      </w:r>
      <w:r w:rsidRPr="008F73A0">
        <w:rPr>
          <w:color w:val="FF0000"/>
        </w:rPr>
        <w:t xml:space="preserve"> </w:t>
      </w:r>
    </w:p>
    <w:p w:rsidR="00995BE0" w:rsidRPr="008F73A0" w:rsidRDefault="00995BE0" w:rsidP="008F73A0">
      <w:pPr>
        <w:spacing w:line="360" w:lineRule="auto"/>
        <w:ind w:firstLine="567"/>
        <w:jc w:val="both"/>
        <w:rPr>
          <w:color w:val="FF0000"/>
        </w:rPr>
      </w:pPr>
    </w:p>
    <w:p w:rsidR="00995BE0" w:rsidRPr="009D595E" w:rsidRDefault="00995BE0" w:rsidP="004F494E">
      <w:pPr>
        <w:pStyle w:val="Antrat3"/>
        <w:rPr>
          <w:color w:val="FF0000"/>
          <w:lang w:eastAsia="ar-SA"/>
        </w:rPr>
      </w:pPr>
      <w:bookmarkStart w:id="41" w:name="_Toc293248626"/>
      <w:r w:rsidRPr="009E1728">
        <w:rPr>
          <w:lang w:eastAsia="ar-SA"/>
        </w:rPr>
        <w:t xml:space="preserve">2.1.2 </w:t>
      </w:r>
      <w:r w:rsidRPr="00A02742">
        <w:rPr>
          <w:lang w:eastAsia="ar-SA"/>
        </w:rPr>
        <w:t>Teisinė bazė</w:t>
      </w:r>
      <w:bookmarkEnd w:id="41"/>
    </w:p>
    <w:p w:rsidR="00995BE0" w:rsidRDefault="00995BE0" w:rsidP="004F494E">
      <w:pPr>
        <w:spacing w:line="360" w:lineRule="auto"/>
        <w:ind w:firstLine="567"/>
        <w:jc w:val="both"/>
        <w:rPr>
          <w:lang w:eastAsia="ar-SA"/>
        </w:rPr>
      </w:pPr>
      <w:r w:rsidRPr="004F494E">
        <w:rPr>
          <w:lang w:eastAsia="ar-SA"/>
        </w:rPr>
        <w:t xml:space="preserve">Atliekant </w:t>
      </w:r>
      <w:r>
        <w:rPr>
          <w:lang w:eastAsia="ar-SA"/>
        </w:rPr>
        <w:t xml:space="preserve">Šiaulių VS biuro vidinių veiksnių </w:t>
      </w:r>
      <w:r w:rsidRPr="004F494E">
        <w:rPr>
          <w:lang w:eastAsia="ar-SA"/>
        </w:rPr>
        <w:t xml:space="preserve">analizę, buvo išnagrinėti pagrindiniai </w:t>
      </w:r>
      <w:r>
        <w:rPr>
          <w:lang w:eastAsia="ar-SA"/>
        </w:rPr>
        <w:t>teisiniai dokumentai, kurie reglamentuoja visuomenės sveikatą tarptautiniu, nacionaliniu bei vietiniu lygiu. Apžvelgtos pagrindinės ES strategijos, nubrėžiančios kryptį, įgyvendinant sveikatos politiką. ES visuomenės sveikatos strategines kryptis nurodo 2003-2008 m. ES visuomenės sveikatos programa bei Antroji Europos Bendrijos visuomenės sveikatos veiksmų programa 2008-2013 m. Lietuvoje pagrindus formuotis visuomenės sveikatai padėjo Sveikatos sistemos įstatymas, LR visuomenės sveikatos priežiūros įstatymas. Paminėtina ir Lietuvos sveikatos programa 1997-2010, Lietuvos Nacionalinė visuomenės sveikatos priežiūros strategija 2006-2013 m. Lietuvoje teisinė visuomenės sveikatos reglamentacija yra pakankamai plati, todėl darbe apibendrinami tik pagrindiniai dokumentai.</w:t>
      </w:r>
    </w:p>
    <w:p w:rsidR="00995BE0" w:rsidRPr="004F494E" w:rsidRDefault="00995BE0" w:rsidP="004F494E">
      <w:pPr>
        <w:spacing w:line="360" w:lineRule="auto"/>
        <w:ind w:firstLine="567"/>
        <w:jc w:val="both"/>
        <w:rPr>
          <w:lang w:eastAsia="ar-SA"/>
        </w:rPr>
      </w:pPr>
    </w:p>
    <w:p w:rsidR="00995BE0" w:rsidRPr="009D595E" w:rsidRDefault="00995BE0" w:rsidP="004F494E">
      <w:pPr>
        <w:pStyle w:val="Antrat3"/>
        <w:rPr>
          <w:color w:val="FF0000"/>
          <w:lang w:eastAsia="ar-SA"/>
        </w:rPr>
      </w:pPr>
      <w:bookmarkStart w:id="42" w:name="_Toc293248627"/>
      <w:r w:rsidRPr="009E1728">
        <w:rPr>
          <w:lang w:eastAsia="ar-SA"/>
        </w:rPr>
        <w:t xml:space="preserve">2.1.3 </w:t>
      </w:r>
      <w:r w:rsidRPr="00417492">
        <w:rPr>
          <w:lang w:eastAsia="ar-SA"/>
        </w:rPr>
        <w:t>Statistika</w:t>
      </w:r>
      <w:bookmarkEnd w:id="42"/>
    </w:p>
    <w:p w:rsidR="00995BE0" w:rsidRDefault="00995BE0" w:rsidP="004F494E">
      <w:pPr>
        <w:spacing w:line="360" w:lineRule="auto"/>
        <w:ind w:firstLine="567"/>
        <w:jc w:val="both"/>
        <w:rPr>
          <w:lang w:eastAsia="ar-SA"/>
        </w:rPr>
      </w:pPr>
      <w:r w:rsidRPr="009E1728">
        <w:rPr>
          <w:lang w:eastAsia="ar-SA"/>
        </w:rPr>
        <w:t xml:space="preserve">Norint pateikti Šiaulių miesto visuomenės sveikatos būklę, būtini statistiniai sveikatos rodiklių analizė. Pagrindiniai šiame darbe naudojami statistikos šaltiniai yra Statistikos departamentas prie Lietuvos Respublikos Vyriausybės, Higienos instituto sveikatos informacijos </w:t>
      </w:r>
      <w:r w:rsidRPr="009E1728">
        <w:rPr>
          <w:lang w:eastAsia="ar-SA"/>
        </w:rPr>
        <w:lastRenderedPageBreak/>
        <w:t>centras. Didelę dalis statistinių rodiklių Šiaulių miesto VS biuras gauna bendradarbiavimo sutarčių pagrindu</w:t>
      </w:r>
      <w:r>
        <w:rPr>
          <w:lang w:eastAsia="ar-SA"/>
        </w:rPr>
        <w:t>.</w:t>
      </w:r>
      <w:r w:rsidRPr="009E1728">
        <w:rPr>
          <w:lang w:eastAsia="ar-SA"/>
        </w:rPr>
        <w:t xml:space="preserve"> Šiaulių teritorinė ligonių kasa</w:t>
      </w:r>
      <w:r>
        <w:rPr>
          <w:lang w:eastAsia="ar-SA"/>
        </w:rPr>
        <w:t xml:space="preserve"> teikia informaciją apie profilaktinių programų vykdymą Šiaulių mieste</w:t>
      </w:r>
      <w:r w:rsidRPr="009E1728">
        <w:rPr>
          <w:lang w:eastAsia="ar-SA"/>
        </w:rPr>
        <w:t>, Užkrečiamųjų ligų ir AIDS centras</w:t>
      </w:r>
      <w:r>
        <w:rPr>
          <w:lang w:eastAsia="ar-SA"/>
        </w:rPr>
        <w:t xml:space="preserve"> – duomenis apie lytiškai plintančias ligas</w:t>
      </w:r>
      <w:r w:rsidRPr="009E1728">
        <w:rPr>
          <w:lang w:eastAsia="ar-SA"/>
        </w:rPr>
        <w:t xml:space="preserve">, </w:t>
      </w:r>
      <w:r>
        <w:rPr>
          <w:lang w:eastAsia="ar-SA"/>
        </w:rPr>
        <w:t xml:space="preserve">apie psichikos ligas rodikliai gaunami iš </w:t>
      </w:r>
      <w:r w:rsidRPr="009E1728">
        <w:rPr>
          <w:lang w:eastAsia="ar-SA"/>
        </w:rPr>
        <w:t>Valstyb</w:t>
      </w:r>
      <w:r>
        <w:rPr>
          <w:lang w:eastAsia="ar-SA"/>
        </w:rPr>
        <w:t>inis psichikos sveikatos centro. Onkologinių ligų paplitimo rodiklius teikia</w:t>
      </w:r>
      <w:r w:rsidRPr="00417492">
        <w:rPr>
          <w:lang w:eastAsia="ar-SA"/>
        </w:rPr>
        <w:t xml:space="preserve"> </w:t>
      </w:r>
      <w:r w:rsidRPr="00417492">
        <w:t>Vilniaus uni</w:t>
      </w:r>
      <w:r>
        <w:t>versiteto onkologijos institutas, duomenis apie sergamumą  užkrečiamomis ligomis -</w:t>
      </w:r>
      <w:r>
        <w:rPr>
          <w:lang w:eastAsia="ar-SA"/>
        </w:rPr>
        <w:t xml:space="preserve"> </w:t>
      </w:r>
      <w:r>
        <w:t>Šiaulių visuomenės sveikatos centras</w:t>
      </w:r>
      <w:r w:rsidRPr="009E1728">
        <w:rPr>
          <w:lang w:eastAsia="ar-SA"/>
        </w:rPr>
        <w:t>. Tikslinga statistinius duomenis palyginti su kitų šalių rodikliais</w:t>
      </w:r>
      <w:r>
        <w:rPr>
          <w:lang w:eastAsia="ar-SA"/>
        </w:rPr>
        <w:t>. Tuo tikslu naudotasi Eurostat</w:t>
      </w:r>
      <w:r w:rsidRPr="009E1728">
        <w:rPr>
          <w:lang w:eastAsia="ar-SA"/>
        </w:rPr>
        <w:t>o duomenų baze.</w:t>
      </w:r>
    </w:p>
    <w:p w:rsidR="00995BE0" w:rsidRPr="009E1728" w:rsidRDefault="00995BE0" w:rsidP="004F494E">
      <w:pPr>
        <w:spacing w:line="360" w:lineRule="auto"/>
        <w:ind w:firstLine="567"/>
        <w:jc w:val="both"/>
        <w:rPr>
          <w:lang w:eastAsia="ar-SA"/>
        </w:rPr>
      </w:pPr>
    </w:p>
    <w:p w:rsidR="00995BE0" w:rsidRPr="009E1728" w:rsidRDefault="00995BE0" w:rsidP="004F494E">
      <w:pPr>
        <w:pStyle w:val="Antrat3"/>
        <w:rPr>
          <w:lang w:eastAsia="ar-SA"/>
        </w:rPr>
      </w:pPr>
      <w:bookmarkStart w:id="43" w:name="_Toc293248628"/>
      <w:r w:rsidRPr="009E1728">
        <w:rPr>
          <w:lang w:eastAsia="ar-SA"/>
        </w:rPr>
        <w:t>2.1.4 Ekspertų i</w:t>
      </w:r>
      <w:r>
        <w:rPr>
          <w:lang w:eastAsia="ar-SA"/>
        </w:rPr>
        <w:t>m</w:t>
      </w:r>
      <w:r w:rsidRPr="009E1728">
        <w:rPr>
          <w:lang w:eastAsia="ar-SA"/>
        </w:rPr>
        <w:t>t</w:t>
      </w:r>
      <w:r>
        <w:rPr>
          <w:lang w:eastAsia="ar-SA"/>
        </w:rPr>
        <w:t>i</w:t>
      </w:r>
      <w:r w:rsidRPr="009E1728">
        <w:rPr>
          <w:lang w:eastAsia="ar-SA"/>
        </w:rPr>
        <w:t>es charakteristika</w:t>
      </w:r>
      <w:bookmarkEnd w:id="43"/>
    </w:p>
    <w:p w:rsidR="00995BE0" w:rsidRDefault="00995BE0" w:rsidP="004F494E">
      <w:pPr>
        <w:spacing w:line="360" w:lineRule="auto"/>
        <w:ind w:firstLine="540"/>
        <w:jc w:val="both"/>
        <w:rPr>
          <w:bCs/>
        </w:rPr>
      </w:pPr>
      <w:r>
        <w:rPr>
          <w:bCs/>
        </w:rPr>
        <w:t xml:space="preserve">Siekiant išsiaiškinti visuomenės sveikatos biurų veiklos esamus trūkumus, įvertinti realius pasiekimus ir galimybes, galimus veiklos tobulinimo kelius, buvo vykdoma ekspertų apklausa. Pasak Kardelio (2007), asmenys, pajėgūs vertinti kurį nors požymį, nėra tolygios kompetencijos, skirtingos ir jų vertybinės orientacijos. Todėl iš pradžių reikėtų įvertinti pačius ekspertus, suformuluoti jų pasirinkimo principus. Kadangi pirmieji visuomenės sveikatos biurai realiai pradėjo savo veiklą nuo 2007 m., šios įstaigos yra pakankamai jaunos ir ne kiekvienas specialistas gali suprasti, juo labiau vertinti jų veiklą. Todėl ekspertai tyrimui buvo pasirinkti vienaip ar kitaip jau susidūrę su visuomenės sveikatos biurais. </w:t>
      </w:r>
    </w:p>
    <w:p w:rsidR="00995BE0" w:rsidRDefault="00995BE0" w:rsidP="004F494E">
      <w:pPr>
        <w:spacing w:line="360" w:lineRule="auto"/>
        <w:ind w:firstLine="540"/>
        <w:jc w:val="both"/>
        <w:rPr>
          <w:bCs/>
        </w:rPr>
      </w:pPr>
      <w:r>
        <w:rPr>
          <w:bCs/>
        </w:rPr>
        <w:t xml:space="preserve">Iš viso buvo apklausti 8 ekspertai </w:t>
      </w:r>
      <w:r w:rsidRPr="00906DAD">
        <w:rPr>
          <w:bCs/>
        </w:rPr>
        <w:t>(</w:t>
      </w:r>
      <w:r w:rsidRPr="00906DAD">
        <w:t>E1-Radviliškio rajono savivaldybės visuomenės sveikatos biuro direktorė; E2-Šiaulių universiteto socialinės gerovės ir negalės studijų fakulteto Medicinos pagrindų katedros vedėjas, Šiaulių miesto savivaldybės bendruomenės sveikatos tarybos pirmininkas; E3-Šiaulių teritorinės ligonių kasos analizės skyriaus vedėja, E4-Šiaulių miesto savivaldybės visuomenės sveikatos biuro direktorė, E5-Klaipėdos rajono visuomenės sveikatos biuro direktorė, visuomenės sveikatos biurų asociacijos prezidentė, E6-Šiaulių visuomenės sveikatos centro direktorius, E7-Šiaulių miesto savivaldybės visuomenės sveikatos biuro vaikų ir jaunimo priežiūros skyriaus vedėja, E8- Šiaulių teritorinės ligonių kasos kontrolės ir ekspertizės skyriaus vyriausioji specialistė</w:t>
      </w:r>
      <w:r>
        <w:rPr>
          <w:sz w:val="22"/>
          <w:szCs w:val="22"/>
        </w:rPr>
        <w:t>)</w:t>
      </w:r>
      <w:r>
        <w:rPr>
          <w:bCs/>
        </w:rPr>
        <w:t xml:space="preserve">. Tyrime buvo naudotas atviro tipo </w:t>
      </w:r>
      <w:r w:rsidRPr="00825A5A">
        <w:rPr>
          <w:bCs/>
        </w:rPr>
        <w:t>interviu metodas</w:t>
      </w:r>
      <w:r>
        <w:rPr>
          <w:b/>
          <w:bCs/>
        </w:rPr>
        <w:t xml:space="preserve"> -</w:t>
      </w:r>
      <w:r w:rsidRPr="00825A5A">
        <w:rPr>
          <w:bCs/>
        </w:rPr>
        <w:t xml:space="preserve"> duomenų rinkimas tiesiogiai bendraujant (kalbantis) tyrėjui ir respondentui</w:t>
      </w:r>
      <w:r>
        <w:rPr>
          <w:bCs/>
        </w:rPr>
        <w:t>. Šis metodas būtų tinkamas ir naudingas dėl keleto priežasčių: pirmiausia dėl to, kad numatomas respondentų skaičius nėra didelis, i</w:t>
      </w:r>
      <w:r w:rsidRPr="00825A5A">
        <w:rPr>
          <w:bCs/>
        </w:rPr>
        <w:t>nterviu leidžia respondentams išsakyti</w:t>
      </w:r>
      <w:r>
        <w:rPr>
          <w:bCs/>
        </w:rPr>
        <w:t xml:space="preserve"> savo patirtį “savais žodžiais”, i</w:t>
      </w:r>
      <w:r w:rsidRPr="00825A5A">
        <w:rPr>
          <w:bCs/>
        </w:rPr>
        <w:t>nterviu gali būti labiau įžvalgus nei kiti metodai;</w:t>
      </w:r>
      <w:r>
        <w:rPr>
          <w:bCs/>
        </w:rPr>
        <w:t xml:space="preserve"> i</w:t>
      </w:r>
      <w:r w:rsidRPr="00825A5A">
        <w:rPr>
          <w:bCs/>
        </w:rPr>
        <w:t>nterviu eigoje galima surinkti netikėtų duomenų;</w:t>
      </w:r>
      <w:r>
        <w:rPr>
          <w:bCs/>
        </w:rPr>
        <w:t xml:space="preserve"> t</w:t>
      </w:r>
      <w:r w:rsidRPr="00825A5A">
        <w:rPr>
          <w:bCs/>
        </w:rPr>
        <w:t>yrėjo ir respondento “akis į akį” bendravimas leidžia įvertinti ir tiriamojo kūno kalbą, balso intonaciją ir pan.;</w:t>
      </w:r>
      <w:r>
        <w:rPr>
          <w:bCs/>
        </w:rPr>
        <w:t xml:space="preserve"> t</w:t>
      </w:r>
      <w:r w:rsidRPr="00825A5A">
        <w:rPr>
          <w:bCs/>
        </w:rPr>
        <w:t>yrėjas gali supažindinti tiriamąjį su problema, geriau paaiškinti kai</w:t>
      </w:r>
      <w:r>
        <w:rPr>
          <w:bCs/>
        </w:rPr>
        <w:t>p garantuos jam konfidencialumą.</w:t>
      </w:r>
    </w:p>
    <w:p w:rsidR="00995BE0" w:rsidRDefault="00995BE0" w:rsidP="00F6504A">
      <w:pPr>
        <w:pStyle w:val="Antrat2"/>
        <w:spacing w:before="0" w:after="0"/>
        <w:rPr>
          <w:bCs/>
          <w:iCs/>
          <w:sz w:val="24"/>
          <w:lang w:val="lt-LT"/>
        </w:rPr>
      </w:pPr>
    </w:p>
    <w:p w:rsidR="00995BE0" w:rsidRPr="009C78AD" w:rsidRDefault="00995BE0" w:rsidP="009C78AD">
      <w:pPr>
        <w:rPr>
          <w:lang w:eastAsia="ar-SA"/>
        </w:rPr>
      </w:pPr>
    </w:p>
    <w:p w:rsidR="00995BE0" w:rsidRPr="00417492" w:rsidRDefault="00995BE0" w:rsidP="00417492">
      <w:pPr>
        <w:rPr>
          <w:lang w:eastAsia="ar-SA"/>
        </w:rPr>
      </w:pPr>
    </w:p>
    <w:p w:rsidR="00995BE0" w:rsidRPr="00D27628" w:rsidRDefault="00995BE0" w:rsidP="00F6504A">
      <w:pPr>
        <w:pStyle w:val="Antrat2"/>
        <w:spacing w:before="0" w:after="0"/>
        <w:rPr>
          <w:bCs/>
          <w:iCs/>
          <w:sz w:val="28"/>
          <w:szCs w:val="28"/>
          <w:lang w:val="lt-LT"/>
        </w:rPr>
      </w:pPr>
      <w:bookmarkStart w:id="44" w:name="_Toc293248629"/>
      <w:r w:rsidRPr="00D27628">
        <w:rPr>
          <w:bCs/>
          <w:iCs/>
          <w:sz w:val="28"/>
          <w:szCs w:val="28"/>
          <w:lang w:val="lt-LT"/>
        </w:rPr>
        <w:t>2.2. Šiaulių miesto gyventojų sveikatos situacijos analizė</w:t>
      </w:r>
      <w:bookmarkEnd w:id="44"/>
    </w:p>
    <w:p w:rsidR="00995BE0" w:rsidRPr="001D71BB" w:rsidRDefault="00995BE0" w:rsidP="00F6504A">
      <w:pPr>
        <w:spacing w:line="360" w:lineRule="auto"/>
        <w:ind w:firstLine="540"/>
        <w:jc w:val="both"/>
        <w:rPr>
          <w:lang w:eastAsia="ar-SA"/>
        </w:rPr>
      </w:pPr>
      <w:r w:rsidRPr="001D71BB">
        <w:rPr>
          <w:lang w:eastAsia="ar-SA"/>
        </w:rPr>
        <w:t xml:space="preserve">Strategijos parinkimas ir įgyvendinimas – pagrindinė strateginio valdymo turinio dalis. </w:t>
      </w:r>
      <w:r>
        <w:rPr>
          <w:lang w:eastAsia="ar-SA"/>
        </w:rPr>
        <w:t>P</w:t>
      </w:r>
      <w:r w:rsidRPr="001D71BB">
        <w:rPr>
          <w:lang w:eastAsia="ar-SA"/>
        </w:rPr>
        <w:t>radinė ir labai svarbi institucijos veiklos trajektorijos nustatymo fazė yra situacijos analizė.</w:t>
      </w:r>
    </w:p>
    <w:p w:rsidR="00995BE0" w:rsidRPr="001D71BB" w:rsidRDefault="00995BE0" w:rsidP="00F6504A">
      <w:pPr>
        <w:pStyle w:val="Betarp"/>
        <w:spacing w:line="360" w:lineRule="auto"/>
        <w:ind w:firstLine="720"/>
        <w:jc w:val="both"/>
        <w:rPr>
          <w:rFonts w:ascii="Times New Roman" w:hAnsi="Times New Roman"/>
          <w:sz w:val="24"/>
          <w:szCs w:val="24"/>
        </w:rPr>
      </w:pPr>
      <w:r w:rsidRPr="001D71BB">
        <w:rPr>
          <w:rFonts w:ascii="Times New Roman" w:hAnsi="Times New Roman"/>
          <w:sz w:val="24"/>
          <w:szCs w:val="24"/>
        </w:rPr>
        <w:t>Statistikos Departamento prie Lietuvos Respublikos Vyriausybės duomenimis, jau daugelį metų gyventojų skaičius šalyje sistemingai mažėja. 2001 metų pradžioje Lietuvoje gyveno 3487,0 tūkst. gyventojų, tai yra 158,0 tūkst. mažiau negu 2010 metų pradžioje</w:t>
      </w:r>
      <w:r w:rsidRPr="001D71BB">
        <w:t xml:space="preserve">, </w:t>
      </w:r>
      <w:r w:rsidRPr="001D71BB">
        <w:rPr>
          <w:rFonts w:ascii="Times New Roman" w:hAnsi="Times New Roman"/>
          <w:sz w:val="24"/>
          <w:szCs w:val="24"/>
        </w:rPr>
        <w:t>palyginti su 1995 m., gyventojų skaičius sumažėjo 314,0 tūkst., arba 8,6 procento.</w:t>
      </w:r>
    </w:p>
    <w:p w:rsidR="00995BE0" w:rsidRPr="001D71BB" w:rsidRDefault="00995BE0" w:rsidP="00F6504A">
      <w:pPr>
        <w:pStyle w:val="Betarp"/>
        <w:spacing w:line="360" w:lineRule="auto"/>
        <w:ind w:firstLine="720"/>
        <w:jc w:val="both"/>
        <w:rPr>
          <w:rFonts w:ascii="Times New Roman" w:hAnsi="Times New Roman"/>
          <w:sz w:val="24"/>
          <w:szCs w:val="24"/>
        </w:rPr>
      </w:pPr>
      <w:r w:rsidRPr="001D71BB">
        <w:rPr>
          <w:rFonts w:ascii="Times New Roman" w:hAnsi="Times New Roman"/>
          <w:sz w:val="24"/>
          <w:szCs w:val="24"/>
        </w:rPr>
        <w:t>2010 metų pradžioje Šiaulių mieste gyveno 125 453 žmonės: 56 889 (45,4 proc.) vyrai ir 68 564 (54,6 proc.) moterys. Gyventojų skaičius mažėja dėl neigiamo migracijos saldo ir labai mažo natūralaus gyventojų prieaugio, kuris šiuo metu tiek šalyje, tiek ir Šiaulių mieste yra neigiamas.</w:t>
      </w:r>
    </w:p>
    <w:p w:rsidR="00995BE0" w:rsidRPr="001D71BB" w:rsidRDefault="00995BE0" w:rsidP="00F6504A">
      <w:pPr>
        <w:spacing w:line="360" w:lineRule="auto"/>
        <w:jc w:val="both"/>
        <w:rPr>
          <w:b/>
          <w:u w:val="single"/>
          <w:lang w:eastAsia="ar-SA"/>
        </w:rPr>
      </w:pPr>
    </w:p>
    <w:p w:rsidR="00995BE0" w:rsidRPr="001D71BB" w:rsidRDefault="00A54FAC" w:rsidP="00F6504A">
      <w:pPr>
        <w:spacing w:line="360" w:lineRule="auto"/>
        <w:jc w:val="center"/>
      </w:pPr>
      <w:r>
        <w:rPr>
          <w:noProof/>
        </w:rPr>
        <w:drawing>
          <wp:inline distT="0" distB="0" distL="0" distR="0">
            <wp:extent cx="5891530" cy="2155190"/>
            <wp:effectExtent l="0" t="0" r="0" b="0"/>
            <wp:docPr id="6"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5BE0" w:rsidRPr="00173278" w:rsidRDefault="00995BE0" w:rsidP="00F6504A">
      <w:pPr>
        <w:ind w:left="567" w:right="424"/>
        <w:jc w:val="center"/>
        <w:rPr>
          <w:sz w:val="22"/>
          <w:szCs w:val="22"/>
        </w:rPr>
      </w:pPr>
      <w:r>
        <w:rPr>
          <w:b/>
          <w:sz w:val="22"/>
          <w:szCs w:val="22"/>
        </w:rPr>
        <w:t>5</w:t>
      </w:r>
      <w:r w:rsidRPr="00173278">
        <w:rPr>
          <w:b/>
          <w:sz w:val="22"/>
          <w:szCs w:val="22"/>
        </w:rPr>
        <w:t xml:space="preserve"> pav. </w:t>
      </w:r>
      <w:r w:rsidRPr="00173278">
        <w:rPr>
          <w:sz w:val="22"/>
          <w:szCs w:val="22"/>
        </w:rPr>
        <w:t>Šiaulių miesto ir Lietuvos Respublikos gyventojų skaičius 2001-2010 m. pradžioje</w:t>
      </w:r>
    </w:p>
    <w:p w:rsidR="00995BE0" w:rsidRPr="001D71BB" w:rsidRDefault="00995BE0" w:rsidP="00F6504A">
      <w:pPr>
        <w:jc w:val="center"/>
        <w:rPr>
          <w:sz w:val="20"/>
          <w:szCs w:val="20"/>
        </w:rPr>
      </w:pPr>
      <w:r>
        <w:rPr>
          <w:sz w:val="20"/>
          <w:szCs w:val="20"/>
        </w:rPr>
        <w:t>S</w:t>
      </w:r>
      <w:r w:rsidRPr="001D71BB">
        <w:rPr>
          <w:sz w:val="20"/>
          <w:szCs w:val="20"/>
        </w:rPr>
        <w:t>udaryta autoriaus, rem</w:t>
      </w:r>
      <w:r>
        <w:rPr>
          <w:sz w:val="20"/>
          <w:szCs w:val="20"/>
        </w:rPr>
        <w:t>iantis š</w:t>
      </w:r>
      <w:r w:rsidRPr="001D71BB">
        <w:rPr>
          <w:sz w:val="20"/>
          <w:szCs w:val="20"/>
        </w:rPr>
        <w:t>altini</w:t>
      </w:r>
      <w:r>
        <w:rPr>
          <w:sz w:val="20"/>
          <w:szCs w:val="20"/>
        </w:rPr>
        <w:t>u: Statistikos Departamentas prie LR Vyriausybės</w:t>
      </w:r>
    </w:p>
    <w:p w:rsidR="00995BE0" w:rsidRPr="001D71BB" w:rsidRDefault="00995BE0" w:rsidP="00F6504A">
      <w:pPr>
        <w:spacing w:line="360" w:lineRule="auto"/>
        <w:jc w:val="center"/>
        <w:rPr>
          <w:sz w:val="20"/>
          <w:szCs w:val="20"/>
        </w:rPr>
      </w:pPr>
    </w:p>
    <w:p w:rsidR="00995BE0" w:rsidRPr="001D71BB" w:rsidRDefault="00995BE0" w:rsidP="00AB0581">
      <w:pPr>
        <w:autoSpaceDE w:val="0"/>
        <w:autoSpaceDN w:val="0"/>
        <w:adjustRightInd w:val="0"/>
        <w:spacing w:line="360" w:lineRule="auto"/>
        <w:ind w:firstLine="600"/>
        <w:jc w:val="both"/>
      </w:pPr>
      <w:r w:rsidRPr="001D71BB">
        <w:t>Dėl neigiamos natūralios kaitos 2009 m. gyventojų skaičius sumažėjo 5,4 tūkst. gyventojų, dėl neigiamos neto migracijos – 15,5 tūkst., 2000–2009 m. laikotarpiu – atitinkamai 100,2 tūkst. ir 82,9 tūkst. gyventojų.</w:t>
      </w:r>
    </w:p>
    <w:p w:rsidR="00995BE0" w:rsidRPr="001D71BB" w:rsidRDefault="00995BE0" w:rsidP="00AB0581">
      <w:pPr>
        <w:autoSpaceDE w:val="0"/>
        <w:autoSpaceDN w:val="0"/>
        <w:adjustRightInd w:val="0"/>
        <w:spacing w:line="360" w:lineRule="auto"/>
        <w:ind w:firstLine="600"/>
        <w:jc w:val="both"/>
      </w:pPr>
      <w:r w:rsidRPr="001D71BB">
        <w:t>Lietuvos gyventojų migracija laikoma viena rimčiausių grėsmių šalies demografiniai raidai, ūkio augimui ir kultūrinio savitumo išsaugojimui. Sparčiai kintančių aplinkos sąlygų kontekste, tikslinga analizuoti darbo jėgos migracijos poveikį ekonomikai, kadangi darbo jėgos emigracija siejama su darbo rinkos būkle - gyventojų užimtumo, nedarbo, pajamų lygiu, socialinėmis garantijomis, taip pat bendra šalies ūkio ir socialine būkle, žmonių gyvenimo lygiu ir kt. (Stulgienė, Daunorienė, 2009).</w:t>
      </w:r>
    </w:p>
    <w:p w:rsidR="00995BE0" w:rsidRPr="001D71BB" w:rsidRDefault="00995BE0" w:rsidP="00F6504A">
      <w:pPr>
        <w:spacing w:line="360" w:lineRule="auto"/>
        <w:ind w:firstLine="567"/>
        <w:jc w:val="both"/>
      </w:pPr>
      <w:r w:rsidRPr="001D71BB">
        <w:t xml:space="preserve">Europos Sąjungos valstybėse narėse kas ketvirtas gyventojas yra sulaukęs 60 ir daugiau metų, Lietuvoje – kas penktas. Prognozuojama, kad 2030 m. pradžioje beveik trečdalį (28,9 proc.) Lietuvos gyventojų sudarys pagyvenę žmonės (ES 27 – 30,4 proc.), o 80 metų ir vyresnio amžiaus </w:t>
      </w:r>
      <w:r w:rsidRPr="001D71BB">
        <w:lastRenderedPageBreak/>
        <w:t>gyventojų skaičius padidės 1,5 karto. Tikėtina, kad 2030 m. pradžioje vienam pagyvenusiam asmeniui teks 2 darbingo amžiaus asmenys (šiuo metu – 3) (Ambrozaitienė, 2009).</w:t>
      </w:r>
    </w:p>
    <w:p w:rsidR="00995BE0" w:rsidRPr="001D71BB" w:rsidRDefault="00995BE0" w:rsidP="00AB0581">
      <w:pPr>
        <w:pStyle w:val="Betarp"/>
        <w:spacing w:line="360" w:lineRule="auto"/>
        <w:ind w:firstLine="600"/>
        <w:jc w:val="both"/>
        <w:rPr>
          <w:rFonts w:ascii="Times New Roman" w:hAnsi="Times New Roman"/>
          <w:sz w:val="24"/>
          <w:szCs w:val="24"/>
        </w:rPr>
      </w:pPr>
      <w:r w:rsidRPr="001D71BB">
        <w:rPr>
          <w:rFonts w:ascii="Times New Roman" w:hAnsi="Times New Roman"/>
          <w:sz w:val="24"/>
          <w:szCs w:val="24"/>
        </w:rPr>
        <w:t>Šiaulių mieste iki 2000 metų daugiau žmonių gimdavo, nei mirdavo, tačiau nuo 2001 metų mirtinguma</w:t>
      </w:r>
      <w:r>
        <w:rPr>
          <w:rFonts w:ascii="Times New Roman" w:hAnsi="Times New Roman"/>
          <w:sz w:val="24"/>
          <w:szCs w:val="24"/>
        </w:rPr>
        <w:t>s viršijo</w:t>
      </w:r>
      <w:r w:rsidRPr="001D71BB">
        <w:rPr>
          <w:rFonts w:ascii="Times New Roman" w:hAnsi="Times New Roman"/>
          <w:sz w:val="24"/>
          <w:szCs w:val="24"/>
        </w:rPr>
        <w:t xml:space="preserve"> gimstamumą. Paskutinius trejus metus Šiaulių miesto gyventojų gimstamumo rodiklis kyla. Po devynerių metų pertraukos, 2009 m., Šiaulių mieste vėl registruojamas didesnis gimstamumas nei mirtingumas (</w:t>
      </w:r>
      <w:r>
        <w:rPr>
          <w:rFonts w:ascii="Times New Roman" w:hAnsi="Times New Roman"/>
          <w:sz w:val="24"/>
          <w:szCs w:val="24"/>
        </w:rPr>
        <w:t>6</w:t>
      </w:r>
      <w:r w:rsidRPr="001D71BB">
        <w:rPr>
          <w:rFonts w:ascii="Times New Roman" w:hAnsi="Times New Roman"/>
          <w:sz w:val="24"/>
          <w:szCs w:val="24"/>
        </w:rPr>
        <w:t xml:space="preserve"> pav.).</w:t>
      </w:r>
    </w:p>
    <w:p w:rsidR="00995BE0" w:rsidRPr="001D71BB" w:rsidRDefault="00A54FAC" w:rsidP="00F6504A">
      <w:pPr>
        <w:spacing w:line="360" w:lineRule="auto"/>
        <w:ind w:left="360"/>
        <w:jc w:val="center"/>
      </w:pPr>
      <w:r>
        <w:rPr>
          <w:noProof/>
        </w:rPr>
        <w:drawing>
          <wp:inline distT="0" distB="0" distL="0" distR="0">
            <wp:extent cx="5603875" cy="1842135"/>
            <wp:effectExtent l="0" t="0" r="0" b="0"/>
            <wp:docPr id="7" name="Objekta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5BE0" w:rsidRPr="00173278" w:rsidRDefault="00995BE0" w:rsidP="00F6504A">
      <w:pPr>
        <w:ind w:firstLine="567"/>
        <w:jc w:val="center"/>
        <w:rPr>
          <w:b/>
          <w:sz w:val="22"/>
          <w:szCs w:val="22"/>
        </w:rPr>
      </w:pPr>
      <w:r>
        <w:rPr>
          <w:b/>
          <w:sz w:val="22"/>
          <w:szCs w:val="22"/>
        </w:rPr>
        <w:t>6</w:t>
      </w:r>
      <w:r w:rsidRPr="00173278">
        <w:rPr>
          <w:b/>
          <w:sz w:val="22"/>
          <w:szCs w:val="22"/>
        </w:rPr>
        <w:t xml:space="preserve"> pav. </w:t>
      </w:r>
      <w:r w:rsidRPr="00173278">
        <w:rPr>
          <w:sz w:val="22"/>
          <w:szCs w:val="22"/>
        </w:rPr>
        <w:t>Gimstamumo ir mirtingumo rodiklių kitimas Šiaulių mieste 1996-2009 m. (1 000 gyv.)</w:t>
      </w:r>
    </w:p>
    <w:p w:rsidR="00995BE0" w:rsidRPr="001D71BB" w:rsidRDefault="00995BE0" w:rsidP="00F6504A">
      <w:pPr>
        <w:pStyle w:val="Sraopastraipa"/>
        <w:ind w:left="0"/>
        <w:jc w:val="center"/>
        <w:rPr>
          <w:sz w:val="20"/>
          <w:szCs w:val="20"/>
        </w:rPr>
      </w:pPr>
      <w:r w:rsidRPr="001D71BB">
        <w:rPr>
          <w:sz w:val="20"/>
          <w:szCs w:val="20"/>
        </w:rPr>
        <w:t xml:space="preserve">Sudaryta autoriaus, remiantis </w:t>
      </w:r>
      <w:r>
        <w:rPr>
          <w:sz w:val="20"/>
          <w:szCs w:val="20"/>
        </w:rPr>
        <w:t>š</w:t>
      </w:r>
      <w:r w:rsidRPr="001D71BB">
        <w:rPr>
          <w:sz w:val="20"/>
          <w:szCs w:val="20"/>
        </w:rPr>
        <w:t>altini</w:t>
      </w:r>
      <w:r>
        <w:rPr>
          <w:sz w:val="20"/>
          <w:szCs w:val="20"/>
        </w:rPr>
        <w:t>u</w:t>
      </w:r>
      <w:r w:rsidRPr="001D71BB">
        <w:rPr>
          <w:sz w:val="20"/>
          <w:szCs w:val="20"/>
        </w:rPr>
        <w:t>:</w:t>
      </w:r>
      <w:r>
        <w:rPr>
          <w:sz w:val="20"/>
          <w:szCs w:val="20"/>
        </w:rPr>
        <w:t xml:space="preserve"> </w:t>
      </w:r>
      <w:r w:rsidRPr="001D71BB">
        <w:rPr>
          <w:sz w:val="20"/>
          <w:szCs w:val="20"/>
        </w:rPr>
        <w:t>Statistikos departament</w:t>
      </w:r>
      <w:r>
        <w:rPr>
          <w:sz w:val="20"/>
          <w:szCs w:val="20"/>
        </w:rPr>
        <w:t>as prie LR Vyriausybės</w:t>
      </w:r>
    </w:p>
    <w:p w:rsidR="00995BE0" w:rsidRPr="001D71BB" w:rsidRDefault="00995BE0" w:rsidP="00F6504A">
      <w:pPr>
        <w:pStyle w:val="Sraopastraipa"/>
        <w:spacing w:line="360" w:lineRule="auto"/>
        <w:jc w:val="right"/>
        <w:rPr>
          <w:sz w:val="20"/>
          <w:szCs w:val="20"/>
        </w:rPr>
      </w:pPr>
    </w:p>
    <w:p w:rsidR="00995BE0" w:rsidRPr="001D71BB" w:rsidRDefault="00995BE0" w:rsidP="00AB0581">
      <w:pPr>
        <w:spacing w:line="360" w:lineRule="auto"/>
        <w:ind w:firstLine="600"/>
        <w:jc w:val="both"/>
      </w:pPr>
      <w:r w:rsidRPr="001D71BB">
        <w:t>Vertinant gyventojų sveikatą labai svarbus rodiklis yra vaikų iki 1 metų mirtingumas arba kūdikių mirtingumas, kuris tarptautiniu mastu dažnai prilyginamas šalies socialinio – ekonominio išsivystymo ekvivalentui.</w:t>
      </w:r>
    </w:p>
    <w:p w:rsidR="00995BE0" w:rsidRPr="001D71BB" w:rsidRDefault="00A54FAC" w:rsidP="00F6504A">
      <w:pPr>
        <w:spacing w:line="360" w:lineRule="auto"/>
        <w:jc w:val="center"/>
      </w:pPr>
      <w:r>
        <w:rPr>
          <w:noProof/>
        </w:rPr>
        <w:drawing>
          <wp:inline distT="0" distB="0" distL="0" distR="0">
            <wp:extent cx="5760720" cy="1789430"/>
            <wp:effectExtent l="0" t="0" r="0" b="0"/>
            <wp:docPr id="8"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5BE0" w:rsidRPr="00173278" w:rsidRDefault="00995BE0" w:rsidP="00F6504A">
      <w:pPr>
        <w:jc w:val="center"/>
        <w:rPr>
          <w:sz w:val="22"/>
          <w:szCs w:val="22"/>
        </w:rPr>
      </w:pPr>
      <w:r>
        <w:rPr>
          <w:b/>
          <w:sz w:val="22"/>
          <w:szCs w:val="22"/>
        </w:rPr>
        <w:t>7</w:t>
      </w:r>
      <w:r w:rsidRPr="00173278">
        <w:rPr>
          <w:b/>
          <w:sz w:val="22"/>
          <w:szCs w:val="22"/>
        </w:rPr>
        <w:t xml:space="preserve"> pav</w:t>
      </w:r>
      <w:r w:rsidRPr="00173278">
        <w:rPr>
          <w:sz w:val="22"/>
          <w:szCs w:val="22"/>
        </w:rPr>
        <w:t>. Kūdikių iki 1 m. mirtingumas Šiaulių mieste ir Lietuvos Respublikoje 2006-2009 m. (1 000 gyvų gimusiųjų)</w:t>
      </w:r>
    </w:p>
    <w:p w:rsidR="00995BE0" w:rsidRPr="001D71BB" w:rsidRDefault="00995BE0" w:rsidP="00F6504A">
      <w:pPr>
        <w:jc w:val="center"/>
        <w:rPr>
          <w:sz w:val="20"/>
          <w:szCs w:val="20"/>
        </w:rPr>
      </w:pPr>
      <w:r w:rsidRPr="001D71BB">
        <w:rPr>
          <w:sz w:val="20"/>
          <w:szCs w:val="20"/>
        </w:rPr>
        <w:t>Sudaryta autor</w:t>
      </w:r>
      <w:r>
        <w:rPr>
          <w:sz w:val="20"/>
          <w:szCs w:val="20"/>
        </w:rPr>
        <w:t>iaus</w:t>
      </w:r>
      <w:r w:rsidRPr="001D71BB">
        <w:rPr>
          <w:sz w:val="20"/>
          <w:szCs w:val="20"/>
        </w:rPr>
        <w:t>, rem</w:t>
      </w:r>
      <w:r>
        <w:rPr>
          <w:sz w:val="20"/>
          <w:szCs w:val="20"/>
        </w:rPr>
        <w:t>iantis š</w:t>
      </w:r>
      <w:r w:rsidRPr="001D71BB">
        <w:rPr>
          <w:sz w:val="20"/>
          <w:szCs w:val="20"/>
        </w:rPr>
        <w:t>altini</w:t>
      </w:r>
      <w:r>
        <w:rPr>
          <w:sz w:val="20"/>
          <w:szCs w:val="20"/>
        </w:rPr>
        <w:t>u</w:t>
      </w:r>
      <w:r w:rsidRPr="001D71BB">
        <w:rPr>
          <w:sz w:val="20"/>
          <w:szCs w:val="20"/>
        </w:rPr>
        <w:t>:</w:t>
      </w:r>
      <w:r>
        <w:rPr>
          <w:sz w:val="20"/>
          <w:szCs w:val="20"/>
        </w:rPr>
        <w:t xml:space="preserve"> Statistikos departamentas prie LR Vyriausybės</w:t>
      </w:r>
    </w:p>
    <w:p w:rsidR="00995BE0" w:rsidRPr="001D71BB" w:rsidRDefault="00995BE0" w:rsidP="00F6504A">
      <w:pPr>
        <w:spacing w:line="360" w:lineRule="auto"/>
        <w:jc w:val="right"/>
        <w:rPr>
          <w:sz w:val="20"/>
          <w:szCs w:val="20"/>
        </w:rPr>
      </w:pPr>
    </w:p>
    <w:p w:rsidR="00995BE0" w:rsidRPr="001D71BB" w:rsidRDefault="00995BE0" w:rsidP="00F6504A">
      <w:pPr>
        <w:autoSpaceDE w:val="0"/>
        <w:autoSpaceDN w:val="0"/>
        <w:adjustRightInd w:val="0"/>
        <w:spacing w:line="360" w:lineRule="auto"/>
        <w:ind w:firstLine="567"/>
        <w:jc w:val="both"/>
        <w:rPr>
          <w:rFonts w:ascii="Times New Roman,Bold" w:hAnsi="Times New Roman,Bold" w:cs="TimesNewRomanPSMT"/>
        </w:rPr>
      </w:pPr>
      <w:r w:rsidRPr="001D71BB">
        <w:rPr>
          <w:rFonts w:ascii="Times New Roman,Bold" w:hAnsi="Times New Roman,Bold"/>
          <w:lang w:eastAsia="ar-SA"/>
        </w:rPr>
        <w:t xml:space="preserve">Rodikliai rodo, kad šalis jau sėkmingai yra pasiekusi 1997-2010 m. programoje užsibrėžtą tikslą – 30 proc. </w:t>
      </w:r>
      <w:r>
        <w:rPr>
          <w:rFonts w:ascii="Times New Roman,Bold" w:hAnsi="Times New Roman,Bold"/>
          <w:lang w:eastAsia="ar-SA"/>
        </w:rPr>
        <w:t>s</w:t>
      </w:r>
      <w:r w:rsidRPr="001D71BB">
        <w:rPr>
          <w:rFonts w:ascii="Times New Roman,Bold" w:hAnsi="Times New Roman,Bold"/>
          <w:lang w:eastAsia="ar-SA"/>
        </w:rPr>
        <w:t xml:space="preserve">umažinti kūdikių mirtingumą iki 2010 metų. 2008 m. jis jau sumažėjęs 56 proc. (1997 m. Lietuvoje mirė 391 kūdikiai, o 2008 m. – 172). </w:t>
      </w:r>
      <w:r w:rsidRPr="001D71BB">
        <w:rPr>
          <w:rFonts w:ascii="Times New Roman,Bold" w:hAnsi="Times New Roman,Bold" w:cs="TimesNewRomanPSMT"/>
        </w:rPr>
        <w:t>Didžiausios įtakos turėjo įgyvendinami L</w:t>
      </w:r>
      <w:r>
        <w:rPr>
          <w:rFonts w:ascii="Times New Roman,Bold" w:hAnsi="Times New Roman,Bold" w:cs="TimesNewRomanPSMT"/>
        </w:rPr>
        <w:t>ietuvos sveikatos programos</w:t>
      </w:r>
      <w:r w:rsidRPr="001D71BB">
        <w:rPr>
          <w:rFonts w:ascii="Times New Roman,Bold" w:hAnsi="Times New Roman,Bold" w:cs="TimesNewRomanPSMT"/>
        </w:rPr>
        <w:t xml:space="preserve"> uždaviniai. 1997–2001 m. laikotarpiu efektyviai vykdytos perinatologijos programos priemonės. Atlikti tyrimai parodė, kad motinų, žindančių kūdikius iki 4–6 mėn., vis daugėja (2002 m. – 26,6 proc.) (Keniausytė ir kt., 2009).</w:t>
      </w:r>
    </w:p>
    <w:p w:rsidR="00995BE0" w:rsidRPr="001D71BB" w:rsidRDefault="00995BE0" w:rsidP="00F6504A">
      <w:pPr>
        <w:spacing w:line="360" w:lineRule="auto"/>
        <w:ind w:right="-1" w:firstLine="567"/>
        <w:jc w:val="both"/>
        <w:rPr>
          <w:b/>
        </w:rPr>
      </w:pPr>
      <w:r w:rsidRPr="001D71BB">
        <w:lastRenderedPageBreak/>
        <w:t>Integruotas demografinės ir gyventojų sveikatos rodiklis, atspindintis psichosocialinę ir ekonominę šalies ar regioninę būklę yra vidutinė tikėtina gyvenimo trukmė (VGT). Šį, vieną svarbiausią gyventojų sveikatos rodiklį, labiausiai lėmė gyventojų mirtingumo mažėjimas, taip pat ir  kūdikių iki 1 m. mirtingumo mažėjimas. Vis dėlto Lietuvos vyrų vidutinė tikėtina gyvenimo trukmė išlieka trumpiausia Europos sąjungoje ir yra net 10 metų trumpesnė už ES valstybių narių vidurkį.</w:t>
      </w:r>
    </w:p>
    <w:p w:rsidR="00995BE0" w:rsidRPr="001D71BB" w:rsidRDefault="00995BE0" w:rsidP="00F6504A">
      <w:pPr>
        <w:spacing w:line="360" w:lineRule="auto"/>
        <w:ind w:left="851" w:right="707"/>
        <w:jc w:val="right"/>
      </w:pPr>
      <w:r>
        <w:t>5</w:t>
      </w:r>
      <w:r w:rsidRPr="001D71BB">
        <w:t xml:space="preserve"> lentelė</w:t>
      </w:r>
    </w:p>
    <w:p w:rsidR="00995BE0" w:rsidRPr="001D71BB" w:rsidRDefault="00995BE0" w:rsidP="00F6504A">
      <w:pPr>
        <w:ind w:right="707" w:firstLine="567"/>
        <w:jc w:val="center"/>
        <w:rPr>
          <w:b/>
          <w:sz w:val="22"/>
          <w:szCs w:val="22"/>
        </w:rPr>
      </w:pPr>
      <w:r w:rsidRPr="001D71BB">
        <w:rPr>
          <w:b/>
          <w:sz w:val="22"/>
          <w:szCs w:val="22"/>
        </w:rPr>
        <w:t>Šiaulių miesto gyventojų vidutinė tikėtina gyvenimo trukmė (VGT0) ir jos palyginimas su Lietuvos miesto gyventojų VGT0.</w:t>
      </w:r>
    </w:p>
    <w:tbl>
      <w:tblPr>
        <w:tblW w:w="8069"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7"/>
        <w:gridCol w:w="890"/>
        <w:gridCol w:w="1237"/>
        <w:gridCol w:w="1315"/>
        <w:gridCol w:w="818"/>
        <w:gridCol w:w="1069"/>
        <w:gridCol w:w="1473"/>
      </w:tblGrid>
      <w:tr w:rsidR="00995BE0" w:rsidRPr="001D71BB" w:rsidTr="00350DDF">
        <w:trPr>
          <w:trHeight w:val="300"/>
          <w:jc w:val="center"/>
        </w:trPr>
        <w:tc>
          <w:tcPr>
            <w:tcW w:w="1267" w:type="dxa"/>
            <w:vMerge w:val="restart"/>
            <w:noWrap/>
            <w:vAlign w:val="center"/>
          </w:tcPr>
          <w:p w:rsidR="00995BE0" w:rsidRPr="00501907" w:rsidRDefault="00995BE0" w:rsidP="00350DDF">
            <w:pPr>
              <w:jc w:val="center"/>
              <w:rPr>
                <w:b/>
              </w:rPr>
            </w:pPr>
            <w:r w:rsidRPr="00501907">
              <w:rPr>
                <w:b/>
                <w:sz w:val="22"/>
                <w:szCs w:val="22"/>
              </w:rPr>
              <w:t>Metai</w:t>
            </w:r>
          </w:p>
        </w:tc>
        <w:tc>
          <w:tcPr>
            <w:tcW w:w="3442" w:type="dxa"/>
            <w:gridSpan w:val="3"/>
            <w:noWrap/>
            <w:vAlign w:val="bottom"/>
          </w:tcPr>
          <w:p w:rsidR="00995BE0" w:rsidRPr="00501907" w:rsidRDefault="00995BE0" w:rsidP="00350DDF">
            <w:pPr>
              <w:jc w:val="center"/>
              <w:rPr>
                <w:b/>
              </w:rPr>
            </w:pPr>
            <w:r w:rsidRPr="00501907">
              <w:rPr>
                <w:b/>
                <w:sz w:val="22"/>
                <w:szCs w:val="22"/>
              </w:rPr>
              <w:t>Šiaulių miesto gyventojai</w:t>
            </w:r>
          </w:p>
        </w:tc>
        <w:tc>
          <w:tcPr>
            <w:tcW w:w="3360" w:type="dxa"/>
            <w:gridSpan w:val="3"/>
            <w:noWrap/>
            <w:vAlign w:val="bottom"/>
          </w:tcPr>
          <w:p w:rsidR="00995BE0" w:rsidRPr="00501907" w:rsidRDefault="00995BE0" w:rsidP="00350DDF">
            <w:pPr>
              <w:jc w:val="center"/>
              <w:rPr>
                <w:b/>
              </w:rPr>
            </w:pPr>
            <w:r w:rsidRPr="00501907">
              <w:rPr>
                <w:b/>
                <w:sz w:val="22"/>
                <w:szCs w:val="22"/>
              </w:rPr>
              <w:t>Lietuvos miesto gyventojai</w:t>
            </w:r>
          </w:p>
        </w:tc>
      </w:tr>
      <w:tr w:rsidR="00995BE0" w:rsidRPr="001D71BB" w:rsidTr="00350DDF">
        <w:trPr>
          <w:trHeight w:val="300"/>
          <w:jc w:val="center"/>
        </w:trPr>
        <w:tc>
          <w:tcPr>
            <w:tcW w:w="1267" w:type="dxa"/>
            <w:vMerge/>
            <w:vAlign w:val="center"/>
          </w:tcPr>
          <w:p w:rsidR="00995BE0" w:rsidRPr="00501907" w:rsidRDefault="00995BE0" w:rsidP="00350DDF">
            <w:pPr>
              <w:rPr>
                <w:b/>
              </w:rPr>
            </w:pPr>
          </w:p>
        </w:tc>
        <w:tc>
          <w:tcPr>
            <w:tcW w:w="890" w:type="dxa"/>
            <w:noWrap/>
            <w:vAlign w:val="bottom"/>
          </w:tcPr>
          <w:p w:rsidR="00995BE0" w:rsidRPr="00501907" w:rsidRDefault="00995BE0" w:rsidP="00350DDF">
            <w:pPr>
              <w:jc w:val="center"/>
              <w:rPr>
                <w:b/>
              </w:rPr>
            </w:pPr>
            <w:r w:rsidRPr="00501907">
              <w:rPr>
                <w:b/>
                <w:sz w:val="22"/>
                <w:szCs w:val="22"/>
              </w:rPr>
              <w:t>Vyrai</w:t>
            </w:r>
          </w:p>
        </w:tc>
        <w:tc>
          <w:tcPr>
            <w:tcW w:w="1237" w:type="dxa"/>
            <w:noWrap/>
            <w:vAlign w:val="bottom"/>
          </w:tcPr>
          <w:p w:rsidR="00995BE0" w:rsidRPr="00501907" w:rsidRDefault="00995BE0" w:rsidP="00350DDF">
            <w:pPr>
              <w:jc w:val="center"/>
              <w:rPr>
                <w:b/>
              </w:rPr>
            </w:pPr>
            <w:r w:rsidRPr="00501907">
              <w:rPr>
                <w:b/>
                <w:sz w:val="22"/>
                <w:szCs w:val="22"/>
              </w:rPr>
              <w:t>Moterys</w:t>
            </w:r>
          </w:p>
        </w:tc>
        <w:tc>
          <w:tcPr>
            <w:tcW w:w="1315" w:type="dxa"/>
            <w:noWrap/>
            <w:vAlign w:val="bottom"/>
          </w:tcPr>
          <w:p w:rsidR="00995BE0" w:rsidRPr="00501907" w:rsidRDefault="00995BE0" w:rsidP="00350DDF">
            <w:pPr>
              <w:jc w:val="center"/>
              <w:rPr>
                <w:b/>
              </w:rPr>
            </w:pPr>
            <w:r w:rsidRPr="00501907">
              <w:rPr>
                <w:b/>
                <w:sz w:val="22"/>
                <w:szCs w:val="22"/>
              </w:rPr>
              <w:t>Abi lytys</w:t>
            </w:r>
          </w:p>
        </w:tc>
        <w:tc>
          <w:tcPr>
            <w:tcW w:w="818" w:type="dxa"/>
            <w:noWrap/>
            <w:vAlign w:val="bottom"/>
          </w:tcPr>
          <w:p w:rsidR="00995BE0" w:rsidRPr="00501907" w:rsidRDefault="00995BE0" w:rsidP="00350DDF">
            <w:pPr>
              <w:jc w:val="center"/>
              <w:rPr>
                <w:b/>
              </w:rPr>
            </w:pPr>
            <w:r w:rsidRPr="00501907">
              <w:rPr>
                <w:b/>
                <w:sz w:val="22"/>
                <w:szCs w:val="22"/>
              </w:rPr>
              <w:t>Vyrai</w:t>
            </w:r>
          </w:p>
        </w:tc>
        <w:tc>
          <w:tcPr>
            <w:tcW w:w="1069" w:type="dxa"/>
            <w:noWrap/>
            <w:vAlign w:val="bottom"/>
          </w:tcPr>
          <w:p w:rsidR="00995BE0" w:rsidRPr="00501907" w:rsidRDefault="00995BE0" w:rsidP="00350DDF">
            <w:pPr>
              <w:jc w:val="center"/>
              <w:rPr>
                <w:b/>
              </w:rPr>
            </w:pPr>
            <w:r w:rsidRPr="00501907">
              <w:rPr>
                <w:b/>
                <w:sz w:val="22"/>
                <w:szCs w:val="22"/>
              </w:rPr>
              <w:t>Moterys</w:t>
            </w:r>
          </w:p>
        </w:tc>
        <w:tc>
          <w:tcPr>
            <w:tcW w:w="1473" w:type="dxa"/>
            <w:noWrap/>
            <w:vAlign w:val="bottom"/>
          </w:tcPr>
          <w:p w:rsidR="00995BE0" w:rsidRPr="00501907" w:rsidRDefault="00995BE0" w:rsidP="00350DDF">
            <w:pPr>
              <w:jc w:val="center"/>
              <w:rPr>
                <w:b/>
              </w:rPr>
            </w:pPr>
            <w:r w:rsidRPr="00501907">
              <w:rPr>
                <w:b/>
                <w:sz w:val="22"/>
                <w:szCs w:val="22"/>
              </w:rPr>
              <w:t>Abi lytys</w:t>
            </w:r>
          </w:p>
        </w:tc>
      </w:tr>
      <w:tr w:rsidR="00995BE0" w:rsidRPr="001D71BB" w:rsidTr="00350DDF">
        <w:trPr>
          <w:trHeight w:val="300"/>
          <w:jc w:val="center"/>
        </w:trPr>
        <w:tc>
          <w:tcPr>
            <w:tcW w:w="1267" w:type="dxa"/>
            <w:noWrap/>
            <w:vAlign w:val="bottom"/>
          </w:tcPr>
          <w:p w:rsidR="00995BE0" w:rsidRPr="00501907" w:rsidRDefault="00995BE0" w:rsidP="00350DDF">
            <w:pPr>
              <w:jc w:val="center"/>
            </w:pPr>
            <w:r w:rsidRPr="00501907">
              <w:rPr>
                <w:sz w:val="22"/>
                <w:szCs w:val="22"/>
              </w:rPr>
              <w:t>2004</w:t>
            </w:r>
          </w:p>
        </w:tc>
        <w:tc>
          <w:tcPr>
            <w:tcW w:w="890" w:type="dxa"/>
            <w:noWrap/>
            <w:vAlign w:val="bottom"/>
          </w:tcPr>
          <w:p w:rsidR="00995BE0" w:rsidRPr="00501907" w:rsidRDefault="00995BE0" w:rsidP="00350DDF">
            <w:pPr>
              <w:jc w:val="center"/>
            </w:pPr>
            <w:r w:rsidRPr="00501907">
              <w:rPr>
                <w:sz w:val="22"/>
                <w:szCs w:val="22"/>
              </w:rPr>
              <w:t>69,09</w:t>
            </w:r>
          </w:p>
        </w:tc>
        <w:tc>
          <w:tcPr>
            <w:tcW w:w="1237" w:type="dxa"/>
            <w:noWrap/>
            <w:vAlign w:val="bottom"/>
          </w:tcPr>
          <w:p w:rsidR="00995BE0" w:rsidRPr="00501907" w:rsidRDefault="00995BE0" w:rsidP="00350DDF">
            <w:pPr>
              <w:jc w:val="center"/>
            </w:pPr>
            <w:r w:rsidRPr="00501907">
              <w:rPr>
                <w:sz w:val="22"/>
                <w:szCs w:val="22"/>
              </w:rPr>
              <w:t>78,57</w:t>
            </w:r>
          </w:p>
        </w:tc>
        <w:tc>
          <w:tcPr>
            <w:tcW w:w="1315" w:type="dxa"/>
            <w:noWrap/>
            <w:vAlign w:val="bottom"/>
          </w:tcPr>
          <w:p w:rsidR="00995BE0" w:rsidRPr="00501907" w:rsidRDefault="00995BE0" w:rsidP="00350DDF">
            <w:pPr>
              <w:jc w:val="center"/>
            </w:pPr>
            <w:r w:rsidRPr="00501907">
              <w:rPr>
                <w:sz w:val="22"/>
                <w:szCs w:val="22"/>
              </w:rPr>
              <w:t>74,22</w:t>
            </w:r>
          </w:p>
        </w:tc>
        <w:tc>
          <w:tcPr>
            <w:tcW w:w="818" w:type="dxa"/>
            <w:noWrap/>
            <w:vAlign w:val="bottom"/>
          </w:tcPr>
          <w:p w:rsidR="00995BE0" w:rsidRPr="00501907" w:rsidRDefault="00995BE0" w:rsidP="00350DDF">
            <w:pPr>
              <w:jc w:val="center"/>
            </w:pPr>
            <w:r w:rsidRPr="00501907">
              <w:rPr>
                <w:sz w:val="22"/>
                <w:szCs w:val="22"/>
              </w:rPr>
              <w:t>67,83</w:t>
            </w:r>
          </w:p>
        </w:tc>
        <w:tc>
          <w:tcPr>
            <w:tcW w:w="1069" w:type="dxa"/>
            <w:noWrap/>
            <w:vAlign w:val="bottom"/>
          </w:tcPr>
          <w:p w:rsidR="00995BE0" w:rsidRPr="00501907" w:rsidRDefault="00995BE0" w:rsidP="00350DDF">
            <w:pPr>
              <w:jc w:val="center"/>
            </w:pPr>
            <w:r w:rsidRPr="00501907">
              <w:rPr>
                <w:sz w:val="22"/>
                <w:szCs w:val="22"/>
              </w:rPr>
              <w:t>78,62</w:t>
            </w:r>
          </w:p>
        </w:tc>
        <w:tc>
          <w:tcPr>
            <w:tcW w:w="1473" w:type="dxa"/>
            <w:noWrap/>
            <w:vAlign w:val="bottom"/>
          </w:tcPr>
          <w:p w:rsidR="00995BE0" w:rsidRPr="00501907" w:rsidRDefault="00995BE0" w:rsidP="00350DDF">
            <w:pPr>
              <w:jc w:val="center"/>
            </w:pPr>
            <w:r w:rsidRPr="00501907">
              <w:rPr>
                <w:sz w:val="22"/>
                <w:szCs w:val="22"/>
              </w:rPr>
              <w:t>73,46</w:t>
            </w:r>
          </w:p>
        </w:tc>
      </w:tr>
      <w:tr w:rsidR="00995BE0" w:rsidRPr="001D71BB" w:rsidTr="00350DDF">
        <w:trPr>
          <w:trHeight w:val="300"/>
          <w:jc w:val="center"/>
        </w:trPr>
        <w:tc>
          <w:tcPr>
            <w:tcW w:w="1267" w:type="dxa"/>
            <w:noWrap/>
            <w:vAlign w:val="bottom"/>
          </w:tcPr>
          <w:p w:rsidR="00995BE0" w:rsidRPr="00501907" w:rsidRDefault="00995BE0" w:rsidP="00350DDF">
            <w:pPr>
              <w:jc w:val="center"/>
            </w:pPr>
            <w:r w:rsidRPr="00501907">
              <w:rPr>
                <w:sz w:val="22"/>
                <w:szCs w:val="22"/>
              </w:rPr>
              <w:t>2005</w:t>
            </w:r>
          </w:p>
        </w:tc>
        <w:tc>
          <w:tcPr>
            <w:tcW w:w="890" w:type="dxa"/>
            <w:noWrap/>
            <w:vAlign w:val="bottom"/>
          </w:tcPr>
          <w:p w:rsidR="00995BE0" w:rsidRPr="00501907" w:rsidRDefault="00995BE0" w:rsidP="00350DDF">
            <w:pPr>
              <w:jc w:val="center"/>
            </w:pPr>
            <w:r w:rsidRPr="00501907">
              <w:rPr>
                <w:sz w:val="22"/>
                <w:szCs w:val="22"/>
              </w:rPr>
              <w:t>67,42</w:t>
            </w:r>
          </w:p>
        </w:tc>
        <w:tc>
          <w:tcPr>
            <w:tcW w:w="1237" w:type="dxa"/>
            <w:noWrap/>
            <w:vAlign w:val="bottom"/>
          </w:tcPr>
          <w:p w:rsidR="00995BE0" w:rsidRPr="00501907" w:rsidRDefault="00995BE0" w:rsidP="00350DDF">
            <w:pPr>
              <w:jc w:val="center"/>
            </w:pPr>
            <w:r w:rsidRPr="00501907">
              <w:rPr>
                <w:sz w:val="22"/>
                <w:szCs w:val="22"/>
              </w:rPr>
              <w:t>78,41</w:t>
            </w:r>
          </w:p>
        </w:tc>
        <w:tc>
          <w:tcPr>
            <w:tcW w:w="1315" w:type="dxa"/>
            <w:noWrap/>
            <w:vAlign w:val="bottom"/>
          </w:tcPr>
          <w:p w:rsidR="00995BE0" w:rsidRPr="00501907" w:rsidRDefault="00995BE0" w:rsidP="00350DDF">
            <w:pPr>
              <w:jc w:val="center"/>
            </w:pPr>
            <w:r w:rsidRPr="00501907">
              <w:rPr>
                <w:sz w:val="22"/>
                <w:szCs w:val="22"/>
              </w:rPr>
              <w:t>73,2</w:t>
            </w:r>
          </w:p>
        </w:tc>
        <w:tc>
          <w:tcPr>
            <w:tcW w:w="818" w:type="dxa"/>
            <w:noWrap/>
            <w:vAlign w:val="bottom"/>
          </w:tcPr>
          <w:p w:rsidR="00995BE0" w:rsidRPr="00501907" w:rsidRDefault="00995BE0" w:rsidP="00350DDF">
            <w:pPr>
              <w:jc w:val="center"/>
            </w:pPr>
            <w:r w:rsidRPr="00501907">
              <w:rPr>
                <w:sz w:val="22"/>
                <w:szCs w:val="22"/>
              </w:rPr>
              <w:t>66,74</w:t>
            </w:r>
          </w:p>
        </w:tc>
        <w:tc>
          <w:tcPr>
            <w:tcW w:w="1069" w:type="dxa"/>
            <w:noWrap/>
            <w:vAlign w:val="bottom"/>
          </w:tcPr>
          <w:p w:rsidR="00995BE0" w:rsidRPr="00501907" w:rsidRDefault="00995BE0" w:rsidP="00350DDF">
            <w:pPr>
              <w:jc w:val="center"/>
            </w:pPr>
            <w:r w:rsidRPr="00501907">
              <w:rPr>
                <w:sz w:val="22"/>
                <w:szCs w:val="22"/>
              </w:rPr>
              <w:t>78,15</w:t>
            </w:r>
          </w:p>
        </w:tc>
        <w:tc>
          <w:tcPr>
            <w:tcW w:w="1473" w:type="dxa"/>
            <w:noWrap/>
            <w:vAlign w:val="bottom"/>
          </w:tcPr>
          <w:p w:rsidR="00995BE0" w:rsidRPr="00501907" w:rsidRDefault="00995BE0" w:rsidP="00350DDF">
            <w:pPr>
              <w:jc w:val="center"/>
            </w:pPr>
            <w:r w:rsidRPr="00501907">
              <w:rPr>
                <w:sz w:val="22"/>
                <w:szCs w:val="22"/>
              </w:rPr>
              <w:t>72,67</w:t>
            </w:r>
          </w:p>
        </w:tc>
      </w:tr>
      <w:tr w:rsidR="00995BE0" w:rsidRPr="001D71BB" w:rsidTr="00350DDF">
        <w:trPr>
          <w:trHeight w:val="300"/>
          <w:jc w:val="center"/>
        </w:trPr>
        <w:tc>
          <w:tcPr>
            <w:tcW w:w="1267" w:type="dxa"/>
            <w:noWrap/>
            <w:vAlign w:val="bottom"/>
          </w:tcPr>
          <w:p w:rsidR="00995BE0" w:rsidRPr="00501907" w:rsidRDefault="00995BE0" w:rsidP="00350DDF">
            <w:pPr>
              <w:jc w:val="center"/>
            </w:pPr>
            <w:r w:rsidRPr="00501907">
              <w:rPr>
                <w:sz w:val="22"/>
                <w:szCs w:val="22"/>
              </w:rPr>
              <w:t>2006</w:t>
            </w:r>
          </w:p>
        </w:tc>
        <w:tc>
          <w:tcPr>
            <w:tcW w:w="890" w:type="dxa"/>
            <w:noWrap/>
            <w:vAlign w:val="bottom"/>
          </w:tcPr>
          <w:p w:rsidR="00995BE0" w:rsidRPr="00501907" w:rsidRDefault="00995BE0" w:rsidP="00350DDF">
            <w:pPr>
              <w:jc w:val="center"/>
            </w:pPr>
            <w:r w:rsidRPr="00501907">
              <w:rPr>
                <w:sz w:val="22"/>
                <w:szCs w:val="22"/>
              </w:rPr>
              <w:t>67,1</w:t>
            </w:r>
          </w:p>
        </w:tc>
        <w:tc>
          <w:tcPr>
            <w:tcW w:w="1237" w:type="dxa"/>
            <w:noWrap/>
            <w:vAlign w:val="bottom"/>
          </w:tcPr>
          <w:p w:rsidR="00995BE0" w:rsidRPr="00501907" w:rsidRDefault="00995BE0" w:rsidP="00350DDF">
            <w:pPr>
              <w:jc w:val="center"/>
            </w:pPr>
            <w:r w:rsidRPr="00501907">
              <w:rPr>
                <w:sz w:val="22"/>
                <w:szCs w:val="22"/>
              </w:rPr>
              <w:t>77,54</w:t>
            </w:r>
          </w:p>
        </w:tc>
        <w:tc>
          <w:tcPr>
            <w:tcW w:w="1315" w:type="dxa"/>
            <w:noWrap/>
            <w:vAlign w:val="bottom"/>
          </w:tcPr>
          <w:p w:rsidR="00995BE0" w:rsidRPr="00501907" w:rsidRDefault="00995BE0" w:rsidP="00350DDF">
            <w:pPr>
              <w:jc w:val="center"/>
            </w:pPr>
            <w:r w:rsidRPr="00501907">
              <w:rPr>
                <w:sz w:val="22"/>
                <w:szCs w:val="22"/>
              </w:rPr>
              <w:t>72,55</w:t>
            </w:r>
          </w:p>
        </w:tc>
        <w:tc>
          <w:tcPr>
            <w:tcW w:w="818" w:type="dxa"/>
            <w:noWrap/>
            <w:vAlign w:val="bottom"/>
          </w:tcPr>
          <w:p w:rsidR="00995BE0" w:rsidRPr="00501907" w:rsidRDefault="00995BE0" w:rsidP="00350DDF">
            <w:pPr>
              <w:jc w:val="center"/>
            </w:pPr>
            <w:r w:rsidRPr="00501907">
              <w:rPr>
                <w:sz w:val="22"/>
                <w:szCs w:val="22"/>
              </w:rPr>
              <w:t>66,35</w:t>
            </w:r>
          </w:p>
        </w:tc>
        <w:tc>
          <w:tcPr>
            <w:tcW w:w="1069" w:type="dxa"/>
            <w:noWrap/>
            <w:vAlign w:val="bottom"/>
          </w:tcPr>
          <w:p w:rsidR="00995BE0" w:rsidRPr="00501907" w:rsidRDefault="00995BE0" w:rsidP="00350DDF">
            <w:pPr>
              <w:jc w:val="center"/>
            </w:pPr>
            <w:r w:rsidRPr="00501907">
              <w:rPr>
                <w:sz w:val="22"/>
                <w:szCs w:val="22"/>
              </w:rPr>
              <w:t>77,82</w:t>
            </w:r>
          </w:p>
        </w:tc>
        <w:tc>
          <w:tcPr>
            <w:tcW w:w="1473" w:type="dxa"/>
            <w:noWrap/>
            <w:vAlign w:val="bottom"/>
          </w:tcPr>
          <w:p w:rsidR="00995BE0" w:rsidRPr="00501907" w:rsidRDefault="00995BE0" w:rsidP="00350DDF">
            <w:pPr>
              <w:jc w:val="center"/>
            </w:pPr>
            <w:r w:rsidRPr="00501907">
              <w:rPr>
                <w:sz w:val="22"/>
                <w:szCs w:val="22"/>
              </w:rPr>
              <w:t>72,24</w:t>
            </w:r>
          </w:p>
        </w:tc>
      </w:tr>
      <w:tr w:rsidR="00995BE0" w:rsidRPr="001D71BB" w:rsidTr="00350DDF">
        <w:trPr>
          <w:trHeight w:val="300"/>
          <w:jc w:val="center"/>
        </w:trPr>
        <w:tc>
          <w:tcPr>
            <w:tcW w:w="1267" w:type="dxa"/>
            <w:noWrap/>
            <w:vAlign w:val="bottom"/>
          </w:tcPr>
          <w:p w:rsidR="00995BE0" w:rsidRPr="00501907" w:rsidRDefault="00995BE0" w:rsidP="00350DDF">
            <w:pPr>
              <w:jc w:val="center"/>
            </w:pPr>
            <w:r w:rsidRPr="00501907">
              <w:rPr>
                <w:sz w:val="22"/>
                <w:szCs w:val="22"/>
              </w:rPr>
              <w:t>2007</w:t>
            </w:r>
          </w:p>
        </w:tc>
        <w:tc>
          <w:tcPr>
            <w:tcW w:w="890" w:type="dxa"/>
            <w:noWrap/>
            <w:vAlign w:val="bottom"/>
          </w:tcPr>
          <w:p w:rsidR="00995BE0" w:rsidRPr="00501907" w:rsidRDefault="00995BE0" w:rsidP="00350DDF">
            <w:pPr>
              <w:jc w:val="center"/>
            </w:pPr>
            <w:r w:rsidRPr="00501907">
              <w:rPr>
                <w:sz w:val="22"/>
                <w:szCs w:val="22"/>
              </w:rPr>
              <w:t>66,69</w:t>
            </w:r>
          </w:p>
        </w:tc>
        <w:tc>
          <w:tcPr>
            <w:tcW w:w="1237" w:type="dxa"/>
            <w:noWrap/>
            <w:vAlign w:val="bottom"/>
          </w:tcPr>
          <w:p w:rsidR="00995BE0" w:rsidRPr="00501907" w:rsidRDefault="00995BE0" w:rsidP="00350DDF">
            <w:pPr>
              <w:jc w:val="center"/>
            </w:pPr>
            <w:r w:rsidRPr="00501907">
              <w:rPr>
                <w:sz w:val="22"/>
                <w:szCs w:val="22"/>
              </w:rPr>
              <w:t>77,68</w:t>
            </w:r>
          </w:p>
        </w:tc>
        <w:tc>
          <w:tcPr>
            <w:tcW w:w="1315" w:type="dxa"/>
            <w:noWrap/>
            <w:vAlign w:val="bottom"/>
          </w:tcPr>
          <w:p w:rsidR="00995BE0" w:rsidRPr="00501907" w:rsidRDefault="00995BE0" w:rsidP="00350DDF">
            <w:pPr>
              <w:jc w:val="center"/>
            </w:pPr>
            <w:r w:rsidRPr="00501907">
              <w:rPr>
                <w:sz w:val="22"/>
                <w:szCs w:val="22"/>
              </w:rPr>
              <w:t>72,42</w:t>
            </w:r>
          </w:p>
        </w:tc>
        <w:tc>
          <w:tcPr>
            <w:tcW w:w="818" w:type="dxa"/>
            <w:noWrap/>
            <w:vAlign w:val="bottom"/>
          </w:tcPr>
          <w:p w:rsidR="00995BE0" w:rsidRPr="00501907" w:rsidRDefault="00995BE0" w:rsidP="00350DDF">
            <w:pPr>
              <w:jc w:val="center"/>
            </w:pPr>
            <w:r w:rsidRPr="00501907">
              <w:rPr>
                <w:sz w:val="22"/>
                <w:szCs w:val="22"/>
              </w:rPr>
              <w:t>65,99</w:t>
            </w:r>
          </w:p>
        </w:tc>
        <w:tc>
          <w:tcPr>
            <w:tcW w:w="1069" w:type="dxa"/>
            <w:noWrap/>
            <w:vAlign w:val="bottom"/>
          </w:tcPr>
          <w:p w:rsidR="00995BE0" w:rsidRPr="00501907" w:rsidRDefault="00995BE0" w:rsidP="00350DDF">
            <w:pPr>
              <w:jc w:val="center"/>
            </w:pPr>
            <w:r w:rsidRPr="00501907">
              <w:rPr>
                <w:sz w:val="22"/>
                <w:szCs w:val="22"/>
              </w:rPr>
              <w:t>77,99</w:t>
            </w:r>
          </w:p>
        </w:tc>
        <w:tc>
          <w:tcPr>
            <w:tcW w:w="1473" w:type="dxa"/>
            <w:noWrap/>
            <w:vAlign w:val="bottom"/>
          </w:tcPr>
          <w:p w:rsidR="00995BE0" w:rsidRPr="00501907" w:rsidRDefault="00995BE0" w:rsidP="00350DDF">
            <w:pPr>
              <w:jc w:val="center"/>
            </w:pPr>
            <w:r w:rsidRPr="00501907">
              <w:rPr>
                <w:sz w:val="22"/>
                <w:szCs w:val="22"/>
              </w:rPr>
              <w:t>72,12</w:t>
            </w:r>
          </w:p>
        </w:tc>
      </w:tr>
      <w:tr w:rsidR="00995BE0" w:rsidRPr="001D71BB" w:rsidTr="00350DDF">
        <w:trPr>
          <w:trHeight w:val="300"/>
          <w:jc w:val="center"/>
        </w:trPr>
        <w:tc>
          <w:tcPr>
            <w:tcW w:w="1267" w:type="dxa"/>
            <w:noWrap/>
            <w:vAlign w:val="bottom"/>
          </w:tcPr>
          <w:p w:rsidR="00995BE0" w:rsidRPr="00501907" w:rsidRDefault="00995BE0" w:rsidP="00350DDF">
            <w:pPr>
              <w:jc w:val="center"/>
            </w:pPr>
            <w:r w:rsidRPr="00501907">
              <w:rPr>
                <w:sz w:val="22"/>
                <w:szCs w:val="22"/>
              </w:rPr>
              <w:t>2008</w:t>
            </w:r>
          </w:p>
        </w:tc>
        <w:tc>
          <w:tcPr>
            <w:tcW w:w="890" w:type="dxa"/>
            <w:noWrap/>
            <w:vAlign w:val="bottom"/>
          </w:tcPr>
          <w:p w:rsidR="00995BE0" w:rsidRPr="00501907" w:rsidRDefault="00995BE0" w:rsidP="00350DDF">
            <w:pPr>
              <w:jc w:val="center"/>
            </w:pPr>
            <w:r w:rsidRPr="00501907">
              <w:rPr>
                <w:sz w:val="22"/>
                <w:szCs w:val="22"/>
              </w:rPr>
              <w:t>69,24</w:t>
            </w:r>
          </w:p>
        </w:tc>
        <w:tc>
          <w:tcPr>
            <w:tcW w:w="1237" w:type="dxa"/>
            <w:noWrap/>
            <w:vAlign w:val="bottom"/>
          </w:tcPr>
          <w:p w:rsidR="00995BE0" w:rsidRPr="00501907" w:rsidRDefault="00995BE0" w:rsidP="00350DDF">
            <w:pPr>
              <w:jc w:val="center"/>
            </w:pPr>
            <w:r w:rsidRPr="00501907">
              <w:rPr>
                <w:sz w:val="22"/>
                <w:szCs w:val="22"/>
              </w:rPr>
              <w:t>78,62</w:t>
            </w:r>
          </w:p>
        </w:tc>
        <w:tc>
          <w:tcPr>
            <w:tcW w:w="1315" w:type="dxa"/>
            <w:noWrap/>
            <w:vAlign w:val="bottom"/>
          </w:tcPr>
          <w:p w:rsidR="00995BE0" w:rsidRPr="00501907" w:rsidRDefault="00995BE0" w:rsidP="00350DDF">
            <w:pPr>
              <w:jc w:val="center"/>
            </w:pPr>
            <w:r w:rsidRPr="00501907">
              <w:rPr>
                <w:sz w:val="22"/>
                <w:szCs w:val="22"/>
              </w:rPr>
              <w:t>74,25</w:t>
            </w:r>
          </w:p>
        </w:tc>
        <w:tc>
          <w:tcPr>
            <w:tcW w:w="818" w:type="dxa"/>
            <w:noWrap/>
            <w:vAlign w:val="bottom"/>
          </w:tcPr>
          <w:p w:rsidR="00995BE0" w:rsidRPr="00501907" w:rsidRDefault="00995BE0" w:rsidP="00350DDF">
            <w:pPr>
              <w:jc w:val="center"/>
            </w:pPr>
            <w:r w:rsidRPr="00501907">
              <w:rPr>
                <w:sz w:val="22"/>
                <w:szCs w:val="22"/>
              </w:rPr>
              <w:t>66,30</w:t>
            </w:r>
          </w:p>
        </w:tc>
        <w:tc>
          <w:tcPr>
            <w:tcW w:w="1069" w:type="dxa"/>
            <w:noWrap/>
            <w:vAlign w:val="bottom"/>
          </w:tcPr>
          <w:p w:rsidR="00995BE0" w:rsidRPr="00501907" w:rsidRDefault="00995BE0" w:rsidP="00350DDF">
            <w:pPr>
              <w:jc w:val="center"/>
            </w:pPr>
            <w:r w:rsidRPr="00501907">
              <w:rPr>
                <w:sz w:val="22"/>
                <w:szCs w:val="22"/>
              </w:rPr>
              <w:t>77,57</w:t>
            </w:r>
          </w:p>
        </w:tc>
        <w:tc>
          <w:tcPr>
            <w:tcW w:w="1473" w:type="dxa"/>
            <w:noWrap/>
            <w:vAlign w:val="bottom"/>
          </w:tcPr>
          <w:p w:rsidR="00995BE0" w:rsidRPr="00501907" w:rsidRDefault="00995BE0" w:rsidP="00350DDF">
            <w:pPr>
              <w:jc w:val="center"/>
            </w:pPr>
            <w:r w:rsidRPr="00501907">
              <w:rPr>
                <w:sz w:val="22"/>
                <w:szCs w:val="22"/>
              </w:rPr>
              <w:t>71,94</w:t>
            </w:r>
          </w:p>
        </w:tc>
      </w:tr>
      <w:tr w:rsidR="00995BE0" w:rsidRPr="001D71BB" w:rsidTr="00350DDF">
        <w:trPr>
          <w:trHeight w:val="300"/>
          <w:jc w:val="center"/>
        </w:trPr>
        <w:tc>
          <w:tcPr>
            <w:tcW w:w="1267" w:type="dxa"/>
            <w:noWrap/>
            <w:vAlign w:val="bottom"/>
          </w:tcPr>
          <w:p w:rsidR="00995BE0" w:rsidRPr="00501907" w:rsidRDefault="00995BE0" w:rsidP="00350DDF">
            <w:pPr>
              <w:jc w:val="center"/>
            </w:pPr>
            <w:r w:rsidRPr="00501907">
              <w:rPr>
                <w:sz w:val="22"/>
                <w:szCs w:val="22"/>
              </w:rPr>
              <w:t>2009</w:t>
            </w:r>
          </w:p>
        </w:tc>
        <w:tc>
          <w:tcPr>
            <w:tcW w:w="890" w:type="dxa"/>
            <w:noWrap/>
            <w:vAlign w:val="bottom"/>
          </w:tcPr>
          <w:p w:rsidR="00995BE0" w:rsidRPr="00501907" w:rsidRDefault="00995BE0" w:rsidP="00350DDF">
            <w:pPr>
              <w:jc w:val="center"/>
            </w:pPr>
            <w:r w:rsidRPr="00501907">
              <w:rPr>
                <w:sz w:val="22"/>
                <w:szCs w:val="22"/>
              </w:rPr>
              <w:t>69,50</w:t>
            </w:r>
          </w:p>
        </w:tc>
        <w:tc>
          <w:tcPr>
            <w:tcW w:w="1237" w:type="dxa"/>
            <w:noWrap/>
            <w:vAlign w:val="bottom"/>
          </w:tcPr>
          <w:p w:rsidR="00995BE0" w:rsidRPr="00501907" w:rsidRDefault="00995BE0" w:rsidP="00350DDF">
            <w:pPr>
              <w:jc w:val="center"/>
            </w:pPr>
            <w:r w:rsidRPr="00501907">
              <w:rPr>
                <w:sz w:val="22"/>
                <w:szCs w:val="22"/>
              </w:rPr>
              <w:t>79,19</w:t>
            </w:r>
          </w:p>
        </w:tc>
        <w:tc>
          <w:tcPr>
            <w:tcW w:w="1315" w:type="dxa"/>
            <w:noWrap/>
            <w:vAlign w:val="bottom"/>
          </w:tcPr>
          <w:p w:rsidR="00995BE0" w:rsidRPr="00501907" w:rsidRDefault="00995BE0" w:rsidP="00350DDF">
            <w:pPr>
              <w:jc w:val="center"/>
            </w:pPr>
            <w:r w:rsidRPr="00501907">
              <w:rPr>
                <w:sz w:val="22"/>
                <w:szCs w:val="22"/>
              </w:rPr>
              <w:t>74,79</w:t>
            </w:r>
          </w:p>
        </w:tc>
        <w:tc>
          <w:tcPr>
            <w:tcW w:w="818" w:type="dxa"/>
            <w:noWrap/>
            <w:vAlign w:val="bottom"/>
          </w:tcPr>
          <w:p w:rsidR="00995BE0" w:rsidRPr="00501907" w:rsidRDefault="00995BE0" w:rsidP="00350DDF">
            <w:pPr>
              <w:jc w:val="center"/>
            </w:pPr>
            <w:r w:rsidRPr="00501907">
              <w:rPr>
                <w:sz w:val="22"/>
                <w:szCs w:val="22"/>
              </w:rPr>
              <w:t>67,51</w:t>
            </w:r>
          </w:p>
        </w:tc>
        <w:tc>
          <w:tcPr>
            <w:tcW w:w="1069" w:type="dxa"/>
            <w:noWrap/>
            <w:vAlign w:val="bottom"/>
          </w:tcPr>
          <w:p w:rsidR="00995BE0" w:rsidRPr="00501907" w:rsidRDefault="00995BE0" w:rsidP="00350DDF">
            <w:pPr>
              <w:jc w:val="center"/>
            </w:pPr>
            <w:r w:rsidRPr="00501907">
              <w:rPr>
                <w:sz w:val="22"/>
                <w:szCs w:val="22"/>
              </w:rPr>
              <w:t>78,56</w:t>
            </w:r>
          </w:p>
        </w:tc>
        <w:tc>
          <w:tcPr>
            <w:tcW w:w="1473" w:type="dxa"/>
            <w:noWrap/>
            <w:vAlign w:val="bottom"/>
          </w:tcPr>
          <w:p w:rsidR="00995BE0" w:rsidRPr="00501907" w:rsidRDefault="00995BE0" w:rsidP="00350DDF">
            <w:pPr>
              <w:jc w:val="center"/>
            </w:pPr>
            <w:r w:rsidRPr="00501907">
              <w:rPr>
                <w:sz w:val="22"/>
                <w:szCs w:val="22"/>
              </w:rPr>
              <w:t>73,10</w:t>
            </w:r>
          </w:p>
        </w:tc>
      </w:tr>
    </w:tbl>
    <w:p w:rsidR="00995BE0" w:rsidRPr="001D71BB" w:rsidRDefault="00995BE0" w:rsidP="00F6504A">
      <w:pPr>
        <w:spacing w:before="120"/>
        <w:ind w:right="849" w:firstLine="720"/>
        <w:jc w:val="center"/>
        <w:rPr>
          <w:sz w:val="20"/>
          <w:szCs w:val="20"/>
        </w:rPr>
      </w:pPr>
      <w:r w:rsidRPr="001D71BB">
        <w:rPr>
          <w:sz w:val="20"/>
          <w:szCs w:val="20"/>
        </w:rPr>
        <w:t>Sudaryta autor</w:t>
      </w:r>
      <w:r>
        <w:rPr>
          <w:sz w:val="20"/>
          <w:szCs w:val="20"/>
        </w:rPr>
        <w:t>iaus</w:t>
      </w:r>
      <w:r w:rsidRPr="001D71BB">
        <w:rPr>
          <w:sz w:val="20"/>
          <w:szCs w:val="20"/>
        </w:rPr>
        <w:t xml:space="preserve">, remiantis </w:t>
      </w:r>
      <w:r>
        <w:rPr>
          <w:sz w:val="20"/>
          <w:szCs w:val="20"/>
        </w:rPr>
        <w:t>š</w:t>
      </w:r>
      <w:r w:rsidRPr="001D71BB">
        <w:rPr>
          <w:sz w:val="20"/>
          <w:szCs w:val="20"/>
        </w:rPr>
        <w:t>altini</w:t>
      </w:r>
      <w:r>
        <w:rPr>
          <w:sz w:val="20"/>
          <w:szCs w:val="20"/>
        </w:rPr>
        <w:t>u</w:t>
      </w:r>
      <w:r w:rsidRPr="001D71BB">
        <w:rPr>
          <w:sz w:val="20"/>
          <w:szCs w:val="20"/>
        </w:rPr>
        <w:t>:</w:t>
      </w:r>
      <w:r>
        <w:rPr>
          <w:sz w:val="20"/>
          <w:szCs w:val="20"/>
        </w:rPr>
        <w:t xml:space="preserve"> </w:t>
      </w:r>
      <w:r w:rsidRPr="001D71BB">
        <w:rPr>
          <w:sz w:val="20"/>
          <w:szCs w:val="20"/>
        </w:rPr>
        <w:t>Kauno medicinos universiteto Sveik</w:t>
      </w:r>
      <w:r>
        <w:rPr>
          <w:sz w:val="20"/>
          <w:szCs w:val="20"/>
        </w:rPr>
        <w:t>atos vadybos katedra</w:t>
      </w:r>
    </w:p>
    <w:p w:rsidR="00995BE0" w:rsidRPr="001D71BB" w:rsidRDefault="00995BE0" w:rsidP="00F6504A">
      <w:pPr>
        <w:spacing w:line="360" w:lineRule="auto"/>
        <w:ind w:right="849" w:firstLine="720"/>
        <w:jc w:val="right"/>
        <w:rPr>
          <w:sz w:val="20"/>
          <w:szCs w:val="20"/>
        </w:rPr>
      </w:pPr>
    </w:p>
    <w:p w:rsidR="00995BE0" w:rsidRPr="001D71BB" w:rsidRDefault="00995BE0" w:rsidP="00F6504A">
      <w:pPr>
        <w:spacing w:line="360" w:lineRule="auto"/>
        <w:ind w:firstLine="600"/>
        <w:jc w:val="both"/>
      </w:pPr>
      <w:r w:rsidRPr="001D71BB">
        <w:t>Gyventojų sveikatos būklę tiksliau atspindi ne bendro mirtingumo, o mirtingumo nuo pagrindinių priežasčių vertinimas. Jis rodo, kokios sveikatos problemos visuomenėje yra aktualiausios ir kaip jos kinta.</w:t>
      </w:r>
    </w:p>
    <w:p w:rsidR="00995BE0" w:rsidRPr="001D71BB" w:rsidRDefault="00995BE0" w:rsidP="00F6504A">
      <w:pPr>
        <w:pStyle w:val="Betarp"/>
        <w:spacing w:line="360" w:lineRule="auto"/>
        <w:ind w:firstLine="600"/>
        <w:jc w:val="both"/>
        <w:rPr>
          <w:rFonts w:ascii="Times New Roman" w:hAnsi="Times New Roman"/>
          <w:sz w:val="24"/>
          <w:szCs w:val="24"/>
        </w:rPr>
      </w:pPr>
      <w:r w:rsidRPr="001D71BB">
        <w:rPr>
          <w:rFonts w:ascii="Times New Roman" w:hAnsi="Times New Roman"/>
          <w:sz w:val="24"/>
          <w:szCs w:val="24"/>
        </w:rPr>
        <w:t>Širdies ir kraujagyslių ligos yra viena svarbiausių ne tik medicinos, bet ir socialinių problemų. 2009 m. Šiaulių mieste mirusieji nuo kraujotakos sistemos ligų sudarė apie pusę (49,5 proc.) visų mirusiųjų. Šiaulių apskrities mirusiųjų dėl kraujotakos sistemos ligų atvejų skaičius (708,7/100 000 gyv.) 2009 m. buvo didesnis už Lietuvos (697,5/100 000 gyv.) (</w:t>
      </w:r>
      <w:r>
        <w:rPr>
          <w:rFonts w:ascii="Times New Roman" w:hAnsi="Times New Roman"/>
          <w:sz w:val="24"/>
          <w:szCs w:val="24"/>
        </w:rPr>
        <w:t>8</w:t>
      </w:r>
      <w:r w:rsidRPr="001D71BB">
        <w:rPr>
          <w:rFonts w:ascii="Times New Roman" w:hAnsi="Times New Roman"/>
          <w:sz w:val="24"/>
          <w:szCs w:val="24"/>
        </w:rPr>
        <w:t xml:space="preserve"> pav.). </w:t>
      </w:r>
    </w:p>
    <w:p w:rsidR="00995BE0" w:rsidRPr="001D71BB" w:rsidRDefault="00A54FAC" w:rsidP="00F6504A">
      <w:pPr>
        <w:jc w:val="center"/>
      </w:pPr>
      <w:r>
        <w:rPr>
          <w:noProof/>
        </w:rPr>
        <w:drawing>
          <wp:inline distT="0" distB="0" distL="0" distR="0">
            <wp:extent cx="5760720" cy="1697990"/>
            <wp:effectExtent l="0" t="0" r="0" b="0"/>
            <wp:docPr id="9"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5BE0" w:rsidRPr="00A453A1" w:rsidRDefault="00995BE0" w:rsidP="00F6504A">
      <w:pPr>
        <w:pStyle w:val="Sraopastraipa"/>
        <w:tabs>
          <w:tab w:val="left" w:pos="8647"/>
        </w:tabs>
        <w:ind w:left="240" w:right="38" w:hanging="240"/>
        <w:jc w:val="center"/>
        <w:rPr>
          <w:sz w:val="22"/>
          <w:szCs w:val="22"/>
        </w:rPr>
      </w:pPr>
      <w:r>
        <w:rPr>
          <w:b/>
          <w:sz w:val="22"/>
          <w:szCs w:val="22"/>
        </w:rPr>
        <w:t>8</w:t>
      </w:r>
      <w:r w:rsidRPr="00A453A1">
        <w:rPr>
          <w:b/>
          <w:sz w:val="22"/>
          <w:szCs w:val="22"/>
        </w:rPr>
        <w:t xml:space="preserve"> pav. </w:t>
      </w:r>
      <w:r w:rsidRPr="00A453A1">
        <w:rPr>
          <w:sz w:val="22"/>
          <w:szCs w:val="22"/>
        </w:rPr>
        <w:t>Mirtingumas pagal priežastis Šiaulių mieste ir Lietuvos Respublikoje 2009 m. (100 000 gyv.)</w:t>
      </w:r>
    </w:p>
    <w:p w:rsidR="00995BE0" w:rsidRPr="001D71BB" w:rsidRDefault="00995BE0" w:rsidP="00F6504A">
      <w:pPr>
        <w:pStyle w:val="Sraopastraipa"/>
        <w:ind w:left="0"/>
        <w:jc w:val="center"/>
        <w:rPr>
          <w:sz w:val="20"/>
          <w:szCs w:val="20"/>
        </w:rPr>
      </w:pPr>
      <w:r w:rsidRPr="001D71BB">
        <w:rPr>
          <w:sz w:val="20"/>
          <w:szCs w:val="20"/>
        </w:rPr>
        <w:t>Sudaryta autoriaus, rem</w:t>
      </w:r>
      <w:r>
        <w:rPr>
          <w:sz w:val="20"/>
          <w:szCs w:val="20"/>
        </w:rPr>
        <w:t>iantis š</w:t>
      </w:r>
      <w:r w:rsidRPr="001D71BB">
        <w:rPr>
          <w:sz w:val="20"/>
          <w:szCs w:val="20"/>
        </w:rPr>
        <w:t>altini</w:t>
      </w:r>
      <w:r>
        <w:rPr>
          <w:sz w:val="20"/>
          <w:szCs w:val="20"/>
        </w:rPr>
        <w:t>u</w:t>
      </w:r>
      <w:r w:rsidRPr="001D71BB">
        <w:rPr>
          <w:sz w:val="20"/>
          <w:szCs w:val="20"/>
        </w:rPr>
        <w:t>:</w:t>
      </w:r>
      <w:r>
        <w:rPr>
          <w:sz w:val="20"/>
          <w:szCs w:val="20"/>
        </w:rPr>
        <w:t xml:space="preserve"> Statistikos departamentas</w:t>
      </w:r>
      <w:r w:rsidRPr="001D71BB">
        <w:rPr>
          <w:sz w:val="20"/>
          <w:szCs w:val="20"/>
        </w:rPr>
        <w:t xml:space="preserve"> prie LR Vyriausybės</w:t>
      </w:r>
    </w:p>
    <w:p w:rsidR="00995BE0" w:rsidRPr="001D71BB" w:rsidRDefault="00995BE0" w:rsidP="00F6504A">
      <w:pPr>
        <w:pStyle w:val="Sraopastraipa"/>
        <w:spacing w:line="360" w:lineRule="auto"/>
        <w:jc w:val="right"/>
        <w:rPr>
          <w:sz w:val="20"/>
          <w:szCs w:val="20"/>
        </w:rPr>
      </w:pPr>
    </w:p>
    <w:p w:rsidR="00995BE0" w:rsidRPr="001D71BB" w:rsidRDefault="00995BE0" w:rsidP="00F6504A">
      <w:pPr>
        <w:pStyle w:val="Sraopastraipa"/>
        <w:spacing w:line="360" w:lineRule="auto"/>
        <w:ind w:left="0" w:firstLine="567"/>
        <w:jc w:val="both"/>
      </w:pPr>
      <w:r w:rsidRPr="001D71BB">
        <w:t>Mirtingumas nuo kraujotakos sistemos ligų pastaruosius kelerius metus mažėjo, sumažėjus ir bendram mirtingumui. Tuo tarpu mirtingumas nuo piktybinių navikų Šiaulių</w:t>
      </w:r>
      <w:r>
        <w:t xml:space="preserve"> mieste</w:t>
      </w:r>
      <w:r w:rsidRPr="001D71BB">
        <w:t xml:space="preserve"> augo iki 2008 m., o 2009 m. šis rodiklis sumažėjo ir siekė 244/100 000 gyv. (</w:t>
      </w:r>
      <w:r>
        <w:t>9</w:t>
      </w:r>
      <w:r w:rsidRPr="001D71BB">
        <w:t xml:space="preserve"> pav.).</w:t>
      </w:r>
    </w:p>
    <w:p w:rsidR="00995BE0" w:rsidRPr="001D71BB" w:rsidRDefault="00A54FAC" w:rsidP="00F6504A">
      <w:pPr>
        <w:spacing w:line="360" w:lineRule="auto"/>
        <w:jc w:val="center"/>
      </w:pPr>
      <w:r>
        <w:rPr>
          <w:noProof/>
        </w:rPr>
        <w:lastRenderedPageBreak/>
        <w:drawing>
          <wp:inline distT="0" distB="0" distL="0" distR="0">
            <wp:extent cx="5891530" cy="2246630"/>
            <wp:effectExtent l="0" t="0" r="0" b="0"/>
            <wp:docPr id="10"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5BE0" w:rsidRPr="00A453A1" w:rsidRDefault="00995BE0" w:rsidP="00F6504A">
      <w:pPr>
        <w:jc w:val="center"/>
      </w:pPr>
      <w:r>
        <w:rPr>
          <w:b/>
        </w:rPr>
        <w:t>9</w:t>
      </w:r>
      <w:r w:rsidRPr="00A453A1">
        <w:rPr>
          <w:b/>
        </w:rPr>
        <w:t xml:space="preserve"> pav. </w:t>
      </w:r>
      <w:r w:rsidRPr="00A453A1">
        <w:t>Mirtingumas pagal priežastis Šiaulių mieste 2004-2009 m. (100 000 gyv.)</w:t>
      </w:r>
    </w:p>
    <w:p w:rsidR="00995BE0" w:rsidRPr="001D71BB" w:rsidRDefault="00995BE0" w:rsidP="00F6504A">
      <w:pPr>
        <w:jc w:val="center"/>
        <w:rPr>
          <w:sz w:val="20"/>
          <w:szCs w:val="20"/>
        </w:rPr>
      </w:pPr>
      <w:r w:rsidRPr="001D71BB">
        <w:rPr>
          <w:sz w:val="20"/>
          <w:szCs w:val="20"/>
        </w:rPr>
        <w:t xml:space="preserve">Sudaryta autoriaus, remiantis </w:t>
      </w:r>
      <w:r>
        <w:rPr>
          <w:sz w:val="20"/>
          <w:szCs w:val="20"/>
        </w:rPr>
        <w:t>šaltiniu</w:t>
      </w:r>
      <w:r w:rsidRPr="001D71BB">
        <w:rPr>
          <w:sz w:val="20"/>
          <w:szCs w:val="20"/>
        </w:rPr>
        <w:t>: Statistikos departament</w:t>
      </w:r>
      <w:r>
        <w:rPr>
          <w:sz w:val="20"/>
          <w:szCs w:val="20"/>
        </w:rPr>
        <w:t>as prie LR Vyriausybės</w:t>
      </w:r>
    </w:p>
    <w:p w:rsidR="00995BE0" w:rsidRPr="001D71BB" w:rsidRDefault="00995BE0" w:rsidP="00F6504A">
      <w:pPr>
        <w:pStyle w:val="Sraopastraipa"/>
        <w:spacing w:line="360" w:lineRule="auto"/>
        <w:ind w:left="0"/>
        <w:jc w:val="both"/>
      </w:pPr>
    </w:p>
    <w:p w:rsidR="00995BE0" w:rsidRPr="001D71BB" w:rsidRDefault="00995BE0" w:rsidP="00F6504A">
      <w:pPr>
        <w:autoSpaceDE w:val="0"/>
        <w:autoSpaceDN w:val="0"/>
        <w:adjustRightInd w:val="0"/>
        <w:spacing w:line="360" w:lineRule="auto"/>
        <w:ind w:firstLine="540"/>
        <w:jc w:val="both"/>
      </w:pPr>
      <w:r w:rsidRPr="001D71BB">
        <w:t xml:space="preserve">Statistiniai duomenys rodo, kad Baltijos jūros regione yra aiškios sergamumo kai kuriomis ligomis geografinės tendencijos. Galima išskirti dvi šalių grupes, pasižyminčias skirtinga sergamumo struktūra. Lietuva, Latvija ir Estija sudaro bendrą grupę, skirtingą nuo Suomijos, Švedijos, Norvegijos. Pirmosios grupės valstybėse dažniau sergama širdies-kraujagyslių, infekcinėmis ligomis, tuberkulioze, tuo tarpu jose mažiau sergama vėžiu, šizofrenija. Šios dvi šalių grupės pasižymi labai skirtingomis geologinėmis sąlygomis. Be abejo, pagrindinę įtaką sergamumo geografijai turi ekonominiai-socialiniai skirtumai. Tačiau geomedicininė analizė parodė kai kurių susirgimų, tokių, kaip vėžys, infekcijos, širdies-kraujagyslių susirgimai, diabetas, tamprią sąsają ir su geologiniais faktoriais – pirmiausiai natūralia geochemine aplinka (Šliaupa </w:t>
      </w:r>
      <w:r>
        <w:t>ir kt.</w:t>
      </w:r>
      <w:r w:rsidRPr="001D71BB">
        <w:t xml:space="preserve"> 2010).</w:t>
      </w:r>
    </w:p>
    <w:p w:rsidR="00995BE0" w:rsidRPr="001D71BB" w:rsidRDefault="00995BE0" w:rsidP="00F747AA">
      <w:pPr>
        <w:spacing w:line="360" w:lineRule="auto"/>
        <w:ind w:firstLine="600"/>
        <w:jc w:val="both"/>
      </w:pPr>
      <w:r w:rsidRPr="001D71BB">
        <w:t>Transporto įvykiai, apsinuodijimai alkoholiu, tyčiniai susižalojimai (savižudybės) ir pasikėsinimai priskiriami išorinių mirties priežasčių klasei. Jie mirties priežasčių struktūroje užima trečiąją vietą.</w:t>
      </w:r>
      <w:r>
        <w:t xml:space="preserve"> Transporto įvykių rodikliai kai kuriose ES šalyse pateikti 6 priede.</w:t>
      </w:r>
      <w:r w:rsidRPr="001D71BB">
        <w:t xml:space="preserve"> Iš visų išorinių mirties priežasčių, dominuoja mirtys dėl tyčinių susižalojimų (savižudybių). Higienos instituto sveikatos informacijos duomenimis, Šiaulių mieste savižudybės 2009 m. sudarė 35,8 atvejo 100 000 gyv. iš kurių dvigubai daugiau buvo vyrų. Eurostato duomenimis, 2008 metais Lietuvoje savižudybių rodiklis buvo 30,7/100 000 gyv. ir lenkė kitas šalis (1</w:t>
      </w:r>
      <w:r>
        <w:t>0</w:t>
      </w:r>
      <w:r w:rsidRPr="001D71BB">
        <w:t xml:space="preserve"> pav.).</w:t>
      </w:r>
    </w:p>
    <w:p w:rsidR="00995BE0" w:rsidRPr="001D71BB" w:rsidRDefault="00A54FAC" w:rsidP="00F6504A">
      <w:pPr>
        <w:spacing w:line="360" w:lineRule="auto"/>
        <w:jc w:val="center"/>
      </w:pPr>
      <w:r>
        <w:rPr>
          <w:noProof/>
        </w:rPr>
        <w:lastRenderedPageBreak/>
        <w:drawing>
          <wp:inline distT="0" distB="0" distL="0" distR="0">
            <wp:extent cx="5786755" cy="2325370"/>
            <wp:effectExtent l="0" t="0" r="0" b="0"/>
            <wp:docPr id="11" name="Objekta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5BE0" w:rsidRPr="00A453A1" w:rsidRDefault="00995BE0" w:rsidP="00F6504A">
      <w:pPr>
        <w:ind w:left="1134"/>
        <w:rPr>
          <w:b/>
          <w:sz w:val="22"/>
          <w:szCs w:val="22"/>
        </w:rPr>
      </w:pPr>
      <w:r w:rsidRPr="00A453A1">
        <w:rPr>
          <w:b/>
          <w:sz w:val="22"/>
          <w:szCs w:val="22"/>
        </w:rPr>
        <w:t>1</w:t>
      </w:r>
      <w:r>
        <w:rPr>
          <w:b/>
          <w:sz w:val="22"/>
          <w:szCs w:val="22"/>
        </w:rPr>
        <w:t>0</w:t>
      </w:r>
      <w:r w:rsidRPr="00A453A1">
        <w:rPr>
          <w:b/>
          <w:sz w:val="22"/>
          <w:szCs w:val="22"/>
        </w:rPr>
        <w:t xml:space="preserve"> pav. </w:t>
      </w:r>
      <w:r w:rsidRPr="00A453A1">
        <w:rPr>
          <w:sz w:val="22"/>
          <w:szCs w:val="22"/>
        </w:rPr>
        <w:t>Mirtingumas dėl savižudybių kai kuriose Europos šalyse (100 000 gyv.)</w:t>
      </w:r>
    </w:p>
    <w:p w:rsidR="00995BE0" w:rsidRPr="001C7068" w:rsidRDefault="00995BE0" w:rsidP="00014017">
      <w:pPr>
        <w:ind w:left="360"/>
        <w:jc w:val="both"/>
        <w:rPr>
          <w:sz w:val="22"/>
          <w:szCs w:val="22"/>
        </w:rPr>
      </w:pPr>
      <w:r>
        <w:rPr>
          <w:sz w:val="20"/>
          <w:szCs w:val="20"/>
        </w:rPr>
        <w:t>Sudaryta autoriaus, remiantis š</w:t>
      </w:r>
      <w:r w:rsidRPr="001D71BB">
        <w:rPr>
          <w:sz w:val="20"/>
          <w:szCs w:val="20"/>
        </w:rPr>
        <w:t>altini</w:t>
      </w:r>
      <w:r>
        <w:rPr>
          <w:sz w:val="20"/>
          <w:szCs w:val="20"/>
        </w:rPr>
        <w:t>u</w:t>
      </w:r>
      <w:r w:rsidRPr="001D71BB">
        <w:rPr>
          <w:sz w:val="20"/>
          <w:szCs w:val="20"/>
        </w:rPr>
        <w:t>:</w:t>
      </w:r>
      <w:r w:rsidRPr="00014017">
        <w:rPr>
          <w:sz w:val="20"/>
          <w:szCs w:val="20"/>
        </w:rPr>
        <w:t xml:space="preserve"> Eurostat regional yearbook (2010). Eurostat Statistical books [žiūrėta 2010-11-25]. Prieiga per internetą: </w:t>
      </w:r>
      <w:hyperlink r:id="rId31" w:history="1">
        <w:r w:rsidRPr="00014017">
          <w:rPr>
            <w:rStyle w:val="Hipersaitas"/>
            <w:sz w:val="20"/>
            <w:szCs w:val="20"/>
          </w:rPr>
          <w:t>http://epp.eurostat.ec.europa.eu/cache/ITY_OFFPUB/KS-HA-10-001/EN/KS-HA-10-001-EN.PDF</w:t>
        </w:r>
      </w:hyperlink>
      <w:r w:rsidRPr="00014017">
        <w:rPr>
          <w:sz w:val="20"/>
          <w:szCs w:val="20"/>
        </w:rPr>
        <w:t>.</w:t>
      </w:r>
    </w:p>
    <w:p w:rsidR="00995BE0" w:rsidRPr="001D71BB" w:rsidRDefault="00995BE0" w:rsidP="00F6504A">
      <w:pPr>
        <w:jc w:val="center"/>
        <w:rPr>
          <w:sz w:val="20"/>
          <w:szCs w:val="20"/>
        </w:rPr>
      </w:pPr>
    </w:p>
    <w:p w:rsidR="00995BE0" w:rsidRPr="001D71BB" w:rsidRDefault="00995BE0" w:rsidP="00F6504A">
      <w:pPr>
        <w:jc w:val="center"/>
        <w:rPr>
          <w:sz w:val="20"/>
          <w:szCs w:val="20"/>
        </w:rPr>
      </w:pPr>
    </w:p>
    <w:p w:rsidR="00995BE0" w:rsidRPr="001D71BB" w:rsidRDefault="00995BE0" w:rsidP="00F6504A">
      <w:pPr>
        <w:spacing w:line="360" w:lineRule="auto"/>
        <w:ind w:firstLine="567"/>
        <w:jc w:val="both"/>
      </w:pPr>
      <w:r w:rsidRPr="001D71BB">
        <w:t xml:space="preserve">Savižudybių paplitimo Lietuvoje tendencijos yra labai savitos. </w:t>
      </w:r>
      <w:r>
        <w:t xml:space="preserve">A. </w:t>
      </w:r>
      <w:r w:rsidRPr="001D71BB">
        <w:t>Goštautas ir kt</w:t>
      </w:r>
      <w:r>
        <w:t>.</w:t>
      </w:r>
      <w:r w:rsidRPr="001D71BB">
        <w:t xml:space="preserve"> (2010</w:t>
      </w:r>
      <w:r>
        <w:t>) p</w:t>
      </w:r>
      <w:r w:rsidRPr="001D71BB">
        <w:t xml:space="preserve">ažymi, kad iki karo mūsų valstybėje savižudybių dažnis buvo tarp pačių mažiausių Europoje, tuo tarpu, paskelbus nepriklausomybę pradėjo didėti ir maksimumą pasiekė 2002 m. – beveik 45 atvejų 100 tūkst. gyventojų. </w:t>
      </w:r>
    </w:p>
    <w:p w:rsidR="00995BE0" w:rsidRPr="001D71BB" w:rsidRDefault="00995BE0" w:rsidP="00F6504A">
      <w:pPr>
        <w:tabs>
          <w:tab w:val="left" w:pos="9638"/>
        </w:tabs>
        <w:spacing w:line="360" w:lineRule="auto"/>
        <w:ind w:right="-1" w:firstLine="600"/>
        <w:jc w:val="both"/>
      </w:pPr>
      <w:r w:rsidRPr="001D71BB">
        <w:t xml:space="preserve">Lėtinės neinfekcinės ligos yra viena aktualiausių tiek Šiaulių, tiek visos Lietuvos gyventojų sveikatos problemų. Mažas fizinis aktyvumas, ilgalaikis stresas, neracionali mityba, rūkymas bei nesaikingas alkoholio vartojimas skatina širdies ir kraujotakos sistemos ligų plitimą. </w:t>
      </w:r>
    </w:p>
    <w:p w:rsidR="00995BE0" w:rsidRPr="001D71BB" w:rsidRDefault="00995BE0" w:rsidP="00F6504A">
      <w:pPr>
        <w:tabs>
          <w:tab w:val="left" w:pos="540"/>
          <w:tab w:val="right" w:pos="9638"/>
        </w:tabs>
        <w:autoSpaceDE w:val="0"/>
        <w:autoSpaceDN w:val="0"/>
        <w:adjustRightInd w:val="0"/>
        <w:spacing w:line="360" w:lineRule="auto"/>
        <w:jc w:val="both"/>
        <w:rPr>
          <w:b/>
          <w:noProof/>
          <w:u w:val="single"/>
        </w:rPr>
      </w:pPr>
      <w:r w:rsidRPr="001D71BB">
        <w:tab/>
        <w:t>Gyventojų sergamumo struktūra pagal pagrindines ligų klases skiriasi nuo mirtingumo struktūros. Higienos instituto sveikatos informacijos centro duomenimis, 2009 metais daugiausia Šiaulių miesto gyventojų sirgo jungiamojo audinio ir skeleto raumenų sistemos ligomis (102,3/1 000 gyv.), antroje vietoje buvo traumos bei apsinuodijimai (81,2/1 000 gyv.).</w:t>
      </w:r>
    </w:p>
    <w:p w:rsidR="00995BE0" w:rsidRPr="001D71BB" w:rsidRDefault="00A54FAC" w:rsidP="00F6504A">
      <w:pPr>
        <w:spacing w:line="360" w:lineRule="auto"/>
        <w:jc w:val="center"/>
      </w:pPr>
      <w:r>
        <w:rPr>
          <w:noProof/>
        </w:rPr>
        <w:drawing>
          <wp:inline distT="0" distB="0" distL="0" distR="0">
            <wp:extent cx="5643245" cy="1724025"/>
            <wp:effectExtent l="0" t="0" r="0" b="0"/>
            <wp:docPr id="12" name="Objekta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5BE0" w:rsidRPr="00A453A1" w:rsidRDefault="00995BE0" w:rsidP="00F6504A">
      <w:pPr>
        <w:jc w:val="center"/>
      </w:pPr>
      <w:r w:rsidRPr="00A453A1">
        <w:rPr>
          <w:b/>
        </w:rPr>
        <w:t>1</w:t>
      </w:r>
      <w:r>
        <w:rPr>
          <w:b/>
        </w:rPr>
        <w:t>1</w:t>
      </w:r>
      <w:r w:rsidRPr="00A453A1">
        <w:rPr>
          <w:b/>
        </w:rPr>
        <w:t xml:space="preserve"> pav. </w:t>
      </w:r>
      <w:r w:rsidRPr="00A453A1">
        <w:t>Gyventojų sergamumas kai kuriomis ligomis Šiaulių mieste 200</w:t>
      </w:r>
      <w:r>
        <w:t>9</w:t>
      </w:r>
      <w:r w:rsidRPr="00A453A1">
        <w:t xml:space="preserve"> m. (1 000 gyv.)</w:t>
      </w:r>
    </w:p>
    <w:p w:rsidR="00995BE0" w:rsidRPr="001D71BB" w:rsidRDefault="00995BE0" w:rsidP="00F6504A">
      <w:pPr>
        <w:jc w:val="center"/>
        <w:rPr>
          <w:sz w:val="20"/>
          <w:szCs w:val="20"/>
        </w:rPr>
      </w:pPr>
      <w:r w:rsidRPr="001D71BB">
        <w:rPr>
          <w:sz w:val="20"/>
          <w:szCs w:val="20"/>
        </w:rPr>
        <w:t xml:space="preserve">Sudaryta autoriaus, remiantis </w:t>
      </w:r>
      <w:r>
        <w:rPr>
          <w:sz w:val="20"/>
          <w:szCs w:val="20"/>
        </w:rPr>
        <w:t>š</w:t>
      </w:r>
      <w:r w:rsidRPr="001D71BB">
        <w:rPr>
          <w:sz w:val="20"/>
          <w:szCs w:val="20"/>
        </w:rPr>
        <w:t>altinis: Higienos instituto Sveikatos</w:t>
      </w:r>
      <w:r>
        <w:rPr>
          <w:sz w:val="20"/>
          <w:szCs w:val="20"/>
        </w:rPr>
        <w:t xml:space="preserve">  informacijos centras</w:t>
      </w:r>
    </w:p>
    <w:p w:rsidR="00995BE0" w:rsidRDefault="00995BE0" w:rsidP="00F6504A">
      <w:pPr>
        <w:spacing w:line="360" w:lineRule="auto"/>
        <w:ind w:firstLine="540"/>
        <w:jc w:val="both"/>
        <w:rPr>
          <w:rFonts w:ascii="Times New Roman,Bold" w:hAnsi="Times New Roman,Bold"/>
          <w:bCs/>
        </w:rPr>
      </w:pPr>
    </w:p>
    <w:p w:rsidR="00995BE0" w:rsidRPr="001D71BB" w:rsidRDefault="00995BE0" w:rsidP="00F6504A">
      <w:pPr>
        <w:spacing w:line="360" w:lineRule="auto"/>
        <w:ind w:firstLine="540"/>
        <w:jc w:val="both"/>
        <w:rPr>
          <w:bCs/>
        </w:rPr>
      </w:pPr>
      <w:r w:rsidRPr="001D71BB">
        <w:rPr>
          <w:rFonts w:ascii="Times New Roman,Bold" w:hAnsi="Times New Roman,Bold"/>
          <w:bCs/>
        </w:rPr>
        <w:t>Pastaraisiais metais onkologini</w:t>
      </w:r>
      <w:r w:rsidRPr="001D71BB">
        <w:rPr>
          <w:bCs/>
        </w:rPr>
        <w:t xml:space="preserve">ų susirgimų šalyje kasmet daugėja. Šiaulių mieste susirgimų šiomis ligomis rodiklis kilo 2005-2007 m. laikotarpyje, o nuo 2008 - mažėjo ir 2009 m. siekė </w:t>
      </w:r>
      <w:r w:rsidRPr="001D71BB">
        <w:rPr>
          <w:bCs/>
        </w:rPr>
        <w:lastRenderedPageBreak/>
        <w:t>489,7/100 000 gyv. (1</w:t>
      </w:r>
      <w:r>
        <w:rPr>
          <w:bCs/>
        </w:rPr>
        <w:t>2</w:t>
      </w:r>
      <w:r w:rsidRPr="001D71BB">
        <w:rPr>
          <w:bCs/>
        </w:rPr>
        <w:t xml:space="preserve"> pav.). Pagal L</w:t>
      </w:r>
      <w:r>
        <w:rPr>
          <w:bCs/>
        </w:rPr>
        <w:t>ietuvos sveikatos programą</w:t>
      </w:r>
      <w:r w:rsidRPr="001D71BB">
        <w:rPr>
          <w:bCs/>
        </w:rPr>
        <w:t xml:space="preserve">, iki 2010 m. sergamumą piktybiniais navikais numatyta sumažinti 10 proc., taigi rodiklis turėtų būti 323,4/100 000 gyv. </w:t>
      </w:r>
    </w:p>
    <w:p w:rsidR="00995BE0" w:rsidRPr="00A453A1" w:rsidRDefault="00A54FAC" w:rsidP="00F747AA">
      <w:pPr>
        <w:jc w:val="center"/>
        <w:rPr>
          <w:b/>
          <w:sz w:val="22"/>
          <w:szCs w:val="22"/>
        </w:rPr>
      </w:pPr>
      <w:r>
        <w:rPr>
          <w:b/>
          <w:noProof/>
        </w:rPr>
        <w:drawing>
          <wp:inline distT="0" distB="0" distL="0" distR="0">
            <wp:extent cx="6165850" cy="2586355"/>
            <wp:effectExtent l="0" t="0" r="0" b="0"/>
            <wp:docPr id="13"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995BE0" w:rsidRPr="00A453A1">
        <w:rPr>
          <w:b/>
          <w:sz w:val="22"/>
          <w:szCs w:val="22"/>
        </w:rPr>
        <w:t>1</w:t>
      </w:r>
      <w:r w:rsidR="00995BE0">
        <w:rPr>
          <w:b/>
          <w:sz w:val="22"/>
          <w:szCs w:val="22"/>
        </w:rPr>
        <w:t>2</w:t>
      </w:r>
      <w:r w:rsidR="00995BE0" w:rsidRPr="00A453A1">
        <w:rPr>
          <w:b/>
          <w:sz w:val="22"/>
          <w:szCs w:val="22"/>
        </w:rPr>
        <w:t xml:space="preserve"> pav. </w:t>
      </w:r>
      <w:r w:rsidR="00995BE0">
        <w:rPr>
          <w:sz w:val="22"/>
          <w:szCs w:val="22"/>
        </w:rPr>
        <w:t>Sergamumas</w:t>
      </w:r>
      <w:r w:rsidR="00995BE0" w:rsidRPr="00A453A1">
        <w:rPr>
          <w:sz w:val="22"/>
          <w:szCs w:val="22"/>
        </w:rPr>
        <w:t xml:space="preserve"> piktybini</w:t>
      </w:r>
      <w:r w:rsidR="00995BE0">
        <w:rPr>
          <w:sz w:val="22"/>
          <w:szCs w:val="22"/>
        </w:rPr>
        <w:t>ais navikais</w:t>
      </w:r>
      <w:r w:rsidR="00995BE0" w:rsidRPr="00A453A1">
        <w:rPr>
          <w:sz w:val="22"/>
          <w:szCs w:val="22"/>
        </w:rPr>
        <w:t xml:space="preserve"> Šiauli</w:t>
      </w:r>
      <w:r w:rsidR="00995BE0">
        <w:rPr>
          <w:sz w:val="22"/>
          <w:szCs w:val="22"/>
        </w:rPr>
        <w:t>uose</w:t>
      </w:r>
      <w:r w:rsidR="00995BE0" w:rsidRPr="00A453A1">
        <w:rPr>
          <w:sz w:val="22"/>
          <w:szCs w:val="22"/>
        </w:rPr>
        <w:t xml:space="preserve"> ir šalyje 2004-2009 m. (100 000 gyv.)</w:t>
      </w:r>
    </w:p>
    <w:p w:rsidR="00995BE0" w:rsidRPr="001D71BB" w:rsidRDefault="00995BE0" w:rsidP="00F747AA">
      <w:pPr>
        <w:jc w:val="center"/>
        <w:rPr>
          <w:sz w:val="20"/>
          <w:szCs w:val="20"/>
        </w:rPr>
      </w:pPr>
      <w:r w:rsidRPr="001D71BB">
        <w:rPr>
          <w:sz w:val="20"/>
          <w:szCs w:val="20"/>
        </w:rPr>
        <w:t xml:space="preserve">Sudaryta autoriaus, remiantis </w:t>
      </w:r>
      <w:r>
        <w:rPr>
          <w:sz w:val="20"/>
          <w:szCs w:val="20"/>
        </w:rPr>
        <w:t>š</w:t>
      </w:r>
      <w:r w:rsidRPr="001D71BB">
        <w:rPr>
          <w:sz w:val="20"/>
          <w:szCs w:val="20"/>
        </w:rPr>
        <w:t>altini</w:t>
      </w:r>
      <w:r>
        <w:rPr>
          <w:sz w:val="20"/>
          <w:szCs w:val="20"/>
        </w:rPr>
        <w:t>u</w:t>
      </w:r>
      <w:r w:rsidRPr="001D71BB">
        <w:rPr>
          <w:sz w:val="20"/>
          <w:szCs w:val="20"/>
        </w:rPr>
        <w:t>: Vilniaus universiteto onkologijos</w:t>
      </w:r>
      <w:r>
        <w:rPr>
          <w:sz w:val="20"/>
          <w:szCs w:val="20"/>
        </w:rPr>
        <w:t xml:space="preserve"> institutas</w:t>
      </w:r>
    </w:p>
    <w:p w:rsidR="00995BE0" w:rsidRPr="001D71BB" w:rsidRDefault="00995BE0" w:rsidP="00F6504A">
      <w:pPr>
        <w:spacing w:line="360" w:lineRule="auto"/>
        <w:jc w:val="center"/>
        <w:rPr>
          <w:sz w:val="20"/>
          <w:szCs w:val="20"/>
        </w:rPr>
      </w:pPr>
    </w:p>
    <w:p w:rsidR="00995BE0" w:rsidRPr="001D71BB" w:rsidRDefault="00995BE0" w:rsidP="00F6504A">
      <w:pPr>
        <w:spacing w:line="360" w:lineRule="auto"/>
        <w:ind w:firstLine="720"/>
        <w:jc w:val="both"/>
        <w:rPr>
          <w:sz w:val="20"/>
          <w:szCs w:val="20"/>
        </w:rPr>
      </w:pPr>
      <w:r w:rsidRPr="001D71BB">
        <w:t>2009 m. Šiauliuose gyvenantys vyrai dažniausiai sirgo priešinės liaukos, virškinimo organų ir kvėpavimo ir krūtinės ląstos organų vėžiu. Moterys – krūties, odos melonama ir kitais odos piktybiniais navikais, bei lytinių organų vėžiu (</w:t>
      </w:r>
      <w:r>
        <w:t>13</w:t>
      </w:r>
      <w:r w:rsidRPr="001D71BB">
        <w:t xml:space="preserve"> pav.). Pagal visas piktybinių auglių lokalizacijas, dažniau serga vyrai nei moterys. Šiaulių miesto vyrų sergamumas 2009 m. sudarė 543,6 atvejų 100 000 gyventojų, moterų – 438,9 atvejų 100 000 gyventojų.</w:t>
      </w:r>
    </w:p>
    <w:p w:rsidR="00995BE0" w:rsidRPr="001D71BB" w:rsidRDefault="00A54FAC" w:rsidP="00F6504A">
      <w:pPr>
        <w:spacing w:after="120"/>
        <w:ind w:right="38"/>
        <w:jc w:val="center"/>
        <w:rPr>
          <w:sz w:val="20"/>
          <w:szCs w:val="20"/>
        </w:rPr>
      </w:pPr>
      <w:r>
        <w:rPr>
          <w:noProof/>
          <w:sz w:val="20"/>
          <w:szCs w:val="20"/>
        </w:rPr>
        <w:drawing>
          <wp:inline distT="0" distB="0" distL="0" distR="0">
            <wp:extent cx="6217920" cy="2743200"/>
            <wp:effectExtent l="0" t="0" r="0" b="0"/>
            <wp:docPr id="14" name="Objekta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995BE0" w:rsidRPr="00A453A1">
        <w:rPr>
          <w:b/>
          <w:sz w:val="22"/>
          <w:szCs w:val="22"/>
        </w:rPr>
        <w:t>1</w:t>
      </w:r>
      <w:r w:rsidR="00995BE0">
        <w:rPr>
          <w:b/>
          <w:sz w:val="22"/>
          <w:szCs w:val="22"/>
        </w:rPr>
        <w:t>3</w:t>
      </w:r>
      <w:r w:rsidR="00995BE0" w:rsidRPr="00A453A1">
        <w:rPr>
          <w:b/>
          <w:sz w:val="22"/>
          <w:szCs w:val="22"/>
        </w:rPr>
        <w:t xml:space="preserve"> pav. </w:t>
      </w:r>
      <w:r w:rsidR="00995BE0" w:rsidRPr="00A453A1">
        <w:rPr>
          <w:sz w:val="22"/>
          <w:szCs w:val="22"/>
        </w:rPr>
        <w:t>Sergamumas piktybiniai navikais pagal lokalizacijas ir lytį  Šiaulių mieste 2009 m. (100 000 gyv.)</w:t>
      </w:r>
      <w:r w:rsidR="00995BE0" w:rsidRPr="00A453A1">
        <w:rPr>
          <w:sz w:val="20"/>
          <w:szCs w:val="20"/>
        </w:rPr>
        <w:t xml:space="preserve"> </w:t>
      </w:r>
      <w:r w:rsidR="00995BE0" w:rsidRPr="00A453A1">
        <w:rPr>
          <w:sz w:val="20"/>
          <w:szCs w:val="20"/>
        </w:rPr>
        <w:br/>
      </w:r>
      <w:r w:rsidR="00995BE0" w:rsidRPr="001D71BB">
        <w:rPr>
          <w:sz w:val="20"/>
          <w:szCs w:val="20"/>
        </w:rPr>
        <w:t>Sudaryta aut</w:t>
      </w:r>
      <w:r w:rsidR="00995BE0">
        <w:rPr>
          <w:sz w:val="20"/>
          <w:szCs w:val="20"/>
        </w:rPr>
        <w:t>oriaus, r</w:t>
      </w:r>
      <w:r w:rsidR="00995BE0" w:rsidRPr="001D71BB">
        <w:rPr>
          <w:sz w:val="20"/>
          <w:szCs w:val="20"/>
        </w:rPr>
        <w:t xml:space="preserve">emiantis </w:t>
      </w:r>
      <w:r w:rsidR="00995BE0">
        <w:rPr>
          <w:sz w:val="20"/>
          <w:szCs w:val="20"/>
        </w:rPr>
        <w:t xml:space="preserve">šaltiniu: </w:t>
      </w:r>
      <w:r w:rsidR="00995BE0" w:rsidRPr="001D71BB">
        <w:rPr>
          <w:sz w:val="20"/>
          <w:szCs w:val="20"/>
        </w:rPr>
        <w:t>Vilniaus universiteto onkologijos institutas.</w:t>
      </w:r>
    </w:p>
    <w:p w:rsidR="00995BE0" w:rsidRPr="001D71BB" w:rsidRDefault="00995BE0" w:rsidP="00F6504A">
      <w:pPr>
        <w:spacing w:line="360" w:lineRule="auto"/>
        <w:jc w:val="right"/>
        <w:rPr>
          <w:sz w:val="20"/>
          <w:szCs w:val="20"/>
        </w:rPr>
      </w:pPr>
    </w:p>
    <w:p w:rsidR="00995BE0" w:rsidRPr="001D71BB" w:rsidRDefault="00995BE0" w:rsidP="00F6504A">
      <w:pPr>
        <w:autoSpaceDE w:val="0"/>
        <w:autoSpaceDN w:val="0"/>
        <w:adjustRightInd w:val="0"/>
        <w:spacing w:line="360" w:lineRule="auto"/>
        <w:ind w:firstLine="540"/>
        <w:jc w:val="both"/>
      </w:pPr>
      <w:r w:rsidRPr="001D71BB">
        <w:t>Gimdos kaklelio vėžys (GKV) bei krūties piktybiniai navikai (KPN) užima pirmą ir antrą vietas diagnozuojamų vėžio lokalizacijų struktūroje bei yra vienos dažniausių mirties priežasčių</w:t>
      </w:r>
      <w:r>
        <w:t xml:space="preserve"> moterų tarpe visame pasaulyje (</w:t>
      </w:r>
      <w:r w:rsidRPr="001D71BB">
        <w:t>Doescher, Jackson, 2008; Todorova, 2009</w:t>
      </w:r>
      <w:r>
        <w:t>)</w:t>
      </w:r>
      <w:r w:rsidRPr="001D71BB">
        <w:t xml:space="preserve">. Lietuvoje mirtingumas </w:t>
      </w:r>
      <w:r w:rsidRPr="001D71BB">
        <w:lastRenderedPageBreak/>
        <w:t xml:space="preserve">nuo gimdos kaklelio vėžio yra vienas didžiausių visoje Europos Sąjungoje. Krūties piktybiniai navikai – dažniausia Lietuvos moterų mirties priežastis </w:t>
      </w:r>
      <w:r>
        <w:t>(</w:t>
      </w:r>
      <w:r w:rsidRPr="001D71BB">
        <w:t>Smailytė, Kurtinaitis, 2008</w:t>
      </w:r>
      <w:r>
        <w:t>)</w:t>
      </w:r>
      <w:r w:rsidRPr="001D71BB">
        <w:t>.</w:t>
      </w:r>
      <w:r w:rsidRPr="006D4454">
        <w:t xml:space="preserve"> </w:t>
      </w:r>
      <w:r w:rsidRPr="001D71BB">
        <w:t>Grubūs mirtingumo nuo gimdos kaklelio vėžio rodikliai per pastaruosius 44-ius metus buvo didesni kaimo moterų populiacijoje</w:t>
      </w:r>
      <w:r>
        <w:t xml:space="preserve">. Anot R. </w:t>
      </w:r>
      <w:r w:rsidRPr="001D71BB">
        <w:t>Gureviči</w:t>
      </w:r>
      <w:r>
        <w:t>a</w:t>
      </w:r>
      <w:r w:rsidRPr="001D71BB">
        <w:t xml:space="preserve">us ir kt. </w:t>
      </w:r>
      <w:r>
        <w:t>(</w:t>
      </w:r>
      <w:r w:rsidRPr="001D71BB">
        <w:t>2010</w:t>
      </w:r>
      <w:r>
        <w:t xml:space="preserve">), </w:t>
      </w:r>
      <w:r w:rsidRPr="001D71BB">
        <w:t>didžiulę reikšmę mirtingumo nuo gimdos kaklelio vėžio skirtumams mieste ir kaime turėjo skirtinga moterų struktūra pagal amžių</w:t>
      </w:r>
      <w:r>
        <w:t>.</w:t>
      </w:r>
    </w:p>
    <w:p w:rsidR="00995BE0" w:rsidRPr="001D71BB" w:rsidRDefault="00995BE0" w:rsidP="00F6504A">
      <w:pPr>
        <w:spacing w:line="360" w:lineRule="auto"/>
        <w:ind w:firstLine="567"/>
        <w:jc w:val="both"/>
      </w:pPr>
      <w:r w:rsidRPr="001D71BB">
        <w:t>Higienos instituto Sveikatos informacijos centro duomenimis,  2009 m. sergamumo psichikos ligomis rodiklis Šiaulių mieste buvo 85/100 000 gyv. Didžiausias sergamumas psichikos ligomis 2004-2009 m. laikotarpyje Šiaulių mieste buvo 220,5/100 00 gyv. 2004 m. (</w:t>
      </w:r>
      <w:r>
        <w:t>14</w:t>
      </w:r>
      <w:r w:rsidRPr="001D71BB">
        <w:t xml:space="preserve"> pav.).</w:t>
      </w:r>
    </w:p>
    <w:p w:rsidR="00995BE0" w:rsidRPr="00E644C9" w:rsidRDefault="00A54FAC" w:rsidP="005C1CC1">
      <w:pPr>
        <w:jc w:val="center"/>
        <w:rPr>
          <w:sz w:val="22"/>
          <w:szCs w:val="22"/>
        </w:rPr>
      </w:pPr>
      <w:r>
        <w:rPr>
          <w:noProof/>
        </w:rPr>
        <w:drawing>
          <wp:inline distT="0" distB="0" distL="0" distR="0">
            <wp:extent cx="6191885" cy="1645920"/>
            <wp:effectExtent l="0" t="0" r="0" b="0"/>
            <wp:docPr id="15" name="Objekta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95BE0">
        <w:rPr>
          <w:b/>
          <w:sz w:val="22"/>
          <w:szCs w:val="22"/>
        </w:rPr>
        <w:t>14</w:t>
      </w:r>
      <w:r w:rsidR="00995BE0" w:rsidRPr="00E644C9">
        <w:rPr>
          <w:b/>
          <w:sz w:val="22"/>
          <w:szCs w:val="22"/>
        </w:rPr>
        <w:t xml:space="preserve"> pav. </w:t>
      </w:r>
      <w:r w:rsidR="00995BE0" w:rsidRPr="00E644C9">
        <w:rPr>
          <w:sz w:val="22"/>
          <w:szCs w:val="22"/>
        </w:rPr>
        <w:t>Sergamumas psichikos ligomis Šiaulių mieste ir Lietuvo</w:t>
      </w:r>
      <w:r w:rsidR="00995BE0">
        <w:rPr>
          <w:sz w:val="22"/>
          <w:szCs w:val="22"/>
        </w:rPr>
        <w:t>je</w:t>
      </w:r>
      <w:r w:rsidR="00995BE0" w:rsidRPr="00E644C9">
        <w:rPr>
          <w:sz w:val="22"/>
          <w:szCs w:val="22"/>
        </w:rPr>
        <w:t xml:space="preserve"> 2004-2009 m. (100 000 gyv.)</w:t>
      </w:r>
    </w:p>
    <w:p w:rsidR="00995BE0" w:rsidRPr="001D71BB" w:rsidRDefault="00995BE0" w:rsidP="005C1CC1">
      <w:pPr>
        <w:jc w:val="center"/>
        <w:rPr>
          <w:sz w:val="20"/>
          <w:szCs w:val="20"/>
        </w:rPr>
      </w:pPr>
      <w:r w:rsidRPr="001D71BB">
        <w:rPr>
          <w:sz w:val="20"/>
          <w:szCs w:val="20"/>
        </w:rPr>
        <w:t xml:space="preserve">Sudaryta autoriaus, remiantis </w:t>
      </w:r>
      <w:r>
        <w:rPr>
          <w:sz w:val="20"/>
          <w:szCs w:val="20"/>
        </w:rPr>
        <w:t>š</w:t>
      </w:r>
      <w:r w:rsidRPr="001D71BB">
        <w:rPr>
          <w:sz w:val="20"/>
          <w:szCs w:val="20"/>
        </w:rPr>
        <w:t>altini</w:t>
      </w:r>
      <w:r>
        <w:rPr>
          <w:sz w:val="20"/>
          <w:szCs w:val="20"/>
        </w:rPr>
        <w:t>u</w:t>
      </w:r>
      <w:r w:rsidRPr="001D71BB">
        <w:rPr>
          <w:sz w:val="20"/>
          <w:szCs w:val="20"/>
        </w:rPr>
        <w:t>:</w:t>
      </w:r>
      <w:r>
        <w:rPr>
          <w:sz w:val="20"/>
          <w:szCs w:val="20"/>
        </w:rPr>
        <w:t xml:space="preserve"> </w:t>
      </w:r>
      <w:r w:rsidRPr="001D71BB">
        <w:rPr>
          <w:sz w:val="20"/>
          <w:szCs w:val="20"/>
        </w:rPr>
        <w:t>Higienos instituto Sveikatos</w:t>
      </w:r>
      <w:r>
        <w:rPr>
          <w:sz w:val="20"/>
          <w:szCs w:val="20"/>
        </w:rPr>
        <w:t xml:space="preserve">  informacijos centras</w:t>
      </w:r>
    </w:p>
    <w:p w:rsidR="00995BE0" w:rsidRPr="001D71BB" w:rsidRDefault="00995BE0" w:rsidP="00F6504A">
      <w:pPr>
        <w:spacing w:line="360" w:lineRule="auto"/>
        <w:jc w:val="center"/>
        <w:rPr>
          <w:sz w:val="20"/>
          <w:szCs w:val="20"/>
        </w:rPr>
      </w:pPr>
    </w:p>
    <w:p w:rsidR="00995BE0" w:rsidRPr="001D71BB" w:rsidRDefault="00995BE0" w:rsidP="00F6504A">
      <w:pPr>
        <w:spacing w:line="360" w:lineRule="auto"/>
        <w:ind w:firstLine="567"/>
        <w:jc w:val="both"/>
        <w:rPr>
          <w:sz w:val="20"/>
          <w:szCs w:val="20"/>
        </w:rPr>
      </w:pPr>
      <w:r w:rsidRPr="001D71BB">
        <w:t>Tuberkuliozė yra viena grėsmingų užkrečiamų ligų. Šiaulių mieste sergamumas tuberkulioze nuo 2005 m. kasmet mažėja ir 2009 m. siekė 32,6 atvejus 100 000 gyventojų. Šalies sergamumas buvo didesnis (50,2/100 000 gyv.). Europos ligų prevencijos ir kontrolės ligų centro duomenimis, 2007 m. Lietuvą sergamumu tuberkulioze lenkė tik Rumunija (118,2/100 000 gyv.).</w:t>
      </w:r>
    </w:p>
    <w:p w:rsidR="00995BE0" w:rsidRPr="001D71BB" w:rsidRDefault="00A54FAC" w:rsidP="005C1CC1">
      <w:pPr>
        <w:autoSpaceDE w:val="0"/>
        <w:autoSpaceDN w:val="0"/>
        <w:adjustRightInd w:val="0"/>
        <w:jc w:val="center"/>
        <w:rPr>
          <w:sz w:val="20"/>
          <w:szCs w:val="20"/>
        </w:rPr>
      </w:pPr>
      <w:r>
        <w:rPr>
          <w:rFonts w:ascii="Times New Roman,Bold" w:hAnsi="Times New Roman,Bold" w:cs="TimesNewRomanPSMT"/>
          <w:noProof/>
        </w:rPr>
        <w:drawing>
          <wp:inline distT="0" distB="0" distL="0" distR="0">
            <wp:extent cx="6269990" cy="1697990"/>
            <wp:effectExtent l="0" t="0" r="0" b="0"/>
            <wp:docPr id="16" name="Objekta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95BE0">
        <w:rPr>
          <w:b/>
          <w:sz w:val="22"/>
          <w:szCs w:val="22"/>
        </w:rPr>
        <w:t>15</w:t>
      </w:r>
      <w:r w:rsidR="00995BE0" w:rsidRPr="001D71BB">
        <w:rPr>
          <w:b/>
          <w:sz w:val="22"/>
          <w:szCs w:val="22"/>
        </w:rPr>
        <w:t xml:space="preserve"> </w:t>
      </w:r>
      <w:r w:rsidR="00995BE0" w:rsidRPr="00E644C9">
        <w:rPr>
          <w:b/>
          <w:sz w:val="22"/>
          <w:szCs w:val="22"/>
        </w:rPr>
        <w:t xml:space="preserve">pav. </w:t>
      </w:r>
      <w:r w:rsidR="00995BE0" w:rsidRPr="00E644C9">
        <w:rPr>
          <w:sz w:val="22"/>
          <w:szCs w:val="22"/>
        </w:rPr>
        <w:t>Sergamumas aktyvia tuberkulioze Šiaulių mieste ir Lietuvo</w:t>
      </w:r>
      <w:r w:rsidR="00995BE0">
        <w:rPr>
          <w:sz w:val="22"/>
          <w:szCs w:val="22"/>
        </w:rPr>
        <w:t>je</w:t>
      </w:r>
      <w:r w:rsidR="00995BE0" w:rsidRPr="00E644C9">
        <w:rPr>
          <w:sz w:val="22"/>
          <w:szCs w:val="22"/>
        </w:rPr>
        <w:t xml:space="preserve"> 2004-2009 m. (100 000 gyv.).</w:t>
      </w:r>
    </w:p>
    <w:p w:rsidR="00995BE0" w:rsidRPr="001D71BB" w:rsidRDefault="00995BE0" w:rsidP="00F6504A">
      <w:pPr>
        <w:jc w:val="center"/>
        <w:rPr>
          <w:sz w:val="20"/>
          <w:szCs w:val="20"/>
        </w:rPr>
      </w:pPr>
      <w:r w:rsidRPr="001D71BB">
        <w:rPr>
          <w:sz w:val="20"/>
          <w:szCs w:val="20"/>
        </w:rPr>
        <w:t xml:space="preserve">Sudaryta autoriaus, remiantis </w:t>
      </w:r>
      <w:r>
        <w:rPr>
          <w:sz w:val="20"/>
          <w:szCs w:val="20"/>
        </w:rPr>
        <w:t>š</w:t>
      </w:r>
      <w:r w:rsidRPr="001D71BB">
        <w:rPr>
          <w:sz w:val="20"/>
          <w:szCs w:val="20"/>
        </w:rPr>
        <w:t>altini</w:t>
      </w:r>
      <w:r>
        <w:rPr>
          <w:sz w:val="20"/>
          <w:szCs w:val="20"/>
        </w:rPr>
        <w:t>u</w:t>
      </w:r>
      <w:r w:rsidRPr="001D71BB">
        <w:rPr>
          <w:sz w:val="20"/>
          <w:szCs w:val="20"/>
        </w:rPr>
        <w:t>:</w:t>
      </w:r>
      <w:r>
        <w:rPr>
          <w:sz w:val="20"/>
          <w:szCs w:val="20"/>
        </w:rPr>
        <w:t xml:space="preserve"> </w:t>
      </w:r>
      <w:r w:rsidRPr="001D71BB">
        <w:rPr>
          <w:sz w:val="20"/>
          <w:szCs w:val="20"/>
        </w:rPr>
        <w:t>Higienos instituto Sveikatos informacijos centr</w:t>
      </w:r>
      <w:r>
        <w:rPr>
          <w:sz w:val="20"/>
          <w:szCs w:val="20"/>
        </w:rPr>
        <w:t>as</w:t>
      </w:r>
    </w:p>
    <w:p w:rsidR="00995BE0" w:rsidRDefault="00995BE0" w:rsidP="00F6504A">
      <w:pPr>
        <w:autoSpaceDE w:val="0"/>
        <w:autoSpaceDN w:val="0"/>
        <w:adjustRightInd w:val="0"/>
        <w:spacing w:line="360" w:lineRule="auto"/>
        <w:ind w:firstLine="540"/>
        <w:jc w:val="both"/>
        <w:rPr>
          <w:rFonts w:ascii="Times New Roman,Bold" w:hAnsi="Times New Roman,Bold" w:cs="TimesNewRomanPSMT"/>
        </w:rPr>
      </w:pPr>
    </w:p>
    <w:p w:rsidR="00995BE0" w:rsidRPr="001D71BB" w:rsidRDefault="00995BE0" w:rsidP="00F6504A">
      <w:pPr>
        <w:autoSpaceDE w:val="0"/>
        <w:autoSpaceDN w:val="0"/>
        <w:adjustRightInd w:val="0"/>
        <w:spacing w:line="360" w:lineRule="auto"/>
        <w:ind w:firstLine="600"/>
        <w:jc w:val="both"/>
        <w:rPr>
          <w:rFonts w:ascii="Times New Roman,Bold" w:hAnsi="Times New Roman,Bold"/>
        </w:rPr>
      </w:pPr>
      <w:r>
        <w:rPr>
          <w:rFonts w:ascii="Times New Roman,Bold" w:hAnsi="Times New Roman,Bold" w:cs="TimesNewRomanPSMT"/>
        </w:rPr>
        <w:t>199</w:t>
      </w:r>
      <w:r w:rsidRPr="001D71BB">
        <w:rPr>
          <w:rFonts w:ascii="Times New Roman,Bold" w:hAnsi="Times New Roman,Bold" w:cs="TimesNewRomanPSMT"/>
        </w:rPr>
        <w:t>7–2010 m. programos tiksluose numatyta iki 2010 m. sumažinti sergamumą aktyviąja tuberkuliozės forma iki 45 atvejų 100 000 gyventojų. Šiauliuose jau 2007 m. sergamumas šia liga  buvo 36,8.</w:t>
      </w:r>
    </w:p>
    <w:p w:rsidR="00995BE0" w:rsidRPr="001D71BB" w:rsidRDefault="00995BE0" w:rsidP="00F6504A">
      <w:pPr>
        <w:spacing w:line="360" w:lineRule="auto"/>
        <w:ind w:firstLine="567"/>
        <w:jc w:val="both"/>
        <w:rPr>
          <w:noProof/>
        </w:rPr>
      </w:pPr>
      <w:r w:rsidRPr="001D71BB">
        <w:t xml:space="preserve">2009 metais Lietuvoje užregistruoti 180 nauji užsikrėtimo ŽIV infekcijos atvejai. Per visą ŽIV infekcijos registravimo Lietuvoje laikotarpį (1988-2008 m.) užregistruoti 1581 ŽIV infekuotas asmuo. 2009 m. Šiaulių mieste užregistruota net 20 naujų ŽIV infekcijos atvejų – 14 vyrų ir 6 </w:t>
      </w:r>
      <w:r w:rsidRPr="001D71BB">
        <w:lastRenderedPageBreak/>
        <w:t>moterys. 2009 m. 735 nėščiosios ištirtos dėl ŽIV, atlikta 912 tyrimų dėl ŽIV nėščiosioms. Taip pat Šiauliuose 2009 m. užregistruoti 3 nauji AIDS atvejai (</w:t>
      </w:r>
      <w:r>
        <w:t>16</w:t>
      </w:r>
      <w:r w:rsidRPr="001D71BB">
        <w:t xml:space="preserve"> pav.).</w:t>
      </w:r>
    </w:p>
    <w:p w:rsidR="00995BE0" w:rsidRPr="001D71BB" w:rsidRDefault="00A54FAC" w:rsidP="00F6504A">
      <w:pPr>
        <w:spacing w:line="360" w:lineRule="auto"/>
        <w:jc w:val="center"/>
      </w:pPr>
      <w:r>
        <w:rPr>
          <w:noProof/>
        </w:rPr>
        <w:drawing>
          <wp:inline distT="0" distB="0" distL="0" distR="0">
            <wp:extent cx="5904230" cy="1645920"/>
            <wp:effectExtent l="0" t="0" r="0" b="0"/>
            <wp:docPr id="17" name="Objekta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5BE0" w:rsidRPr="00E644C9" w:rsidRDefault="00995BE0" w:rsidP="00F6504A">
      <w:pPr>
        <w:ind w:right="-1"/>
        <w:jc w:val="center"/>
        <w:rPr>
          <w:sz w:val="22"/>
          <w:szCs w:val="22"/>
        </w:rPr>
      </w:pPr>
      <w:r>
        <w:rPr>
          <w:b/>
          <w:sz w:val="22"/>
          <w:szCs w:val="22"/>
        </w:rPr>
        <w:t>16</w:t>
      </w:r>
      <w:r w:rsidRPr="00E644C9">
        <w:rPr>
          <w:b/>
          <w:sz w:val="22"/>
          <w:szCs w:val="22"/>
        </w:rPr>
        <w:t xml:space="preserve"> pav. </w:t>
      </w:r>
      <w:r w:rsidRPr="00E644C9">
        <w:rPr>
          <w:sz w:val="22"/>
          <w:szCs w:val="22"/>
        </w:rPr>
        <w:t>Sergamumas ŽIV Šiaulių mieste ir Lietuvos Respublikoje 2004-200</w:t>
      </w:r>
      <w:r>
        <w:rPr>
          <w:sz w:val="22"/>
          <w:szCs w:val="22"/>
        </w:rPr>
        <w:t>9</w:t>
      </w:r>
      <w:r w:rsidRPr="00E644C9">
        <w:rPr>
          <w:sz w:val="22"/>
          <w:szCs w:val="22"/>
        </w:rPr>
        <w:t xml:space="preserve"> m. (10 000 gyv.)</w:t>
      </w:r>
    </w:p>
    <w:p w:rsidR="00995BE0" w:rsidRPr="001D71BB" w:rsidRDefault="00995BE0" w:rsidP="00F6504A">
      <w:pPr>
        <w:jc w:val="center"/>
        <w:rPr>
          <w:sz w:val="20"/>
          <w:szCs w:val="20"/>
        </w:rPr>
      </w:pPr>
      <w:r w:rsidRPr="001D71BB">
        <w:rPr>
          <w:sz w:val="20"/>
          <w:szCs w:val="20"/>
        </w:rPr>
        <w:t xml:space="preserve">Sudaryta autoriaus, </w:t>
      </w:r>
      <w:r>
        <w:rPr>
          <w:sz w:val="20"/>
          <w:szCs w:val="20"/>
        </w:rPr>
        <w:t>remiantis š</w:t>
      </w:r>
      <w:r w:rsidRPr="001D71BB">
        <w:rPr>
          <w:sz w:val="20"/>
          <w:szCs w:val="20"/>
        </w:rPr>
        <w:t>altini</w:t>
      </w:r>
      <w:r>
        <w:rPr>
          <w:sz w:val="20"/>
          <w:szCs w:val="20"/>
        </w:rPr>
        <w:t>u</w:t>
      </w:r>
      <w:r w:rsidRPr="001D71BB">
        <w:rPr>
          <w:sz w:val="20"/>
          <w:szCs w:val="20"/>
        </w:rPr>
        <w:t>:</w:t>
      </w:r>
      <w:r>
        <w:rPr>
          <w:sz w:val="20"/>
          <w:szCs w:val="20"/>
        </w:rPr>
        <w:t xml:space="preserve"> </w:t>
      </w:r>
      <w:r>
        <w:rPr>
          <w:noProof/>
          <w:sz w:val="20"/>
          <w:szCs w:val="20"/>
        </w:rPr>
        <w:t>U</w:t>
      </w:r>
      <w:r w:rsidRPr="001D71BB">
        <w:rPr>
          <w:noProof/>
          <w:sz w:val="20"/>
          <w:szCs w:val="20"/>
        </w:rPr>
        <w:t>žkrečiamųj</w:t>
      </w:r>
      <w:r>
        <w:rPr>
          <w:noProof/>
          <w:sz w:val="20"/>
          <w:szCs w:val="20"/>
        </w:rPr>
        <w:t>ų ligų ir AIDS centras</w:t>
      </w:r>
    </w:p>
    <w:p w:rsidR="00995BE0" w:rsidRPr="001D71BB" w:rsidRDefault="00995BE0" w:rsidP="00F6504A">
      <w:pPr>
        <w:spacing w:line="360" w:lineRule="auto"/>
        <w:jc w:val="right"/>
        <w:rPr>
          <w:sz w:val="20"/>
          <w:szCs w:val="20"/>
        </w:rPr>
      </w:pPr>
    </w:p>
    <w:p w:rsidR="00995BE0" w:rsidRDefault="00995BE0" w:rsidP="00F6504A">
      <w:pPr>
        <w:spacing w:line="360" w:lineRule="auto"/>
        <w:ind w:firstLine="600"/>
        <w:jc w:val="both"/>
      </w:pPr>
      <w:r>
        <w:t xml:space="preserve">Šiaulių miesto gyventojų sveikatos būklės analizė aiškiai parodo spręstinas sveikatos problemas, planuotų siekių neįgyvendinimą, į kuriuos vertėtų atkreipti dėmesį rengiant strateginius prioritetus ir tikslus. Visgi reikia pastebėti, kad iki šiol trūksta tarpsektorinio bendradarbiavimo ir atsakomybės už savo sveikatą, bendros viso ūkio politikos formavimo ir veiksmų koordinavimo, kad mažėtų sveikatos problemas sukeliančių rizikos veiksnių poveikis. Kaip matysime toliau, pirminei sveikatos priežiūrai vis dar nėra pakankamo finansavimo. </w:t>
      </w:r>
    </w:p>
    <w:p w:rsidR="00995BE0" w:rsidRPr="004213E1" w:rsidRDefault="00995BE0" w:rsidP="008C3644">
      <w:pPr>
        <w:pStyle w:val="Antrat3"/>
        <w:rPr>
          <w:rFonts w:cs="Times New Roman"/>
          <w:szCs w:val="24"/>
        </w:rPr>
      </w:pPr>
      <w:bookmarkStart w:id="45" w:name="_Toc293248630"/>
      <w:r>
        <w:rPr>
          <w:rFonts w:cs="Times New Roman"/>
          <w:szCs w:val="24"/>
        </w:rPr>
        <w:t>2</w:t>
      </w:r>
      <w:r w:rsidRPr="004213E1">
        <w:rPr>
          <w:rFonts w:cs="Times New Roman"/>
          <w:szCs w:val="24"/>
        </w:rPr>
        <w:t>.</w:t>
      </w:r>
      <w:r>
        <w:rPr>
          <w:rFonts w:cs="Times New Roman"/>
          <w:szCs w:val="24"/>
        </w:rPr>
        <w:t>2</w:t>
      </w:r>
      <w:r w:rsidRPr="004213E1">
        <w:rPr>
          <w:rFonts w:cs="Times New Roman"/>
          <w:szCs w:val="24"/>
        </w:rPr>
        <w:t>.1 Šiaulių visuomenės sveikatos biur</w:t>
      </w:r>
      <w:bookmarkEnd w:id="36"/>
      <w:bookmarkEnd w:id="37"/>
      <w:r w:rsidRPr="004213E1">
        <w:rPr>
          <w:rFonts w:cs="Times New Roman"/>
          <w:szCs w:val="24"/>
        </w:rPr>
        <w:t>o veikla</w:t>
      </w:r>
      <w:bookmarkEnd w:id="45"/>
      <w:r w:rsidRPr="004213E1">
        <w:rPr>
          <w:rFonts w:cs="Times New Roman"/>
          <w:szCs w:val="24"/>
        </w:rPr>
        <w:t xml:space="preserve"> </w:t>
      </w:r>
    </w:p>
    <w:p w:rsidR="00995BE0" w:rsidRDefault="00995BE0" w:rsidP="003E24E5">
      <w:pPr>
        <w:spacing w:line="360" w:lineRule="auto"/>
        <w:ind w:firstLine="567"/>
        <w:jc w:val="both"/>
      </w:pPr>
      <w:r>
        <w:t xml:space="preserve">Lietuvos gyventojai vis dar nepakankamai skiria dėmesio sveikatos profilaktikai ir prevencijai, manydami, kad už sveikatą atsako sveikatos priežiūros specialistai. Nesuvokdami sveikos gyvensenos esmės ir savo atsakomybės už sveikatą, to nepropaguoja, o į specialistus kreipiasi kai turi rimtų sveikatos problemų, kurios vėliau gali turėti ir nepataisomų pasekmių. Sprendžiant sveikatos problemas šalyje per didelis dėmesys skiriamas ligoms gydyti ir per mažas – profilaktikai. Lietuvos gyventojų sveikatą žaloja tabako, alkoholio bei narkotikų vartojimas. </w:t>
      </w:r>
    </w:p>
    <w:p w:rsidR="00995BE0" w:rsidRDefault="00995BE0" w:rsidP="003E24E5">
      <w:pPr>
        <w:spacing w:line="360" w:lineRule="auto"/>
        <w:ind w:firstLine="567"/>
        <w:jc w:val="both"/>
      </w:pPr>
      <w:r>
        <w:t>Savivaldybėje visuomenės sveikatos politiką įgyvendina, pirminę asmens ir visuomenės sveikatos priežiūrą numato ir organizuoja savivaldybės gydytojas, tačiau kai kuriose savivaldybėse šią instituciją sudaro tik vienas asmuo, o kai kur jo išvis nėra. Dažnai savivaldybės gydytojas sprendžia su asmens sveikatos priežiūromis susijusias problemas, o visuomenės sveikatos priežiūrai skiriama per mažai dėmesio.</w:t>
      </w:r>
    </w:p>
    <w:p w:rsidR="00995BE0" w:rsidRDefault="00995BE0" w:rsidP="003E24E5">
      <w:pPr>
        <w:spacing w:line="360" w:lineRule="auto"/>
        <w:ind w:firstLine="567"/>
        <w:jc w:val="both"/>
      </w:pPr>
      <w:r>
        <w:t xml:space="preserve">Daugiausia dėmesio ir diskusijų sukėlė funkcijų perdavimas savivaldybėms ir Visuomenės sveikatos biurų steigimas jose. Šios įstaigos steigtos moderniajai visuomenės sveikatos priežiūrai vykdyti, siekiant, kad sveikatos specialistai būtų arčiau bendruomenės ir analizuotų bendruomenės problemas, gyventojams suteiktų sveikatos stiprinimo žinias, efektyviai įgyvendintų savivaldybių, valstybines sveikatinimo programas. </w:t>
      </w:r>
    </w:p>
    <w:p w:rsidR="00995BE0" w:rsidRDefault="00995BE0" w:rsidP="004B5B9D">
      <w:pPr>
        <w:spacing w:line="360" w:lineRule="auto"/>
        <w:ind w:firstLine="567"/>
        <w:jc w:val="both"/>
      </w:pPr>
      <w:r>
        <w:lastRenderedPageBreak/>
        <w:t xml:space="preserve">Įgyvendinant šalyje visuomenės sveikatos priežiūros reformą, Lietuvos Respublikos Vyriausybė 2006 m. patvirtino 2006 – 2013 metų Lietuvos nacionalinės visuomenės sveikatos priežiūros strategiją ir jos įgyvendinimo 2006 – 2008 m. priemonių planą. Lietuvos nacionalinėje visuomenės sveikatos priežiūros strategijoje išdėstytos pagrindinės valstybės nuostatos, susijusios su visuomenės sveikatos priežiūros sistemos modernizavimu, kad ji visiškai atitiktų valstybės poreikius ir naujausius tarptautinius reikalavimus, taip pat priemonės šiam tikslui pasiekti. Viena prioritetinių šios pertvarkos krypčių – visuomenės sveikatos priežiūros plėtra savivaldybėse. Pirmieji keturi pilotiniai savivaldybių Visuomenės sveikatos biurai įsteigti 2006-ais metais. Tai Šiaulių mieste, Joniškio, Kėdainių ir Klaipėdos rajonuose.  </w:t>
      </w:r>
    </w:p>
    <w:p w:rsidR="00995BE0" w:rsidRDefault="00995BE0" w:rsidP="003E24E5">
      <w:pPr>
        <w:spacing w:line="360" w:lineRule="auto"/>
        <w:ind w:firstLine="567"/>
        <w:jc w:val="both"/>
      </w:pPr>
      <w:r>
        <w:rPr>
          <w:lang w:eastAsia="ar-SA"/>
        </w:rPr>
        <w:t xml:space="preserve">Šiame darbe analizuojama Šiaulių miesto visuomenės sveikatos biuro veikla. Šiaulių miesto savivaldybės biuras įsteigtas </w:t>
      </w:r>
      <w:r>
        <w:t>savivaldybės tarybos 2006 m. rugpjūčio 23 d. sprendimu, savo veiklą pradėjo spalio mėnesį. Pagrindinis biuro veiklos tikslas – rūpintis savivaldybės bendruomenėje visuomenės sveikata ir ją stiprinti.</w:t>
      </w:r>
      <w:r w:rsidRPr="00715E4D">
        <w:t xml:space="preserve"> </w:t>
      </w:r>
      <w:r>
        <w:t>Veiklos pobūdis – nespecializuotų visuomenės sveikatos priežiūros paslaugų organizavimas ir teikimas savivaldybės gyventojams (Šiaulių miesto savivaldybės visuomenės sveikatos biuro nuostatai, 2008).</w:t>
      </w:r>
    </w:p>
    <w:p w:rsidR="00995BE0" w:rsidRDefault="00995BE0" w:rsidP="00E127F8">
      <w:pPr>
        <w:pStyle w:val="hyperlink"/>
        <w:spacing w:before="0" w:beforeAutospacing="0" w:after="0" w:afterAutospacing="0" w:line="360" w:lineRule="auto"/>
        <w:ind w:firstLine="600"/>
        <w:jc w:val="both"/>
      </w:pPr>
      <w:r w:rsidRPr="0085104A">
        <w:t xml:space="preserve">Viena iš pagrindinių savivaldybių visuomenės sveikatos priežiūros funkcijų, numatytų </w:t>
      </w:r>
      <w:r>
        <w:t>visuomenės sveikatos priežiūros įstatyme</w:t>
      </w:r>
      <w:r w:rsidRPr="0085104A">
        <w:t>, – visuomenės sveikatos stebėsena, siekiant gauti išsamią informaciją apie gyventojų sveikatos būklę ir ją lemiančius rizikos veiksnius, nustatyti visuomenės sveikatos problemas ir visuomenės sveikatos stiprinimo prioritetus, taip pat remiantis objektyvia informacija planuoti ir įgyvendinti vietines visuomenės sveikatos stiprinimo ir prevencijos programas. Tai apima valstybinių visuomenės sveikatos programų įgyvendinimo masto nustatymą, svarbių bendruomenei sveikatos stiprinimo programų rengimą ir įgyvendinimą, sveikatos saugos ir sveikatos ugdymo bei stiprinimo (ypač vaikų ir jaunimo sveikatos išsaugojimo ir stiprinimo) priemones, informacijos apie visuomenės sveikatą ir jos gerinimo būdus sklaidą, bendradarbiavimą su valstybės institucijomis, nevyriausybinėmis organizacijomis, bendruomene, šeima</w:t>
      </w:r>
      <w:r>
        <w:t>.</w:t>
      </w:r>
    </w:p>
    <w:p w:rsidR="00995BE0" w:rsidRDefault="00995BE0" w:rsidP="00E127F8">
      <w:pPr>
        <w:pStyle w:val="hyperlink"/>
        <w:spacing w:before="0" w:beforeAutospacing="0" w:after="0" w:afterAutospacing="0" w:line="360" w:lineRule="auto"/>
        <w:ind w:firstLine="600"/>
        <w:jc w:val="both"/>
      </w:pPr>
      <w:r>
        <w:t xml:space="preserve">Pagal 2009 m. rugsėjo 25 d. Nr. A-1118 Šiaulių savivaldybės administracijos direktoriaus įsakymą Šiaulių miesto bendro lavinimo mokyklose dirba 22 visuomenės sveikatos priežiūros specialistės. </w:t>
      </w:r>
    </w:p>
    <w:p w:rsidR="00995BE0" w:rsidRPr="0085104A" w:rsidRDefault="00995BE0" w:rsidP="00F23BA4">
      <w:pPr>
        <w:autoSpaceDE w:val="0"/>
        <w:autoSpaceDN w:val="0"/>
        <w:adjustRightInd w:val="0"/>
        <w:spacing w:line="360" w:lineRule="auto"/>
        <w:ind w:firstLine="600"/>
        <w:jc w:val="both"/>
      </w:pPr>
      <w:r w:rsidRPr="0085104A">
        <w:t xml:space="preserve">Savivaldybės visuomenės sveikatos biuras savivaldybių bendradarbiavimo sutarties pagrindu turi teisę teikti visuomenės sveikatos priežiūros paslaugas ir kitų savivaldybių gyventojams. </w:t>
      </w:r>
      <w:r>
        <w:t xml:space="preserve">Taigi Šiaulių miesto visuomenės sveikatos biuras paslaugas teikia Akmenės rajono ir Šiaulių rajono savivaldybėms. </w:t>
      </w:r>
    </w:p>
    <w:p w:rsidR="00995BE0" w:rsidRDefault="00995BE0" w:rsidP="000F4C1D">
      <w:pPr>
        <w:autoSpaceDE w:val="0"/>
        <w:autoSpaceDN w:val="0"/>
        <w:adjustRightInd w:val="0"/>
        <w:spacing w:line="360" w:lineRule="auto"/>
        <w:ind w:firstLine="600"/>
        <w:jc w:val="both"/>
      </w:pPr>
      <w:r>
        <w:t>Savivaldybėje vykdoma visuomenės sveikatos priežiūra yra neatsiejama, teisės aktais reglamentuota, nacionalinės visuomenės sveikatos priežiūros sudedamoji dalis visuomenės sveikata ir jos priežiūra yra vienas iš valstybės prioritetų.</w:t>
      </w:r>
    </w:p>
    <w:p w:rsidR="00995BE0" w:rsidRPr="00982F4E" w:rsidRDefault="00995BE0" w:rsidP="004213E1">
      <w:pPr>
        <w:pStyle w:val="Antrat3"/>
      </w:pPr>
      <w:bookmarkStart w:id="46" w:name="_Toc293248631"/>
      <w:r>
        <w:lastRenderedPageBreak/>
        <w:t>2</w:t>
      </w:r>
      <w:r w:rsidRPr="00982F4E">
        <w:t>.</w:t>
      </w:r>
      <w:r>
        <w:t>2.</w:t>
      </w:r>
      <w:r w:rsidRPr="00982F4E">
        <w:t>2 Šiaulių miesto savivaldybės visuomenės sveikatos biuras kaip dizaino strateginės mokyklos organizacija</w:t>
      </w:r>
      <w:bookmarkEnd w:id="46"/>
    </w:p>
    <w:p w:rsidR="00995BE0" w:rsidRDefault="00995BE0" w:rsidP="00982F4E">
      <w:pPr>
        <w:spacing w:line="360" w:lineRule="auto"/>
        <w:ind w:firstLine="567"/>
        <w:jc w:val="both"/>
        <w:rPr>
          <w:lang w:eastAsia="ar-SA"/>
        </w:rPr>
      </w:pPr>
      <w:r>
        <w:t>H. Mintzberg, B. Ahlstrand ir J. Lampel savo knygoje „Strategy Safari“ (1998) nurodė dešimt skirtingų strategijos mokyklų (6 lentelė) pagal požiūrį į strateginį procesą. Jie aprašė kiekvieną iš šių mokyklų, jų istoriją ir atsiradimą, pagrindines koncepcijas, taikymą, pranašumus ir trūkumus, taip pat situacijas, kai pasirinkto sprendimo taikymas, planuojant įmonės strategiją, galėtų būti tinkamas.</w:t>
      </w:r>
      <w:r>
        <w:rPr>
          <w:lang w:eastAsia="ar-SA"/>
        </w:rPr>
        <w:t xml:space="preserve"> </w:t>
      </w:r>
    </w:p>
    <w:p w:rsidR="00995BE0" w:rsidRPr="00351372" w:rsidRDefault="00995BE0" w:rsidP="00896702">
      <w:pPr>
        <w:jc w:val="right"/>
      </w:pPr>
      <w:bookmarkStart w:id="47" w:name="_Toc286342080"/>
      <w:r>
        <w:t>6</w:t>
      </w:r>
      <w:r w:rsidRPr="00351372">
        <w:t xml:space="preserve"> lentelė</w:t>
      </w:r>
      <w:bookmarkEnd w:id="47"/>
    </w:p>
    <w:p w:rsidR="00995BE0" w:rsidRPr="00F75E60" w:rsidRDefault="00995BE0" w:rsidP="00896702">
      <w:pPr>
        <w:jc w:val="center"/>
        <w:rPr>
          <w:b/>
        </w:rPr>
      </w:pPr>
      <w:r w:rsidRPr="00F75E60">
        <w:rPr>
          <w:b/>
        </w:rPr>
        <w:t>Strategijos rengimo mokyklos</w:t>
      </w:r>
    </w:p>
    <w:tbl>
      <w:tblPr>
        <w:tblW w:w="0" w:type="auto"/>
        <w:jc w:val="center"/>
        <w:tblInd w:w="-1112" w:type="dxa"/>
        <w:tblLayout w:type="fixed"/>
        <w:tblCellMar>
          <w:left w:w="40" w:type="dxa"/>
          <w:right w:w="40" w:type="dxa"/>
        </w:tblCellMar>
        <w:tblLook w:val="0000"/>
      </w:tblPr>
      <w:tblGrid>
        <w:gridCol w:w="3851"/>
        <w:gridCol w:w="5832"/>
      </w:tblGrid>
      <w:tr w:rsidR="00995BE0" w:rsidTr="00982F4E">
        <w:trPr>
          <w:trHeight w:hRule="exact" w:val="538"/>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202" w:firstLine="19"/>
            </w:pPr>
            <w:r>
              <w:rPr>
                <w:sz w:val="22"/>
                <w:szCs w:val="22"/>
              </w:rPr>
              <w:t xml:space="preserve">1. </w:t>
            </w:r>
            <w:r>
              <w:rPr>
                <w:b/>
                <w:bCs/>
                <w:sz w:val="22"/>
                <w:szCs w:val="22"/>
              </w:rPr>
              <w:t>Projektavimo (dizaino)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91"/>
            </w:pPr>
            <w:r>
              <w:rPr>
                <w:sz w:val="22"/>
                <w:szCs w:val="22"/>
              </w:rPr>
              <w:t>Strategijos rengimas suprantamas kaip mąstymo procesas.</w:t>
            </w:r>
          </w:p>
        </w:tc>
      </w:tr>
      <w:tr w:rsidR="00995BE0" w:rsidTr="00982F4E">
        <w:trPr>
          <w:trHeight w:hRule="exact" w:val="433"/>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2. </w:t>
            </w:r>
            <w:r>
              <w:rPr>
                <w:b/>
                <w:bCs/>
                <w:sz w:val="22"/>
                <w:szCs w:val="22"/>
              </w:rPr>
              <w:t>Planavimo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autoSpaceDE w:val="0"/>
              <w:autoSpaceDN w:val="0"/>
              <w:adjustRightInd w:val="0"/>
              <w:spacing w:before="120" w:after="120"/>
            </w:pPr>
            <w:r>
              <w:rPr>
                <w:sz w:val="22"/>
                <w:szCs w:val="22"/>
              </w:rPr>
              <w:t>Strategijos rengimas kaip formalus procesas.</w:t>
            </w:r>
          </w:p>
        </w:tc>
      </w:tr>
      <w:tr w:rsidR="00995BE0" w:rsidTr="00982F4E">
        <w:trPr>
          <w:trHeight w:hRule="exact" w:val="369"/>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3. </w:t>
            </w:r>
            <w:r>
              <w:rPr>
                <w:b/>
                <w:bCs/>
                <w:sz w:val="22"/>
                <w:szCs w:val="22"/>
              </w:rPr>
              <w:t>Pozicionavimo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firstLine="5"/>
            </w:pPr>
            <w:r>
              <w:rPr>
                <w:sz w:val="22"/>
                <w:szCs w:val="22"/>
              </w:rPr>
              <w:t xml:space="preserve">Strategijos rengimas kaip analitinis procesas. </w:t>
            </w:r>
          </w:p>
        </w:tc>
      </w:tr>
      <w:tr w:rsidR="00995BE0" w:rsidTr="00982F4E">
        <w:trPr>
          <w:trHeight w:hRule="exact" w:val="377"/>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38" w:hanging="5"/>
            </w:pPr>
            <w:r>
              <w:rPr>
                <w:sz w:val="22"/>
                <w:szCs w:val="22"/>
              </w:rPr>
              <w:t xml:space="preserve">4. </w:t>
            </w:r>
            <w:r>
              <w:rPr>
                <w:b/>
                <w:bCs/>
                <w:sz w:val="22"/>
                <w:szCs w:val="22"/>
              </w:rPr>
              <w:t>Antrepreneriško požiūrio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firstLine="5"/>
            </w:pPr>
            <w:r>
              <w:rPr>
                <w:sz w:val="22"/>
                <w:szCs w:val="22"/>
              </w:rPr>
              <w:t>Strategijos rengimas kaip numatymo procesas.</w:t>
            </w:r>
          </w:p>
        </w:tc>
      </w:tr>
      <w:tr w:rsidR="00995BE0" w:rsidTr="00982F4E">
        <w:trPr>
          <w:trHeight w:hRule="exact" w:val="414"/>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5. </w:t>
            </w:r>
            <w:r>
              <w:rPr>
                <w:b/>
                <w:bCs/>
                <w:sz w:val="22"/>
                <w:szCs w:val="22"/>
              </w:rPr>
              <w:t>Pažinimo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67" w:firstLine="5"/>
            </w:pPr>
            <w:r>
              <w:rPr>
                <w:sz w:val="22"/>
                <w:szCs w:val="22"/>
              </w:rPr>
              <w:t>Strategijos rengimas kaip pažinimo procesas.</w:t>
            </w:r>
          </w:p>
        </w:tc>
      </w:tr>
      <w:tr w:rsidR="00995BE0" w:rsidTr="00982F4E">
        <w:trPr>
          <w:trHeight w:hRule="exact" w:val="408"/>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6. </w:t>
            </w:r>
            <w:r>
              <w:rPr>
                <w:b/>
                <w:bCs/>
                <w:sz w:val="22"/>
                <w:szCs w:val="22"/>
              </w:rPr>
              <w:t>Mokymosi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29"/>
            </w:pPr>
            <w:r>
              <w:rPr>
                <w:sz w:val="22"/>
                <w:szCs w:val="22"/>
              </w:rPr>
              <w:t>Strategijos rengimas kaip besivystantis procesas.</w:t>
            </w:r>
          </w:p>
        </w:tc>
      </w:tr>
      <w:tr w:rsidR="00995BE0" w:rsidTr="00982F4E">
        <w:trPr>
          <w:trHeight w:hRule="exact" w:val="430"/>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7. </w:t>
            </w:r>
            <w:r>
              <w:rPr>
                <w:b/>
                <w:bCs/>
                <w:sz w:val="22"/>
                <w:szCs w:val="22"/>
              </w:rPr>
              <w:t>Valdžios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Strategijos rengimas kaip derybų procesas.</w:t>
            </w:r>
          </w:p>
        </w:tc>
      </w:tr>
      <w:tr w:rsidR="00995BE0" w:rsidTr="00982F4E">
        <w:trPr>
          <w:trHeight w:hRule="exact" w:val="424"/>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8. </w:t>
            </w:r>
            <w:r>
              <w:rPr>
                <w:b/>
                <w:bCs/>
                <w:sz w:val="22"/>
                <w:szCs w:val="22"/>
              </w:rPr>
              <w:t>Kultūros įtakos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Strategijos rengimas kaip kolektyvinis procesas.</w:t>
            </w:r>
          </w:p>
        </w:tc>
      </w:tr>
      <w:tr w:rsidR="00995BE0" w:rsidTr="00982F4E">
        <w:trPr>
          <w:trHeight w:hRule="exact" w:val="418"/>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pPr>
            <w:r>
              <w:rPr>
                <w:sz w:val="22"/>
                <w:szCs w:val="22"/>
              </w:rPr>
              <w:t xml:space="preserve">9. </w:t>
            </w:r>
            <w:r>
              <w:rPr>
                <w:b/>
                <w:sz w:val="22"/>
                <w:szCs w:val="22"/>
              </w:rPr>
              <w:t>Išorinės a</w:t>
            </w:r>
            <w:r>
              <w:rPr>
                <w:b/>
                <w:bCs/>
                <w:sz w:val="22"/>
                <w:szCs w:val="22"/>
              </w:rPr>
              <w:t>plinkos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firstLine="5"/>
            </w:pPr>
            <w:r>
              <w:rPr>
                <w:sz w:val="22"/>
                <w:szCs w:val="22"/>
              </w:rPr>
              <w:t>Strategijos rengimas kaip reaguojantis procesas.</w:t>
            </w:r>
          </w:p>
        </w:tc>
      </w:tr>
      <w:tr w:rsidR="00995BE0" w:rsidTr="00982F4E">
        <w:trPr>
          <w:trHeight w:hRule="exact" w:val="427"/>
          <w:jc w:val="center"/>
        </w:trPr>
        <w:tc>
          <w:tcPr>
            <w:tcW w:w="3851"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235" w:firstLine="14"/>
            </w:pPr>
            <w:r>
              <w:rPr>
                <w:sz w:val="22"/>
                <w:szCs w:val="22"/>
              </w:rPr>
              <w:t xml:space="preserve">10. </w:t>
            </w:r>
            <w:r>
              <w:rPr>
                <w:b/>
                <w:bCs/>
                <w:sz w:val="22"/>
                <w:szCs w:val="22"/>
              </w:rPr>
              <w:t>Konfigūracijos įtakos mokykla</w:t>
            </w:r>
          </w:p>
        </w:tc>
        <w:tc>
          <w:tcPr>
            <w:tcW w:w="5832" w:type="dxa"/>
            <w:tcBorders>
              <w:top w:val="single" w:sz="6" w:space="0" w:color="auto"/>
              <w:left w:val="single" w:sz="6" w:space="0" w:color="auto"/>
              <w:bottom w:val="single" w:sz="6" w:space="0" w:color="auto"/>
              <w:right w:val="single" w:sz="6" w:space="0" w:color="auto"/>
            </w:tcBorders>
            <w:shd w:val="clear" w:color="auto" w:fill="FFFFFF"/>
          </w:tcPr>
          <w:p w:rsidR="00995BE0" w:rsidRDefault="00995BE0" w:rsidP="00982F4E">
            <w:pPr>
              <w:shd w:val="clear" w:color="auto" w:fill="FFFFFF"/>
              <w:spacing w:before="120" w:after="120"/>
              <w:ind w:right="58"/>
            </w:pPr>
            <w:r>
              <w:rPr>
                <w:sz w:val="22"/>
                <w:szCs w:val="22"/>
              </w:rPr>
              <w:t>Strategijos rengimas kaip transformacijos proce</w:t>
            </w:r>
            <w:r>
              <w:rPr>
                <w:sz w:val="22"/>
                <w:szCs w:val="22"/>
              </w:rPr>
              <w:softHyphen/>
              <w:t xml:space="preserve">sas. </w:t>
            </w:r>
          </w:p>
        </w:tc>
      </w:tr>
    </w:tbl>
    <w:p w:rsidR="00995BE0" w:rsidRDefault="00995BE0" w:rsidP="00982F4E">
      <w:pPr>
        <w:jc w:val="center"/>
        <w:rPr>
          <w:sz w:val="20"/>
          <w:szCs w:val="20"/>
        </w:rPr>
      </w:pPr>
      <w:r>
        <w:rPr>
          <w:sz w:val="20"/>
          <w:szCs w:val="20"/>
        </w:rPr>
        <w:t>Sudaryta autoriaus, remiantis šaltiniu: Mintzberg, H., Ahlstrand, B., Lampel, J. (1998). Strategy Safary. The complete guide through the wild of strategic management. Prentice Hall. London.</w:t>
      </w:r>
    </w:p>
    <w:p w:rsidR="00995BE0" w:rsidRDefault="00995BE0" w:rsidP="00982F4E">
      <w:pPr>
        <w:spacing w:line="360" w:lineRule="auto"/>
        <w:jc w:val="center"/>
        <w:rPr>
          <w:sz w:val="20"/>
          <w:szCs w:val="20"/>
        </w:rPr>
      </w:pPr>
    </w:p>
    <w:p w:rsidR="00995BE0" w:rsidRDefault="00995BE0" w:rsidP="00982F4E">
      <w:pPr>
        <w:spacing w:line="360" w:lineRule="auto"/>
        <w:ind w:firstLine="567"/>
        <w:jc w:val="both"/>
      </w:pPr>
      <w:r w:rsidRPr="003E24E5">
        <w:t>Tokią strateginių mokyklų gausą nulėmė metodologinių požiūrių į strateginį procesą įvairovė. Tokio pobūdžio požiūrių įvairovė būdinga kiekvienos sistemos kūrimo pradiniam etapui, kol neįsigalėjo kuri nors viena vyraujanti koncepcija, apimanti likusias, arba atskiros koncepcijos, dar neintegruotos į vieną sistemą. Tai tik parodo, kad strateginio valdymo teorija kaip mokslas disciplina tebėra labai jauna</w:t>
      </w:r>
      <w:r w:rsidRPr="003E24E5">
        <w:rPr>
          <w:color w:val="000000"/>
        </w:rPr>
        <w:t xml:space="preserve"> (Bosas, 2004).</w:t>
      </w:r>
    </w:p>
    <w:p w:rsidR="00995BE0" w:rsidRDefault="00995BE0" w:rsidP="0084301C">
      <w:pPr>
        <w:shd w:val="clear" w:color="auto" w:fill="FFFFFF"/>
        <w:spacing w:line="360" w:lineRule="auto"/>
        <w:ind w:firstLine="600"/>
        <w:jc w:val="both"/>
      </w:pPr>
      <w:r>
        <w:rPr>
          <w:lang w:eastAsia="ar-SA"/>
        </w:rPr>
        <w:t xml:space="preserve">Šiaulių miesto savivaldybės visuomenės sveikatos biuras, kaip organizacija, gali būti priskirtina </w:t>
      </w:r>
      <w:r>
        <w:t>dizaino, kai kurių autorių vadinama projektavimo mokyklai. Pagal šią koncepciją – organizacijos išorinės aplinkos vertinimas – būtina strategijos kūrimo sąlyga. Būtent visuomenės sveikatos biuro pagrindiniai tikslai ir uždaviniai keliami, atkreipiant dėmesį į išorinėje aplinkoje egzistuojančias problemas</w:t>
      </w:r>
      <w:r w:rsidRPr="006F3532">
        <w:t xml:space="preserve">. </w:t>
      </w:r>
      <w:r>
        <w:t>Kuriamos visuomenės sveikatinimo programos, siekiant mažinti ar stabilizuoti visuomenėje esančius neigiamus sveikatos rodiklius.</w:t>
      </w:r>
    </w:p>
    <w:p w:rsidR="00995BE0" w:rsidRDefault="00995BE0" w:rsidP="00982F4E">
      <w:pPr>
        <w:shd w:val="clear" w:color="auto" w:fill="FFFFFF"/>
        <w:spacing w:line="360" w:lineRule="auto"/>
        <w:ind w:firstLine="567"/>
        <w:jc w:val="both"/>
      </w:pPr>
      <w:r w:rsidRPr="006F3532">
        <w:t>Dizaino mokyklos modelis labiausiai tinka vykstant pokyčiams, kai organizacija išgyvena nepastovumo laikotarpį ir siekia stabilumo. Šis modelis gali tikti ir naujai organizacijai, kuriai reikalinga tiksli kryptis, leidžianti varžytis su labiau patyrusiais konkurentais. Strategija modeliuoja santykį tarp išorinių ir vidinių organizacijos galimybių</w:t>
      </w:r>
      <w:r>
        <w:t xml:space="preserve"> (Arimavičiūtė, 2005)</w:t>
      </w:r>
    </w:p>
    <w:p w:rsidR="00995BE0" w:rsidRDefault="00995BE0" w:rsidP="00982F4E">
      <w:pPr>
        <w:shd w:val="clear" w:color="auto" w:fill="FFFFFF"/>
        <w:spacing w:line="360" w:lineRule="auto"/>
        <w:ind w:firstLine="567"/>
        <w:jc w:val="both"/>
      </w:pPr>
      <w:r>
        <w:lastRenderedPageBreak/>
        <w:t>Aplinkoje vykstantys įvairūs pokyčiai yra neatsiejami nuo kasdieninio gyvenimo, todėl ir kiekviena organizacija turi mokėti į juos tinkamai reaguoti. Deja tai geba ne kiekvienas ir dažnai pokyčiai turi neigiamos įtakos ne tik socioekonominei, bet ir fizinei, psichinei žmonių būklei. Taigi šiuo atžvilgiu visuomenės sveikatos biurai turi atlikti labai naudingą visuomenei funkciją – ne tik laiku pastebėti pokyčius, identifikuoti jų poveikį visuomenės sveikatai, bet taip pat padėti visuomenei tinkamai reaguoti į juos, kad adaptacija kuo mažiau įtakotų gyventojų sveikatą.</w:t>
      </w:r>
    </w:p>
    <w:p w:rsidR="00995BE0" w:rsidRDefault="00995BE0" w:rsidP="00982F4E">
      <w:pPr>
        <w:spacing w:line="360" w:lineRule="auto"/>
        <w:ind w:firstLine="567"/>
        <w:jc w:val="both"/>
      </w:pPr>
      <w:r w:rsidRPr="00613264">
        <w:t>Strategijos įvertinimas dizaino mokykloje yra pagrįstas keturiais pagrindiniais kriterijais</w:t>
      </w:r>
      <w:r>
        <w:t xml:space="preserve">, kurie apibrėžia visuomenės sveikatos biuro strategiją: </w:t>
      </w:r>
    </w:p>
    <w:p w:rsidR="00995BE0" w:rsidRDefault="00995BE0" w:rsidP="00982F4E">
      <w:pPr>
        <w:numPr>
          <w:ilvl w:val="0"/>
          <w:numId w:val="20"/>
        </w:numPr>
        <w:spacing w:line="360" w:lineRule="auto"/>
      </w:pPr>
      <w:r w:rsidRPr="00C761BA">
        <w:rPr>
          <w:i/>
        </w:rPr>
        <w:t xml:space="preserve">Suderinamumas </w:t>
      </w:r>
      <w:r w:rsidRPr="00613264">
        <w:t>– strateg</w:t>
      </w:r>
      <w:r>
        <w:t xml:space="preserve">ija nesudaryta iš nesuderinamų tikslų ir požiūrių. </w:t>
      </w:r>
    </w:p>
    <w:p w:rsidR="00995BE0" w:rsidRPr="00613264" w:rsidRDefault="00995BE0" w:rsidP="00C6389A">
      <w:pPr>
        <w:numPr>
          <w:ilvl w:val="0"/>
          <w:numId w:val="20"/>
        </w:numPr>
        <w:spacing w:line="360" w:lineRule="auto"/>
        <w:ind w:left="0" w:firstLine="360"/>
      </w:pPr>
      <w:r w:rsidRPr="00C761BA">
        <w:rPr>
          <w:i/>
        </w:rPr>
        <w:t>Bendras sutarimas</w:t>
      </w:r>
      <w:r w:rsidRPr="00C761BA">
        <w:t xml:space="preserve"> – strategija sužadinti vieningą organizacijos požiūrį į išorinę aplinką ir iš jos ateinančius kritinius pasikeitimus</w:t>
      </w:r>
      <w:r w:rsidRPr="00613264">
        <w:t xml:space="preserve">. </w:t>
      </w:r>
    </w:p>
    <w:p w:rsidR="00995BE0" w:rsidRDefault="00995BE0" w:rsidP="00982F4E">
      <w:pPr>
        <w:numPr>
          <w:ilvl w:val="0"/>
          <w:numId w:val="20"/>
        </w:numPr>
        <w:spacing w:line="360" w:lineRule="auto"/>
        <w:jc w:val="both"/>
      </w:pPr>
      <w:r w:rsidRPr="00C761BA">
        <w:rPr>
          <w:i/>
        </w:rPr>
        <w:t>Tinkamumas</w:t>
      </w:r>
      <w:r>
        <w:t xml:space="preserve"> – strategija ne</w:t>
      </w:r>
      <w:r w:rsidRPr="00C761BA">
        <w:t>pervertin</w:t>
      </w:r>
      <w:r>
        <w:t>a</w:t>
      </w:r>
      <w:r w:rsidRPr="00C761BA">
        <w:t xml:space="preserve"> turim</w:t>
      </w:r>
      <w:r>
        <w:t>ų</w:t>
      </w:r>
      <w:r w:rsidRPr="00C761BA">
        <w:t xml:space="preserve"> ištekli</w:t>
      </w:r>
      <w:r>
        <w:t>ų</w:t>
      </w:r>
      <w:r w:rsidRPr="00C761BA">
        <w:t>, nei sukuri</w:t>
      </w:r>
      <w:r>
        <w:t>a</w:t>
      </w:r>
      <w:r w:rsidRPr="00C761BA">
        <w:t xml:space="preserve"> nepasiekiam</w:t>
      </w:r>
      <w:r>
        <w:t>ų</w:t>
      </w:r>
      <w:r w:rsidRPr="00C761BA">
        <w:t xml:space="preserve"> tiksl</w:t>
      </w:r>
      <w:r>
        <w:t>ų.</w:t>
      </w:r>
    </w:p>
    <w:p w:rsidR="00995BE0" w:rsidRDefault="00995BE0" w:rsidP="00002A75">
      <w:pPr>
        <w:spacing w:line="360" w:lineRule="auto"/>
        <w:ind w:firstLine="600"/>
        <w:jc w:val="both"/>
      </w:pPr>
      <w:r w:rsidRPr="006137FE">
        <w:t xml:space="preserve">Vienintelis kriterijus, kuris nėra taikomas visuomenės sveikatos biurui </w:t>
      </w:r>
      <w:r>
        <w:t>– pranašumas, t.y. ši organizacija nėra siekianti pelno, todėl nereikia kurti konkurencinių pranašumų.</w:t>
      </w:r>
    </w:p>
    <w:p w:rsidR="00995BE0" w:rsidRDefault="00995BE0" w:rsidP="00002A75">
      <w:pPr>
        <w:spacing w:line="360" w:lineRule="auto"/>
        <w:ind w:firstLine="600"/>
        <w:jc w:val="both"/>
      </w:pPr>
      <w:r>
        <w:t>Nors p</w:t>
      </w:r>
      <w:r w:rsidRPr="00613264">
        <w:t xml:space="preserve">agrindinis </w:t>
      </w:r>
      <w:r>
        <w:t>dizaino</w:t>
      </w:r>
      <w:r w:rsidRPr="00613264">
        <w:t xml:space="preserve"> mokyklos trūkumas yra tas, kad ji didelį dėmesį skiria galimybei numatyti ateities įvykius</w:t>
      </w:r>
      <w:r>
        <w:t>, tačiau šiuo atveju, visuomenės sveikatos biuras, kurdamas savo veiklos strategiją, turi gebėti nors minimaliai prognozuoti. Kaip pavyzdį galima imti mirtingumo nuo kraujagyslių ir širdies sistemos sutrikimų rodiklį. Jei matome tendencingai didėjantį šį rodiklį ir konkrečių veiksmų nesiimsime, situacija negerėja, ir galime teigti, kad ir ateityje mirtingumas išliks aukštas. Tai jau prognozė.</w:t>
      </w:r>
    </w:p>
    <w:p w:rsidR="00995BE0" w:rsidRPr="005C09FD" w:rsidRDefault="00995BE0" w:rsidP="00002A75">
      <w:pPr>
        <w:spacing w:line="360" w:lineRule="auto"/>
        <w:ind w:firstLine="600"/>
        <w:jc w:val="both"/>
      </w:pPr>
      <w:r>
        <w:t>Visgi galima daryti išvadą, kad kiekvienai organizacijai pritaikyti vienintelę tinkamą strateginę mokyklą nėra paprasta, nes kiekviena jų individuali, išskirtinė, turinti savo specifinių ypatumų. Tai taikytina ir Šiaulių visuomenės sveikatos biurui, kai galima atrasti tinkamų aspektų iš daugelio strateginių mokyklų.</w:t>
      </w:r>
    </w:p>
    <w:p w:rsidR="00995BE0" w:rsidRPr="00694759" w:rsidRDefault="00995BE0" w:rsidP="004213E1">
      <w:pPr>
        <w:pStyle w:val="Antrat3"/>
      </w:pPr>
      <w:bookmarkStart w:id="48" w:name="_Toc285660857"/>
      <w:bookmarkStart w:id="49" w:name="_Toc293248632"/>
      <w:bookmarkEnd w:id="8"/>
      <w:r>
        <w:t>2</w:t>
      </w:r>
      <w:r w:rsidRPr="00694759">
        <w:t>.</w:t>
      </w:r>
      <w:r>
        <w:t>2</w:t>
      </w:r>
      <w:r w:rsidRPr="00694759">
        <w:t>.3 Šiaulių miesto savivaldybės visuomenės sveikatos biuro PEST analizė</w:t>
      </w:r>
      <w:bookmarkEnd w:id="48"/>
      <w:bookmarkEnd w:id="49"/>
    </w:p>
    <w:p w:rsidR="00995BE0" w:rsidRPr="00281C02" w:rsidRDefault="00995BE0" w:rsidP="00694759">
      <w:pPr>
        <w:jc w:val="center"/>
        <w:rPr>
          <w:b/>
        </w:rPr>
      </w:pPr>
      <w:r w:rsidRPr="00281C02">
        <w:rPr>
          <w:b/>
        </w:rPr>
        <w:t>Išorės veiksniai</w:t>
      </w:r>
    </w:p>
    <w:p w:rsidR="00995BE0" w:rsidRPr="001D71BB" w:rsidRDefault="00995BE0" w:rsidP="00A3155B">
      <w:pPr>
        <w:spacing w:line="360" w:lineRule="auto"/>
        <w:ind w:firstLine="567"/>
        <w:jc w:val="both"/>
        <w:rPr>
          <w:b/>
        </w:rPr>
      </w:pPr>
      <w:r w:rsidRPr="001D71BB">
        <w:rPr>
          <w:b/>
        </w:rPr>
        <w:t>Politiniai veiksniai.</w:t>
      </w:r>
    </w:p>
    <w:p w:rsidR="00995BE0" w:rsidRPr="001D71BB" w:rsidRDefault="00995BE0" w:rsidP="00A3155B">
      <w:pPr>
        <w:spacing w:line="360" w:lineRule="auto"/>
        <w:ind w:firstLine="567"/>
        <w:jc w:val="both"/>
      </w:pPr>
      <w:r w:rsidRPr="001D71BB">
        <w:t xml:space="preserve">Visuomenės sveikatos priežiūros tikslas – gyventojų visapusė dvasinė, fizinė, ir socialinė gerovė, kurios siekiama organizacinėmis, teisinėmis, ekonominėmis, techninėmis, socialinėmis bei medicinos priemonėmis, padedančiomis įgyvendinti ligų ir traumų profilaktiką, išsaugoti visuomenės sveikatą bei ją stiprinti. </w:t>
      </w:r>
    </w:p>
    <w:p w:rsidR="00995BE0" w:rsidRPr="001D71BB" w:rsidRDefault="00995BE0" w:rsidP="00A3155B">
      <w:pPr>
        <w:spacing w:line="360" w:lineRule="auto"/>
        <w:ind w:firstLine="540"/>
        <w:jc w:val="both"/>
      </w:pPr>
      <w:r w:rsidRPr="001D71BB">
        <w:t xml:space="preserve">Steigiant visuomenės sveikatos biurus vadovautasi ES valstybių patirtimi, siekiant priartinti visuomenės sveikatos priežiūrą prie bendruomenės. Biurų veikla siekiama spręsti svarbiausias visuomenės sveikatos problemas, ypač lėtinių neinfekcinių ligų bei jų rizikos veiksnių, taip pat </w:t>
      </w:r>
      <w:r w:rsidRPr="001D71BB">
        <w:lastRenderedPageBreak/>
        <w:t xml:space="preserve">priklausomybių (alkoholiui, tabakui, narkotikams ir kitoms psichiką veikiančioms medžiagoms), ŽIV/AIDS plitimui ir kitoms, sukuriant veiksmingą poveikio struktūrą. </w:t>
      </w:r>
    </w:p>
    <w:p w:rsidR="00995BE0" w:rsidRPr="00694759" w:rsidRDefault="00995BE0" w:rsidP="002C3C2A">
      <w:pPr>
        <w:spacing w:line="360" w:lineRule="auto"/>
        <w:ind w:firstLine="600"/>
        <w:jc w:val="both"/>
        <w:rPr>
          <w:b/>
        </w:rPr>
      </w:pPr>
      <w:r>
        <w:rPr>
          <w:b/>
        </w:rPr>
        <w:t xml:space="preserve">Pagrindiniai ES politiniai dokumentai apie </w:t>
      </w:r>
      <w:r w:rsidRPr="0021783E">
        <w:rPr>
          <w:b/>
          <w:spacing w:val="2"/>
        </w:rPr>
        <w:t>VS</w:t>
      </w:r>
      <w:r w:rsidRPr="00694759">
        <w:rPr>
          <w:b/>
        </w:rPr>
        <w:t>:</w:t>
      </w:r>
    </w:p>
    <w:p w:rsidR="00995BE0" w:rsidRPr="001D71BB" w:rsidRDefault="00995BE0" w:rsidP="00A3155B">
      <w:pPr>
        <w:spacing w:line="360" w:lineRule="auto"/>
        <w:ind w:firstLine="567"/>
        <w:jc w:val="both"/>
      </w:pPr>
      <w:r w:rsidRPr="001D71BB">
        <w:t>Pagal E</w:t>
      </w:r>
      <w:r>
        <w:t xml:space="preserve">uropos </w:t>
      </w:r>
      <w:r w:rsidRPr="001D71BB">
        <w:t>S</w:t>
      </w:r>
      <w:r>
        <w:t>ąjungos</w:t>
      </w:r>
      <w:r w:rsidRPr="001D71BB">
        <w:t xml:space="preserve"> sutartį </w:t>
      </w:r>
      <w:r>
        <w:t>jos</w:t>
      </w:r>
      <w:r w:rsidRPr="001D71BB">
        <w:t xml:space="preserve"> veikla turi būti siekiama gerinti visuomenės sveikatą, užkirsti kelią žmonių negalavimams bei ligoms ir nustatyti pavojaus žmonių sveikatai šaltinius. Todėl ES lygmeniu buvo imtasi su sveikata susijusių integruotų veiksmų, kuriais siekiama suderinti su sveikata susijusias politikos sritis.</w:t>
      </w:r>
    </w:p>
    <w:p w:rsidR="00995BE0" w:rsidRPr="001D71BB" w:rsidRDefault="00995BE0" w:rsidP="00A3155B">
      <w:pPr>
        <w:spacing w:line="360" w:lineRule="auto"/>
        <w:ind w:firstLine="540"/>
        <w:jc w:val="both"/>
      </w:pPr>
      <w:r w:rsidRPr="001D71BB">
        <w:t>ES įsipareigojimų savo gyventojų sveikatai istorinė raida klostėsi taip:</w:t>
      </w:r>
    </w:p>
    <w:p w:rsidR="00995BE0" w:rsidRPr="001D71BB" w:rsidRDefault="00995BE0" w:rsidP="00A3155B">
      <w:pPr>
        <w:spacing w:line="360" w:lineRule="auto"/>
        <w:ind w:firstLine="540"/>
        <w:jc w:val="both"/>
      </w:pPr>
      <w:r w:rsidRPr="001D71BB">
        <w:t>1987 m. suvestiniu Europos aktu (100 a ir 118  straipsniai) pripažintos nuostatos, reglamentuojančios sveikatos apsaugos ir darbo aplinkos taisyklių derinimą;</w:t>
      </w:r>
    </w:p>
    <w:p w:rsidR="00995BE0" w:rsidRPr="001D71BB" w:rsidRDefault="00995BE0" w:rsidP="00A3155B">
      <w:pPr>
        <w:spacing w:line="360" w:lineRule="auto"/>
        <w:ind w:firstLine="540"/>
        <w:jc w:val="both"/>
      </w:pPr>
      <w:r w:rsidRPr="001D71BB">
        <w:t xml:space="preserve">1992 m. – Mastrichto sutartis, įsigaliojusi 1993 m., aplinkos apsaugos 130 straipsnis ir vartotojų apsaugos 129 straipsnis jau reglamentuoja </w:t>
      </w:r>
      <w:r w:rsidRPr="00E46981">
        <w:rPr>
          <w:spacing w:val="2"/>
        </w:rPr>
        <w:t>VS</w:t>
      </w:r>
      <w:r w:rsidRPr="001D71BB">
        <w:t xml:space="preserve"> veiksmus. Tuometinės sutartį pasirašiusios ES šalys savo </w:t>
      </w:r>
      <w:r w:rsidRPr="00E46981">
        <w:rPr>
          <w:spacing w:val="2"/>
        </w:rPr>
        <w:t>VS</w:t>
      </w:r>
      <w:r w:rsidRPr="001D71BB">
        <w:t xml:space="preserve"> programoje numatė 8 prioritetines veiklos sritis;</w:t>
      </w:r>
    </w:p>
    <w:p w:rsidR="00995BE0" w:rsidRDefault="00995BE0" w:rsidP="00A3155B">
      <w:pPr>
        <w:spacing w:line="360" w:lineRule="auto"/>
        <w:ind w:firstLine="540"/>
        <w:jc w:val="both"/>
      </w:pPr>
      <w:r w:rsidRPr="001D71BB">
        <w:t>1997 m. – Amsterdamo sutartis, kurią pasirašė 15 šalių ir kuri įsigaliojo 1999 m., numatė tolesnę ES sveikatos politikos plėtrą. Jos 152 straipsnis įpareigojo užtikrinti veiksmingą sveikatos apsaugą tobulinant ir įgyvendinant bet kurios srities Europos politiką;</w:t>
      </w:r>
    </w:p>
    <w:p w:rsidR="00995BE0" w:rsidRPr="001D71BB" w:rsidRDefault="00995BE0" w:rsidP="00A3155B">
      <w:pPr>
        <w:spacing w:line="360" w:lineRule="auto"/>
        <w:ind w:firstLine="540"/>
        <w:jc w:val="both"/>
      </w:pPr>
      <w:r>
        <w:t xml:space="preserve">1998 m. PSO Europos regiono komitetas priėmė Europos strategiją „Sveikata 21“ - pagrindiniai PSO visuomenės sveikatos priežiūros principai Europos regione. </w:t>
      </w:r>
    </w:p>
    <w:p w:rsidR="00995BE0" w:rsidRPr="001D71BB" w:rsidRDefault="00995BE0" w:rsidP="00256122">
      <w:pPr>
        <w:spacing w:line="360" w:lineRule="auto"/>
        <w:ind w:firstLine="540"/>
        <w:jc w:val="both"/>
      </w:pPr>
      <w:r w:rsidRPr="001D71BB">
        <w:t xml:space="preserve">2002 m. – </w:t>
      </w:r>
      <w:r w:rsidRPr="0017050F">
        <w:t>2003-2008 m. ES visuomenės sveikatos programa</w:t>
      </w:r>
      <w:r w:rsidRPr="001D71BB">
        <w:t xml:space="preserve"> (1786/2002/EB). Joje numatyti 3 strateginiai prioritetai: sveikatos informacij</w:t>
      </w:r>
      <w:r>
        <w:t>a, sveikatą lemiantys veiksniai ir</w:t>
      </w:r>
      <w:r w:rsidRPr="001D71BB">
        <w:t xml:space="preserve"> atsakas į grėsmes (Grabauskas, 2004).</w:t>
      </w:r>
      <w:r>
        <w:t xml:space="preserve"> Pastaroji </w:t>
      </w:r>
      <w:r w:rsidRPr="001D71BB">
        <w:t>programa formuoja esminius Europos Bendrijos sveikatos strategijos pagrindus, sutelkiant dėmesį į šiuos tikslus ir bendras priemones:</w:t>
      </w:r>
      <w:r>
        <w:t xml:space="preserve"> g</w:t>
      </w:r>
      <w:r w:rsidRPr="001D71BB">
        <w:t>erinti informaciją ir žinias skatinant visuomenės sveikatos stiprinimą ir sveikatos sistemas;</w:t>
      </w:r>
      <w:r>
        <w:t xml:space="preserve"> d</w:t>
      </w:r>
      <w:r w:rsidRPr="001D71BB">
        <w:t>idinti gebėjimą greitai ir suderintai reaguoti į grėsmes sveikatai;</w:t>
      </w:r>
      <w:r>
        <w:t xml:space="preserve"> s</w:t>
      </w:r>
      <w:r w:rsidRPr="001D71BB">
        <w:t xml:space="preserve">pręsti svarbių veiksnių sveikatai klausimus. </w:t>
      </w:r>
    </w:p>
    <w:p w:rsidR="00995BE0" w:rsidRPr="001D71BB" w:rsidRDefault="00995BE0" w:rsidP="00256122">
      <w:pPr>
        <w:spacing w:line="360" w:lineRule="auto"/>
        <w:ind w:firstLine="600"/>
        <w:jc w:val="both"/>
      </w:pPr>
      <w:r w:rsidRPr="001D71BB">
        <w:t xml:space="preserve">2007 m. priimta </w:t>
      </w:r>
      <w:r w:rsidRPr="0017050F">
        <w:t xml:space="preserve">antroji Bendrijos </w:t>
      </w:r>
      <w:r w:rsidRPr="00E46981">
        <w:rPr>
          <w:spacing w:val="2"/>
        </w:rPr>
        <w:t>VS</w:t>
      </w:r>
      <w:r w:rsidRPr="0017050F">
        <w:t xml:space="preserve"> veiksmų programa</w:t>
      </w:r>
      <w:r w:rsidRPr="001D71BB">
        <w:t>, kuri remiasi ankstesnės programos rezultatais. Papildydama pirmos programos pasiekimus, 2008-2013 m. EB programa orientuojama į tris pagrindinius tikslus:</w:t>
      </w:r>
      <w:r>
        <w:t xml:space="preserve"> g</w:t>
      </w:r>
      <w:r w:rsidRPr="001D71BB">
        <w:t>erinti gyventojų sveikatos saugumą;</w:t>
      </w:r>
      <w:r>
        <w:t xml:space="preserve"> s</w:t>
      </w:r>
      <w:r w:rsidRPr="001D71BB">
        <w:t>katin</w:t>
      </w:r>
      <w:r>
        <w:t>t</w:t>
      </w:r>
      <w:r w:rsidRPr="001D71BB">
        <w:t>i sveikatingumą, apimant skirtumų mažinimą šioje srityje;</w:t>
      </w:r>
      <w:r>
        <w:t xml:space="preserve"> k</w:t>
      </w:r>
      <w:r w:rsidRPr="001D71BB">
        <w:t>aupti ir skleisti info</w:t>
      </w:r>
      <w:r>
        <w:t>rmaciją ir žinias apie sveikatą.</w:t>
      </w:r>
    </w:p>
    <w:p w:rsidR="00995BE0" w:rsidRPr="006D3EEE" w:rsidRDefault="00995BE0" w:rsidP="00A3155B">
      <w:pPr>
        <w:autoSpaceDE w:val="0"/>
        <w:autoSpaceDN w:val="0"/>
        <w:adjustRightInd w:val="0"/>
        <w:spacing w:line="360" w:lineRule="auto"/>
        <w:ind w:firstLine="567"/>
        <w:jc w:val="both"/>
      </w:pPr>
      <w:r w:rsidRPr="006D3EEE">
        <w:t>Darbas sveikatos labui Bendrijos lygiu papildo valstybių narių veiksmus, visų pirma ligų prevencijos srityje, įskaitant darbą maisto saugos ir mitybos, medicinos produktų saugos srityse, kovojant su rūkymu, priimant teisės aktus dėl kraujo, audinių, ląstelių ir organų, vandens ir oro kokybės ir steigiant įvairias sveikatos politikos srities agentūras. Tačiau yra keletas vis svarbesnėmis gyventojų sveikatai tampančių problemų, kurioms spręsti reikalingas naujas strateginis požiūris.</w:t>
      </w:r>
    </w:p>
    <w:p w:rsidR="00995BE0" w:rsidRDefault="00995BE0" w:rsidP="008E0D0D">
      <w:pPr>
        <w:autoSpaceDE w:val="0"/>
        <w:autoSpaceDN w:val="0"/>
        <w:adjustRightInd w:val="0"/>
        <w:spacing w:line="360" w:lineRule="auto"/>
        <w:ind w:firstLine="567"/>
        <w:jc w:val="both"/>
        <w:rPr>
          <w:sz w:val="16"/>
          <w:szCs w:val="16"/>
        </w:rPr>
      </w:pPr>
      <w:r w:rsidRPr="001D71BB">
        <w:lastRenderedPageBreak/>
        <w:t xml:space="preserve">Pirma, dėl demografinių pokyčių, įskaitant </w:t>
      </w:r>
      <w:r w:rsidRPr="001D71BB">
        <w:rPr>
          <w:bCs/>
        </w:rPr>
        <w:t>gyventojų senėjimą,</w:t>
      </w:r>
      <w:r w:rsidRPr="001D71BB">
        <w:rPr>
          <w:b/>
          <w:bCs/>
        </w:rPr>
        <w:t xml:space="preserve"> </w:t>
      </w:r>
      <w:r w:rsidRPr="001D71BB">
        <w:t>kinta ligų ypatumai ir ES sveikatos sistemų tvarumas patiria spaudimą.</w:t>
      </w:r>
      <w:r>
        <w:t xml:space="preserve"> </w:t>
      </w:r>
      <w:r w:rsidRPr="001D71BB">
        <w:t xml:space="preserve">Antra, pandemijos, rimti fiziniai ir biologiniai incidentai bei bioterorizmas gali kelti didelę </w:t>
      </w:r>
      <w:r w:rsidRPr="001D71BB">
        <w:rPr>
          <w:bCs/>
        </w:rPr>
        <w:t xml:space="preserve">grėsmę sveikatai. </w:t>
      </w:r>
      <w:r w:rsidRPr="001D71BB">
        <w:t>Klimato kaita lemia naujas užkrečiamųjų ligų ypatybes.</w:t>
      </w:r>
      <w:r>
        <w:t xml:space="preserve"> </w:t>
      </w:r>
      <w:r w:rsidRPr="001D71BB">
        <w:t xml:space="preserve">Trečia, pastaraisiais metais stebima didelė sveikatos priežiūros sistemų kaita, iš dalies nulemta greitos </w:t>
      </w:r>
      <w:r w:rsidRPr="001D71BB">
        <w:rPr>
          <w:bCs/>
        </w:rPr>
        <w:t>naujųjų technologijų</w:t>
      </w:r>
      <w:r w:rsidRPr="001D71BB">
        <w:t>, kurios be galo sparčiai keičia mūsų sveikatos ugdymo, ligų numatymo, prevencijos ir gydymo būdus, plėtros</w:t>
      </w:r>
      <w:r>
        <w:t xml:space="preserve"> (</w:t>
      </w:r>
      <w:r w:rsidRPr="00027448">
        <w:rPr>
          <w:bCs/>
        </w:rPr>
        <w:t>Decision No 779/2007/ec of the European Parliament and of the Council of 20 June 2007</w:t>
      </w:r>
      <w:r>
        <w:t>)</w:t>
      </w:r>
      <w:r>
        <w:rPr>
          <w:sz w:val="16"/>
          <w:szCs w:val="16"/>
        </w:rPr>
        <w:t>.</w:t>
      </w:r>
    </w:p>
    <w:p w:rsidR="00995BE0" w:rsidRPr="00CA20EA" w:rsidRDefault="00995BE0" w:rsidP="00CA20EA">
      <w:pPr>
        <w:autoSpaceDE w:val="0"/>
        <w:autoSpaceDN w:val="0"/>
        <w:adjustRightInd w:val="0"/>
        <w:spacing w:line="360" w:lineRule="auto"/>
        <w:ind w:firstLine="480"/>
        <w:jc w:val="both"/>
        <w:rPr>
          <w:sz w:val="16"/>
          <w:szCs w:val="16"/>
        </w:rPr>
      </w:pPr>
      <w:r w:rsidRPr="001D71BB">
        <w:t xml:space="preserve">Todėl 2007 m. spalio 23 d. Komisija baltojoje knygoje </w:t>
      </w:r>
      <w:r w:rsidRPr="0017050F">
        <w:t>„Kartu sveikatos labui, 2008 – 2013 m. ES strateginis požiūris“</w:t>
      </w:r>
      <w:r w:rsidRPr="001D71BB">
        <w:t xml:space="preserve">, išdėstė naujosios strategijos poreikį ir naują požiūrį į esamą </w:t>
      </w:r>
      <w:r w:rsidRPr="00E46981">
        <w:rPr>
          <w:spacing w:val="2"/>
        </w:rPr>
        <w:t>VS</w:t>
      </w:r>
      <w:r w:rsidRPr="001D71BB">
        <w:t xml:space="preserve"> situaciją. Šioje Baltojoje knygoje siekiama nustatyti nuoseklią sistemą – pirmąją EB sveikatos strategiją – numatyti kryptį Bendrijos veiksmams sveikatos politikos srityje. Knygoje siūlomi keturi pagrindiniai principai, pagrindžiantys tris strateginius tikslus, kurie bus artimiausių metų prioritetai. Strategijoje numatytos ir įgyvendinimo priemonės dėl partnerių bendradarbiavimo</w:t>
      </w:r>
      <w:r>
        <w:t>,</w:t>
      </w:r>
      <w:r w:rsidRPr="001D71BB">
        <w:t xml:space="preserve"> užtikrinant, kad būtų atsižvelgta į sveikatos aspektus visose politikos srityse, ir siekiant didesnio dėmesio bei geresnio supratimo apie sveikatą Bendrijos mastu. Šioje Baltojoje knygoje nustatoma strategija iki 2013 m., kai bus atliktas persvarstymas siekiant nustatyti tolesnius veiksmus strategijos tikslams įgyvendinti (</w:t>
      </w:r>
      <w:r>
        <w:t>Decisions adopted jointly by yhe European Parliament and the Council, 2007</w:t>
      </w:r>
      <w:r w:rsidRPr="001D71BB">
        <w:t>).</w:t>
      </w:r>
    </w:p>
    <w:p w:rsidR="00995BE0" w:rsidRPr="0017050F" w:rsidRDefault="00995BE0" w:rsidP="00A3155B">
      <w:pPr>
        <w:spacing w:line="360" w:lineRule="auto"/>
        <w:ind w:firstLine="567"/>
        <w:jc w:val="both"/>
      </w:pPr>
      <w:r w:rsidRPr="0017050F">
        <w:t xml:space="preserve">Vykdydama sveikatos strategiją ES padeda gerinti Europos visuomenės sveikatą ir prisideda prie valstybių narių veiklos visapusiškai atsižvelgdama į tai, kad valstybės narės yra atsakingos už sveikatos priežiūrą ir jos paslaugų derinimą bei teikimą. </w:t>
      </w:r>
    </w:p>
    <w:p w:rsidR="00995BE0" w:rsidRPr="001D71BB" w:rsidRDefault="00995BE0" w:rsidP="00A3155B">
      <w:pPr>
        <w:autoSpaceDE w:val="0"/>
        <w:autoSpaceDN w:val="0"/>
        <w:adjustRightInd w:val="0"/>
        <w:spacing w:line="360" w:lineRule="auto"/>
        <w:ind w:firstLine="567"/>
        <w:jc w:val="both"/>
      </w:pPr>
      <w:r w:rsidRPr="0017050F">
        <w:t xml:space="preserve">Pacientų sauga – vienas iš svarbiausių ES politinės darbotvarkės tikslų. 2005 m. valstybės narės pradėjo sistemingai diskutuoti pacientų saugos klausimais, kurie tapo sveikatos priežiūros prioritetu. Sveikatos paslaugų ir medicininės priežiūros aukšto lygio grupėje buvo įkurta darbo grupė, kuri padeda Europos Komisijai lengvinti ir remti valstybių narių veiklą. Aktyvūs darbo grupės nariai yra ir Pasaulio sveikatos organizacija (visų pirma per Pasaulinį pacientų saugos aljansą), Europos Taryba, EBPO bei Europos pacientų, gydytojų, slaugių, farmacininkų, dantistų bei ligoninių asociacijos. 2009 m. patvirtinta Tarybos rekomendacija 2009/C151/01 </w:t>
      </w:r>
      <w:r w:rsidRPr="0017050F">
        <w:rPr>
          <w:rFonts w:cs="EUAlbertina"/>
          <w:bCs/>
        </w:rPr>
        <w:t>dėl pacientų saugos ir su sveikatos priežiūra susijusių infekcijų prevencijos ir kontrolės</w:t>
      </w:r>
      <w:r w:rsidRPr="0017050F">
        <w:t>,</w:t>
      </w:r>
      <w:r w:rsidRPr="001D71BB">
        <w:t xml:space="preserve"> kurios grindžiamos PSO darbu, siekiant atrasti efektyvią pacientų  apsaugos sistemą (</w:t>
      </w:r>
      <w:r w:rsidRPr="008F0C6D">
        <w:t>Tarybos rekomendacija „Dėl pacientų saugos ir su sveikatos priežiūra susijusių infekcijų prevencijos ir kontrolės“, 2009</w:t>
      </w:r>
      <w:r>
        <w:rPr>
          <w:sz w:val="22"/>
        </w:rPr>
        <w:t>)</w:t>
      </w:r>
      <w:r w:rsidRPr="001D71BB">
        <w:t>.</w:t>
      </w:r>
    </w:p>
    <w:p w:rsidR="00995BE0" w:rsidRPr="001D71BB" w:rsidRDefault="00995BE0" w:rsidP="00A3155B">
      <w:pPr>
        <w:spacing w:line="360" w:lineRule="auto"/>
        <w:ind w:firstLine="567"/>
        <w:jc w:val="both"/>
      </w:pPr>
      <w:r w:rsidRPr="0017050F">
        <w:t xml:space="preserve">Širdies ir kraujagyslių ligos – pagrindinė mirties priežastis Europos Sąjungoje: jos lemia apie 40 proc. visų mirčių (2 milijonų žmonių mirčių) per metus. Siekdami gerokai sumažinti dėl širdies ir kraujagyslių ligų susidarančią finansinę naštą, Europos sveikatos tinklas (EHN) ir Europos kardiologų draugija, gavę paramą pagal visuomenės sveikatos programą, parengė </w:t>
      </w:r>
      <w:bookmarkStart w:id="50" w:name="OLE_LINK5"/>
      <w:bookmarkStart w:id="51" w:name="OLE_LINK8"/>
      <w:r w:rsidRPr="0017050F">
        <w:t>Europos širdies sveikatos chartiją</w:t>
      </w:r>
      <w:bookmarkEnd w:id="50"/>
      <w:bookmarkEnd w:id="51"/>
      <w:r w:rsidRPr="0017050F">
        <w:t>.</w:t>
      </w:r>
      <w:r w:rsidRPr="001D71BB">
        <w:t xml:space="preserve"> Šios chartijos tikslas yra smarkiai sumažinti širdies ir kraujagyslių ligų paplitimą </w:t>
      </w:r>
      <w:r w:rsidRPr="001D71BB">
        <w:lastRenderedPageBreak/>
        <w:t>Europos Sąjungoje ir PSO Europos regione bei mažinti sergančiųjų šiomis ligomis priežiūros netolygumus šalyse ir tarp šalių. Chartija rekomenduoja pasirašiusias šalis skatinti ir remti visas priemones teikiant pirmenybę gyvensenos pokyčiams, kurie padės smarkiai sumažinti širdies ir kraujagyslių ligų plitimą (</w:t>
      </w:r>
      <w:r w:rsidRPr="0017050F">
        <w:t>Eu</w:t>
      </w:r>
      <w:r>
        <w:t>ropos širdies sveikatos chartija, 2007</w:t>
      </w:r>
      <w:r w:rsidRPr="001D71BB">
        <w:t>).</w:t>
      </w:r>
    </w:p>
    <w:p w:rsidR="00995BE0" w:rsidRPr="001D71BB" w:rsidRDefault="00995BE0" w:rsidP="00DE7974">
      <w:pPr>
        <w:autoSpaceDE w:val="0"/>
        <w:autoSpaceDN w:val="0"/>
        <w:adjustRightInd w:val="0"/>
        <w:spacing w:line="360" w:lineRule="auto"/>
        <w:ind w:firstLine="567"/>
        <w:jc w:val="both"/>
      </w:pPr>
      <w:r w:rsidRPr="0017050F">
        <w:t>Liuksemburgo deklaracija,</w:t>
      </w:r>
      <w:r w:rsidRPr="001D71BB">
        <w:t xml:space="preserve"> priimta pirmininkaujant Liuksemburgui, sudarė Liuksemburgo susitikime dalyvavusių šalių nacionalinių sveikatos apsaugos ministerijų, Europos bei nacionalinių Širdies draugijų ir Širdies fondų sutartį, skatinančią energingai vykdyti šiuolaikinę širdies ir kraujagyslių ligų prevenciją ir užtikrinti, kad efektyvios priemonės, veiklos kryptys bei poveikio priemonės būtų įgyvendinamos visose Europos šalyse. </w:t>
      </w:r>
    </w:p>
    <w:p w:rsidR="00995BE0" w:rsidRPr="00DE7974" w:rsidRDefault="00995BE0" w:rsidP="00DE7974">
      <w:pPr>
        <w:pStyle w:val="prastasistinklapis"/>
        <w:spacing w:before="0" w:beforeAutospacing="0" w:after="0" w:afterAutospacing="0" w:line="360" w:lineRule="auto"/>
        <w:ind w:firstLine="600"/>
        <w:jc w:val="both"/>
      </w:pPr>
      <w:r w:rsidRPr="00DE7974">
        <w:t xml:space="preserve">Remiant lėtinių neinfekcinių ligų politikos spektrą, Europos komisija finansuoti projektą „Euro širdis: Europos širdies sveikatos strategija“. Šis projektas yra dalis 2003-2008 m. Europos </w:t>
      </w:r>
      <w:r w:rsidRPr="00E46981">
        <w:rPr>
          <w:spacing w:val="2"/>
        </w:rPr>
        <w:t>VS</w:t>
      </w:r>
      <w:r w:rsidRPr="00DE7974">
        <w:t xml:space="preserve"> programos dalis, kurio trukmė 2007-2010 m. Įtrauktos 21 šalys, numatyta analizuoti ir planuoti valstybių narių politiką ir priemones, skirtas širdies ir kraujagyslių sveikatos skatinimui, taip pat partnerystės skatinimas tarp sveikatos priežiūros specialistų, nevyriausybinių organizacijų, vyriausybių ir visuomenės sveikatos institucijų (EuroHeart: European Heart Health Strategy, 2010). </w:t>
      </w:r>
    </w:p>
    <w:p w:rsidR="00995BE0" w:rsidRDefault="00995BE0" w:rsidP="00E7758D">
      <w:pPr>
        <w:spacing w:line="360" w:lineRule="auto"/>
        <w:ind w:firstLine="567"/>
        <w:jc w:val="both"/>
      </w:pPr>
      <w:r w:rsidRPr="001D71BB">
        <w:t xml:space="preserve">2007 m. gegužės mėn. Europos Komisija priėmė </w:t>
      </w:r>
      <w:r>
        <w:t>B</w:t>
      </w:r>
      <w:r w:rsidRPr="001D71BB">
        <w:t xml:space="preserve">altąją knygą, kurioje apibrėžė kovos su </w:t>
      </w:r>
      <w:r w:rsidRPr="0017050F">
        <w:t>antsvoriu ir nutukimu strategi</w:t>
      </w:r>
      <w:r>
        <w:t>ją</w:t>
      </w:r>
      <w:r w:rsidRPr="0017050F">
        <w:t>.</w:t>
      </w:r>
      <w:r w:rsidRPr="001D71BB">
        <w:t xml:space="preserve"> Joje numatyta sprendžiant šias problemas derinti veiksmus įvairiose srityse: žemės ūkio, transporto, sporto, švietimo, visuomenės sveikatos ir maisto. Strategijoje dar kartą pabrėžiama, kad minėta platforma yra geresnio bendradarbiavimo nacionaliniu ir vietos lygmenimis pavyzdys. Pagal strategiją suburta nauja aukšto lygio grupė, kurią sudaro visų valstybių narių vyriausybių atstovai. Šios baltosios knygos tikslas – nustatyti integruot ES požiūrį, kuris padėtų sumažinti netinkamos mitybos, antsvorio ir nutukimo sukeltas sveikatos problemas (Baltoji knyga </w:t>
      </w:r>
      <w:r>
        <w:t>„</w:t>
      </w:r>
      <w:r w:rsidRPr="001D71BB">
        <w:t>Dėl Europos strategijos su mityba, antsvoriu ir nutukimu susijusiomis sveikatos problemomis</w:t>
      </w:r>
      <w:r>
        <w:t xml:space="preserve">“, </w:t>
      </w:r>
      <w:r w:rsidRPr="001D71BB">
        <w:t>2007).</w:t>
      </w:r>
    </w:p>
    <w:p w:rsidR="00995BE0" w:rsidRPr="0017050F" w:rsidRDefault="00995BE0" w:rsidP="00E7758D">
      <w:pPr>
        <w:autoSpaceDE w:val="0"/>
        <w:autoSpaceDN w:val="0"/>
        <w:adjustRightInd w:val="0"/>
        <w:spacing w:line="360" w:lineRule="auto"/>
        <w:ind w:firstLine="600"/>
        <w:jc w:val="both"/>
      </w:pPr>
      <w:r>
        <w:t xml:space="preserve">2001 m. patvirtinta ES </w:t>
      </w:r>
      <w:r w:rsidRPr="0017050F">
        <w:t xml:space="preserve">rekomendacija dėl alkoholį </w:t>
      </w:r>
      <w:r>
        <w:t>vartojančio jaunimo,</w:t>
      </w:r>
      <w:r w:rsidRPr="0017050F">
        <w:t xml:space="preserve"> 2006 m. spalio mėnesį Europos Komisija patvirtino alkoholio visapusišką strategiją, siekdama skatinti valstybes nares mažinti žalą, kurią sukelia alkoholis Europoje (</w:t>
      </w:r>
      <w:r w:rsidRPr="00303847">
        <w:t>An EU strategy to support Member States in reducing alcohol related harm</w:t>
      </w:r>
      <w:r>
        <w:t>,</w:t>
      </w:r>
      <w:r w:rsidRPr="00303847">
        <w:t xml:space="preserve"> 2006</w:t>
      </w:r>
      <w:r w:rsidRPr="0017050F">
        <w:t>).</w:t>
      </w:r>
      <w:r w:rsidRPr="001D71BB">
        <w:t xml:space="preserve"> 2007 m. pavasarį parengta</w:t>
      </w:r>
      <w:r w:rsidRPr="0017050F">
        <w:t xml:space="preserve"> </w:t>
      </w:r>
      <w:r>
        <w:t>Ž</w:t>
      </w:r>
      <w:r w:rsidRPr="0017050F">
        <w:t>alioji knyga “Europa be tabako dūmų: politikos alternatyvos ES mastu”.</w:t>
      </w:r>
    </w:p>
    <w:p w:rsidR="00995BE0" w:rsidRPr="001D71BB" w:rsidRDefault="00995BE0" w:rsidP="00A3155B">
      <w:pPr>
        <w:autoSpaceDE w:val="0"/>
        <w:autoSpaceDN w:val="0"/>
        <w:adjustRightInd w:val="0"/>
        <w:spacing w:line="360" w:lineRule="auto"/>
        <w:ind w:firstLine="567"/>
        <w:jc w:val="both"/>
      </w:pPr>
      <w:r w:rsidRPr="0017050F">
        <w:t xml:space="preserve">2004 m. gruodžio mėn. Europos Vadovų Taryba vieningai patvirtino </w:t>
      </w:r>
      <w:bookmarkStart w:id="52" w:name="OLE_LINK9"/>
      <w:bookmarkStart w:id="53" w:name="OLE_LINK10"/>
      <w:r w:rsidRPr="0017050F">
        <w:t>2005–2012 m.</w:t>
      </w:r>
      <w:bookmarkEnd w:id="52"/>
      <w:bookmarkEnd w:id="53"/>
      <w:r w:rsidRPr="0017050F">
        <w:t xml:space="preserve"> ES kovos su narkotikais strategiją, </w:t>
      </w:r>
      <w:r w:rsidRPr="001D71BB">
        <w:t xml:space="preserve">kurios tikslas – užtikrinti aukštą apsaugos, gerovės ir socialinės sanglaudos lygį vykdant narkotikų vartojimo prevenciją ir jį mažinant. Priimta strategija aiškiai parodė, kad politinis susirūpinimas narkotikų daroma žala visoje Europos Sąjungoje yra svarbesnis nei esami valstybių narių požiūrių skirtumai. Šia strategija, įgyvendinta dviem vėliau priimtais ES kovos su narkotikais veiksmų planais, visos valstybės narės įsipareigoja laikytis tokių pačių pagrindinių </w:t>
      </w:r>
      <w:r w:rsidRPr="001D71BB">
        <w:lastRenderedPageBreak/>
        <w:t>principų: mažinant narkotikų pasiūlą ir poreikį reikia laikytis suderinto metodo, kuris, visų pirma ir svarbiausia, būtų pagrįstas pagrindiniais ES teisės principais ir kuriuo visais atžvilgiais būtų remiamos vertybės, kuriomis grindžiama Sąjunga: pagarba žmogiškajam orumui, laisvė, demokratija, lygybė, solidarumas, teisinė valstybė bei žmogaus teisės (</w:t>
      </w:r>
      <w:r>
        <w:t>2009-2012 m. Europos Sąjungos kovos su narkotikais veiksmų planas, 2008</w:t>
      </w:r>
      <w:r w:rsidRPr="001D71BB">
        <w:t>).</w:t>
      </w:r>
    </w:p>
    <w:p w:rsidR="00995BE0" w:rsidRPr="001D71BB" w:rsidRDefault="00995BE0" w:rsidP="00A3155B">
      <w:pPr>
        <w:spacing w:line="360" w:lineRule="auto"/>
        <w:ind w:firstLine="567"/>
        <w:jc w:val="both"/>
      </w:pPr>
      <w:r w:rsidRPr="001D71BB">
        <w:t xml:space="preserve">XX amžiaus 9-ojo dešimtmečio pabaigoje </w:t>
      </w:r>
      <w:r w:rsidRPr="0017050F">
        <w:t>ŽIV ir AIDS</w:t>
      </w:r>
      <w:r w:rsidRPr="001D71BB">
        <w:t xml:space="preserve"> epidemija tapo viena svarbiausių Europos Sąjungos sveikatos problemų ir svarbiu politiniu prioritetu. ES siekia:</w:t>
      </w:r>
    </w:p>
    <w:p w:rsidR="00995BE0" w:rsidRPr="001D71BB" w:rsidRDefault="00995BE0" w:rsidP="00A3155B">
      <w:pPr>
        <w:numPr>
          <w:ilvl w:val="0"/>
          <w:numId w:val="10"/>
        </w:numPr>
        <w:tabs>
          <w:tab w:val="left" w:pos="142"/>
        </w:tabs>
        <w:spacing w:line="360" w:lineRule="auto"/>
        <w:jc w:val="both"/>
      </w:pPr>
      <w:r w:rsidRPr="001D71BB">
        <w:t>skatinti ŽIV ir AIDS prevenciją bei plačiau informuoti piliečius šia tema,</w:t>
      </w:r>
      <w:r w:rsidRPr="001D71BB">
        <w:br/>
        <w:t>gerinti priežiūrą,</w:t>
      </w:r>
    </w:p>
    <w:p w:rsidR="00995BE0" w:rsidRPr="001D71BB" w:rsidRDefault="00995BE0" w:rsidP="00A3155B">
      <w:pPr>
        <w:numPr>
          <w:ilvl w:val="0"/>
          <w:numId w:val="10"/>
        </w:numPr>
        <w:spacing w:line="360" w:lineRule="auto"/>
        <w:jc w:val="both"/>
      </w:pPr>
      <w:r w:rsidRPr="001D71BB">
        <w:t>sukurti tinklus, susiejančius pagrindinius kovos su ŽIV ir AIDS srityje veikiančius partnerius,</w:t>
      </w:r>
    </w:p>
    <w:p w:rsidR="00995BE0" w:rsidRPr="001D71BB" w:rsidRDefault="00995BE0" w:rsidP="00A3155B">
      <w:pPr>
        <w:numPr>
          <w:ilvl w:val="0"/>
          <w:numId w:val="10"/>
        </w:numPr>
        <w:spacing w:line="360" w:lineRule="auto"/>
        <w:jc w:val="both"/>
      </w:pPr>
      <w:r w:rsidRPr="001D71BB">
        <w:t>sudaryti palankias sąlygas skleisti gerąją patirtį.</w:t>
      </w:r>
    </w:p>
    <w:p w:rsidR="00995BE0" w:rsidRPr="001D71BB" w:rsidRDefault="00995BE0" w:rsidP="00A3155B">
      <w:pPr>
        <w:spacing w:line="360" w:lineRule="auto"/>
        <w:ind w:firstLine="567"/>
        <w:jc w:val="both"/>
      </w:pPr>
      <w:r w:rsidRPr="001D71BB">
        <w:t>Pastaraisiais metais padidėjo žmonių, kuriems diagnozuota ŽIV infekcija, skaičius daugelyje ES valstybių narių ir rytinėse Europos Sąjungos kaimynėse. Todėl, kad ŽIV ir AIDS epidemija ateityje būtų pažabota, reikia sustiprinti dabartines priemones ir veiksmus (</w:t>
      </w:r>
      <w:r>
        <w:t>ŽIV ir AIDS, 2009</w:t>
      </w:r>
      <w:r w:rsidRPr="001D71BB">
        <w:t>).</w:t>
      </w:r>
    </w:p>
    <w:p w:rsidR="00995BE0" w:rsidRPr="0017050F" w:rsidRDefault="00995BE0" w:rsidP="00A3155B">
      <w:pPr>
        <w:spacing w:line="360" w:lineRule="auto"/>
        <w:ind w:firstLine="567"/>
        <w:jc w:val="both"/>
      </w:pPr>
      <w:r w:rsidRPr="001D71BB">
        <w:t xml:space="preserve">2004 m. Dubline vyko konferencija, pavadinta „Partnerystė kovojant su ŽIV/AIDS Europoje ir Centrinėje Azijoje“. Priimta </w:t>
      </w:r>
      <w:r w:rsidRPr="0017050F">
        <w:t>Dublino deklaracija, kurioje susitarta dėl tam tikrų veiksmų, siekiant mažinti ŽIV/AIDS plitimą Europoje ir Centrinėje Azijoje.</w:t>
      </w:r>
      <w:r>
        <w:t xml:space="preserve"> </w:t>
      </w:r>
      <w:r w:rsidRPr="0017050F">
        <w:rPr>
          <w:rStyle w:val="longtext1"/>
          <w:sz w:val="24"/>
          <w:szCs w:val="24"/>
          <w:shd w:val="clear" w:color="auto" w:fill="FFFFFF"/>
        </w:rPr>
        <w:t>2005 m. gruodžio 15 d. Komisija priėmė komunikatą dėl kovos su ŽIV/AIDS Europos Sąjungoje ir kaimyninėse šalyse 2006-2009 m.</w:t>
      </w:r>
    </w:p>
    <w:p w:rsidR="00995BE0" w:rsidRPr="001D71BB" w:rsidRDefault="00995BE0" w:rsidP="00383187">
      <w:pPr>
        <w:spacing w:line="360" w:lineRule="auto"/>
        <w:ind w:firstLine="567"/>
        <w:jc w:val="both"/>
      </w:pPr>
      <w:r w:rsidRPr="001D71BB">
        <w:t xml:space="preserve">ES politika padeda apsaugoti ir gerinti </w:t>
      </w:r>
      <w:r w:rsidRPr="0017050F">
        <w:t>psichikos sveikatą,</w:t>
      </w:r>
      <w:r w:rsidRPr="001D71BB">
        <w:t xml:space="preserve"> plačiau informuoti su ja susijusiais klausimais ir kurti Europos sistemą, kuria naudodamiesi politikos, praktikos ir mokslinių tyrimų klausimais bendradarbiautų ir vertinga patirtimi dalytųsi vyriausybių bei įvairių sektorių atstovai.</w:t>
      </w:r>
      <w:r>
        <w:t xml:space="preserve"> </w:t>
      </w:r>
      <w:r w:rsidRPr="001D71BB">
        <w:t xml:space="preserve">Tai įgyvendinti siekiama </w:t>
      </w:r>
      <w:r w:rsidRPr="0017050F">
        <w:t>Europos psich</w:t>
      </w:r>
      <w:r>
        <w:t xml:space="preserve">ikos sveikatos ir gerovės paktu, kuriame išskiriami 5 prioritetai: </w:t>
      </w:r>
      <w:r w:rsidRPr="001D71BB">
        <w:t>depre</w:t>
      </w:r>
      <w:r>
        <w:t xml:space="preserve">sijos ir savižudybių prevencija; </w:t>
      </w:r>
      <w:r w:rsidRPr="001D71BB">
        <w:t xml:space="preserve">jaunimo </w:t>
      </w:r>
      <w:r>
        <w:t xml:space="preserve">psichikos sveikata ir švietimas; </w:t>
      </w:r>
      <w:r w:rsidRPr="001D71BB">
        <w:t>darbuot</w:t>
      </w:r>
      <w:r>
        <w:t xml:space="preserve">ojų psichikos sveikata; </w:t>
      </w:r>
      <w:r w:rsidRPr="001D71BB">
        <w:t>pagyve</w:t>
      </w:r>
      <w:r>
        <w:t xml:space="preserve">nusių žmonių psichikos sveikata; </w:t>
      </w:r>
      <w:r w:rsidRPr="001D71BB">
        <w:t>kova su pasmerkimu ir socialine atskirtimi</w:t>
      </w:r>
      <w:r>
        <w:t xml:space="preserve"> (</w:t>
      </w:r>
      <w:r w:rsidRPr="0017050F">
        <w:t>Europos</w:t>
      </w:r>
      <w:r>
        <w:t xml:space="preserve"> paktas dėl</w:t>
      </w:r>
      <w:r w:rsidRPr="0017050F">
        <w:t xml:space="preserve"> psich</w:t>
      </w:r>
      <w:r>
        <w:t>inės sveikatos ir gerovės, 2008)</w:t>
      </w:r>
      <w:r w:rsidRPr="001D71BB">
        <w:t>.</w:t>
      </w:r>
    </w:p>
    <w:p w:rsidR="00995BE0" w:rsidRPr="001D71BB" w:rsidRDefault="00995BE0" w:rsidP="00A3155B">
      <w:pPr>
        <w:autoSpaceDE w:val="0"/>
        <w:autoSpaceDN w:val="0"/>
        <w:adjustRightInd w:val="0"/>
        <w:spacing w:line="360" w:lineRule="auto"/>
        <w:ind w:firstLine="567"/>
        <w:jc w:val="both"/>
      </w:pPr>
      <w:r w:rsidRPr="001D71BB">
        <w:t xml:space="preserve">1995–2005 metais, bendradarbiaujant PSO, Europos Sąjungos institucijoms, Pasaulio bankui, universitetams, pasaulyje ir Europoje iš naujo įvertintas psichikos sveikatos vaidmuo saugant ir stiprinant visuomenės sveikatą. Suomijai inicijavus šį svarbų psichikos sveikatos klausimą, buvo priimta keletas svarbių sveikatos politikos dokumentų: 2001 metais buvo paskelbtas PSO metinis pranešimas „Psichikos sveikata: naujas supratimas, nauja viltis“, o 2005 metais PSO Europos regiono sveikatos apsaugos ministrų konferencijoje Helsinkyje Europos valstybės priėmė </w:t>
      </w:r>
      <w:r w:rsidRPr="0017050F">
        <w:t xml:space="preserve">Europos psichikos sveikatos apsaugos deklaraciją ir Veiksmų planą 2005–2010 metams (Lietuvos Psichikos sveikatos strategija, 2007). </w:t>
      </w:r>
      <w:r w:rsidRPr="001D71BB">
        <w:t xml:space="preserve">Pagrindinis dokumentų tikslas – siekti, kad visose Europos valstybėse </w:t>
      </w:r>
      <w:r w:rsidRPr="001D71BB">
        <w:lastRenderedPageBreak/>
        <w:t>psichikos sveikatai būtų skirtas sustiprintas dėmesys, nes psichikos sutrikimų našta visuomenei nuolat auga, netgi pradeda vyrauti, palyginti su kitais sveikatos sutri</w:t>
      </w:r>
      <w:r>
        <w:t>kimais (Davidovidienė, 2007</w:t>
      </w:r>
      <w:r w:rsidRPr="001D71BB">
        <w:t>)</w:t>
      </w:r>
      <w:r>
        <w:t>.</w:t>
      </w:r>
    </w:p>
    <w:p w:rsidR="00995BE0" w:rsidRPr="001D71BB" w:rsidRDefault="00995BE0" w:rsidP="00A3155B">
      <w:pPr>
        <w:autoSpaceDE w:val="0"/>
        <w:autoSpaceDN w:val="0"/>
        <w:adjustRightInd w:val="0"/>
        <w:spacing w:line="360" w:lineRule="auto"/>
        <w:ind w:firstLine="567"/>
        <w:jc w:val="both"/>
      </w:pPr>
      <w:r w:rsidRPr="001D71BB">
        <w:t xml:space="preserve">Šiuo metu vėžio kontrolės ir priežiūros padėtis ES šalyse labai nevienoda, ir tai kelia susirūpinimą. 2008 m. Europos Parlamentas priėmė rezoliuciją dėl kovos su vėžiu išsiplėtusioje ES. Naujausias teisinis dokumentas, skirtas kovai su vėžiu – EB komunikatas </w:t>
      </w:r>
      <w:r w:rsidRPr="0017050F">
        <w:t xml:space="preserve">„Europos partnerystė aktams prieš vėžį“ </w:t>
      </w:r>
      <w:r w:rsidRPr="001D71BB">
        <w:t>(COM(2009)291/4).</w:t>
      </w:r>
    </w:p>
    <w:p w:rsidR="00995BE0" w:rsidRPr="0059346C" w:rsidRDefault="00995BE0" w:rsidP="000611E7">
      <w:pPr>
        <w:autoSpaceDE w:val="0"/>
        <w:autoSpaceDN w:val="0"/>
        <w:adjustRightInd w:val="0"/>
        <w:spacing w:line="360" w:lineRule="auto"/>
        <w:ind w:firstLine="567"/>
        <w:jc w:val="both"/>
        <w:rPr>
          <w:shd w:val="clear" w:color="auto" w:fill="FFFFFF"/>
        </w:rPr>
      </w:pPr>
      <w:r w:rsidRPr="0059346C">
        <w:t>Atsižvelgdama į traumų socialinę reikšmę pagal jų skaičių, į įvairių traumų kategorijų sunkumą bei pasekmes, į patikrintus duomenis apie veiksmų veiksmingumą ir į sėkmingo veiksmų įgyvendinimo galimybes valstybėse narėse, 20</w:t>
      </w:r>
      <w:r>
        <w:t>0</w:t>
      </w:r>
      <w:r w:rsidRPr="0059346C">
        <w:t>6 m. Europos Bendrijų komisija pateikė Tarybos rekomendaciją dėl traumų prevencijos ir saugumo skatinimo (KOM(2006)329</w:t>
      </w:r>
      <w:r>
        <w:t>). Prioritetinės sritys yra</w:t>
      </w:r>
      <w:r w:rsidRPr="0059346C">
        <w:t>:</w:t>
      </w:r>
      <w:r>
        <w:t xml:space="preserve"> </w:t>
      </w:r>
      <w:r w:rsidRPr="0059346C">
        <w:t>vaikų ir paauglių saugumas,</w:t>
      </w:r>
      <w:r>
        <w:t xml:space="preserve"> </w:t>
      </w:r>
      <w:r w:rsidRPr="0059346C">
        <w:t>pagyvenusių žmonių saugumas,</w:t>
      </w:r>
      <w:r>
        <w:t xml:space="preserve"> </w:t>
      </w:r>
      <w:r w:rsidRPr="0059346C">
        <w:t>pažeidžiamų eismo dalyvių saugumas,</w:t>
      </w:r>
      <w:r>
        <w:t xml:space="preserve"> </w:t>
      </w:r>
      <w:r w:rsidRPr="0059346C">
        <w:t>sporto traumų prevencija,</w:t>
      </w:r>
      <w:r>
        <w:t xml:space="preserve"> </w:t>
      </w:r>
      <w:r w:rsidRPr="0059346C">
        <w:t>traumų, patirtų dėl vartotojams skirtų produktų arba paslaugų, prevencija,</w:t>
      </w:r>
      <w:r>
        <w:t xml:space="preserve"> </w:t>
      </w:r>
      <w:r w:rsidRPr="0059346C">
        <w:t>savižalos prevencija,</w:t>
      </w:r>
      <w:r>
        <w:t xml:space="preserve"> </w:t>
      </w:r>
      <w:r w:rsidRPr="0059346C">
        <w:t>smurto prevencija.</w:t>
      </w:r>
    </w:p>
    <w:p w:rsidR="00995BE0" w:rsidRPr="001D71BB" w:rsidRDefault="00995BE0" w:rsidP="00A3155B">
      <w:pPr>
        <w:autoSpaceDE w:val="0"/>
        <w:autoSpaceDN w:val="0"/>
        <w:adjustRightInd w:val="0"/>
        <w:spacing w:line="360" w:lineRule="auto"/>
        <w:ind w:firstLine="567"/>
        <w:jc w:val="both"/>
      </w:pPr>
      <w:r w:rsidRPr="0017050F">
        <w:t>Vaikų sveikata – ypač svarbus klausimas.</w:t>
      </w:r>
      <w:r w:rsidRPr="001D71BB">
        <w:t xml:space="preserve"> Pagrindinis iniciatyvinis dokumentas įgyvendinant PSO rekomendacijas Europos regione – 2005 m. priimta Europos strategija </w:t>
      </w:r>
      <w:r>
        <w:t>V</w:t>
      </w:r>
      <w:r w:rsidRPr="001D71BB">
        <w:t xml:space="preserve">aikų ir paauglių sveikata ir raida. Šioje Strategijoje atkreipiamas dėmesys į vaikų ir paauglių augimo ir vystymosi sąlygas, pradedant antenataliniu periodu ir iki vaikas tampa suaugusiu. Joje akcentuojamos </w:t>
      </w:r>
      <w:r>
        <w:t>tokios</w:t>
      </w:r>
      <w:r w:rsidRPr="001D71BB">
        <w:t xml:space="preserve"> prioritetinės sveikatos sritys:</w:t>
      </w:r>
      <w:r>
        <w:t xml:space="preserve"> </w:t>
      </w:r>
      <w:r w:rsidRPr="001D71BB">
        <w:t>mityba; užkrečiamosios ligos (tuberkuliozė, ūmi virusinė respiracinė infekcija, žmogaus imunodeficito virusas, įgytasis imuninio nepakankamumo sindromas); traumos, nelaimingi atsitikimai ir smurtas; fizinė aplinka; psichosocialinis vystymasis ir psichikos sveikata. Taip pat įvardijamos pagrindinės problemos ir nurodomi galimi jų sprendimo būdai atskirais vaiko ir paauglio raidos tarpsniais, akcentuojama tarpsektorinio bendradarbiavimo svarba (</w:t>
      </w:r>
      <w:r>
        <w:t>European Strategy for Child and Adolescent Health and Development, 2005</w:t>
      </w:r>
      <w:r w:rsidRPr="001D71BB">
        <w:t>).</w:t>
      </w:r>
    </w:p>
    <w:p w:rsidR="00995BE0" w:rsidRPr="0077780C" w:rsidRDefault="00995BE0" w:rsidP="00A3155B">
      <w:pPr>
        <w:autoSpaceDE w:val="0"/>
        <w:autoSpaceDN w:val="0"/>
        <w:adjustRightInd w:val="0"/>
        <w:spacing w:line="360" w:lineRule="auto"/>
        <w:ind w:firstLine="567"/>
        <w:jc w:val="both"/>
        <w:rPr>
          <w:bCs/>
        </w:rPr>
      </w:pPr>
      <w:r w:rsidRPr="001D71BB">
        <w:t>Keturi regioniniai prioritetiniai tikslai buvo iškelti 2004 m. birželio 25 d. priimtame</w:t>
      </w:r>
      <w:r w:rsidRPr="0077780C">
        <w:t xml:space="preserve"> </w:t>
      </w:r>
      <w:r w:rsidRPr="0077780C">
        <w:rPr>
          <w:bCs/>
        </w:rPr>
        <w:t>Europos vaikų aplinkos ir sveikatos veiksmų plane. Šie tikslai ir eilė veiksmų, skirtų jiems įgyvendinti, užsibrėžti siekiant ligų, kurias sukelia pagrindiniai aplinkos rizikos faktoriai, naštos sumažinimo (</w:t>
      </w:r>
      <w:r>
        <w:t>Childrens‘s Environment and Health Action Plan for Europe, 2004</w:t>
      </w:r>
      <w:r w:rsidRPr="0077780C">
        <w:rPr>
          <w:bCs/>
        </w:rPr>
        <w:t xml:space="preserve">). </w:t>
      </w:r>
    </w:p>
    <w:p w:rsidR="00995BE0" w:rsidRPr="0077780C" w:rsidRDefault="00995BE0" w:rsidP="00A3155B">
      <w:pPr>
        <w:spacing w:line="360" w:lineRule="auto"/>
        <w:ind w:firstLine="540"/>
        <w:jc w:val="both"/>
      </w:pPr>
      <w:r w:rsidRPr="0077780C">
        <w:t>Egmond‘o darbotvarkė, priimta Europos konferencijoje „Švietimas ir sveikatos stiprinimas mokyklose, švietimo ir sveikatos sektorių bendradarbiavimas“, Nyderlanduose, 2002 m. rugsėjo 24-27 d., apima geriausius moksliniais įrodymais ir praktine veikla grindžiamus veiksnius, suvokta kaip esminis dalykas, kuriant sėkmingas sveikatos stiprinimo programas. Sėkmingiausių rezultatų gauta įgyvendinant programas bendradarbiaujant sveikatos ir švietimo sektoriams.</w:t>
      </w:r>
    </w:p>
    <w:p w:rsidR="00995BE0" w:rsidRPr="001D71BB" w:rsidRDefault="00995BE0" w:rsidP="00A3155B">
      <w:pPr>
        <w:spacing w:line="360" w:lineRule="auto"/>
        <w:ind w:firstLine="540"/>
        <w:jc w:val="both"/>
      </w:pPr>
      <w:r w:rsidRPr="0077780C">
        <w:t>Europos sveikatą stiprinančių mokyklų konferencijos „Sveikatą stiprinanti mokykla – investicija į mokymą, sveikatą ir demokratiją“ rezoliucija priimta 1997 m. Graikijoje</w:t>
      </w:r>
      <w:r w:rsidRPr="001D71BB">
        <w:t xml:space="preserve"> skelbia, kad </w:t>
      </w:r>
      <w:r w:rsidRPr="001D71BB">
        <w:lastRenderedPageBreak/>
        <w:t>sveikatos stiprinimas mokyklose yra investicija į sveikatą, švietimą ir demokratiją. Konferencijos išvada – 10 principų, kurie pabrėžė sveikatą stiprinančių mokyklų vertingumą ir jos tikslus.</w:t>
      </w:r>
    </w:p>
    <w:p w:rsidR="00995BE0" w:rsidRDefault="00995BE0" w:rsidP="00A3155B">
      <w:pPr>
        <w:spacing w:line="360" w:lineRule="auto"/>
        <w:ind w:firstLine="540"/>
        <w:jc w:val="both"/>
        <w:rPr>
          <w:b/>
        </w:rPr>
      </w:pPr>
    </w:p>
    <w:p w:rsidR="00995BE0" w:rsidRPr="000611E7" w:rsidRDefault="00995BE0" w:rsidP="00A3155B">
      <w:pPr>
        <w:spacing w:line="360" w:lineRule="auto"/>
        <w:ind w:firstLine="540"/>
        <w:jc w:val="both"/>
        <w:rPr>
          <w:b/>
        </w:rPr>
      </w:pPr>
      <w:r>
        <w:rPr>
          <w:b/>
        </w:rPr>
        <w:t xml:space="preserve">Lietuvos politiniai dokumentai apie </w:t>
      </w:r>
      <w:r w:rsidRPr="0021783E">
        <w:rPr>
          <w:b/>
          <w:spacing w:val="2"/>
        </w:rPr>
        <w:t>VS</w:t>
      </w:r>
      <w:r>
        <w:rPr>
          <w:b/>
        </w:rPr>
        <w:t>.</w:t>
      </w:r>
    </w:p>
    <w:p w:rsidR="00995BE0" w:rsidRPr="0077780C" w:rsidRDefault="00995BE0" w:rsidP="00A3155B">
      <w:pPr>
        <w:spacing w:line="360" w:lineRule="auto"/>
        <w:ind w:firstLine="540"/>
        <w:jc w:val="both"/>
        <w:rPr>
          <w:lang w:eastAsia="ar-SA"/>
        </w:rPr>
      </w:pPr>
      <w:r w:rsidRPr="001D71BB">
        <w:rPr>
          <w:lang w:eastAsia="ar-SA"/>
        </w:rPr>
        <w:t xml:space="preserve">Nepriklausomos Lietuvos nacionalinės sveikatos politiką imta kurti, kai VI Lietuvos gydytojų sąjungos (LGS) atkuriamasis suvažiavimas priėmė rezoliucijas ir medicinos visuomenę įpareigojo parengti naują Lietuvos nacionalinę koncepciją (Jankauskienė ir kt., 2007). PSO „Sveikata visiems“ politikos pagrindu 1991 m. Seimas priėmė </w:t>
      </w:r>
      <w:r w:rsidRPr="0077780C">
        <w:rPr>
          <w:lang w:eastAsia="ar-SA"/>
        </w:rPr>
        <w:t xml:space="preserve">Nacionalinės sveikatos priežiūros koncepciją. Ji nustatė sveikatos priežiūros politikos ilgalaikius ir trumpalaikius tikslus bei šios sferos problemų sprendimo intelektualinį pagrindą (Gustainienė, 2003). </w:t>
      </w:r>
    </w:p>
    <w:p w:rsidR="00995BE0" w:rsidRPr="001D71BB" w:rsidRDefault="00995BE0" w:rsidP="00A3155B">
      <w:pPr>
        <w:spacing w:line="360" w:lineRule="auto"/>
        <w:ind w:firstLine="540"/>
        <w:jc w:val="both"/>
        <w:rPr>
          <w:lang w:eastAsia="ar-SA"/>
        </w:rPr>
      </w:pPr>
      <w:r w:rsidRPr="001D71BB">
        <w:rPr>
          <w:lang w:eastAsia="ar-SA"/>
        </w:rPr>
        <w:t>Šios koncepcijos pagrindu buvo priimta</w:t>
      </w:r>
      <w:r w:rsidRPr="0077780C">
        <w:rPr>
          <w:lang w:eastAsia="ar-SA"/>
        </w:rPr>
        <w:t xml:space="preserve"> Lietuvos sveikatos programa ir pradėta sveikatos apsaugos reforma. Lietuvos sveikatos 1997 – 2010 m. programoje numatyti pagrindiniai tikslai iki 2010 metų, remiantis prioritetinėmis Lietuvos gyventojų sveikatos problemomis:</w:t>
      </w:r>
    </w:p>
    <w:p w:rsidR="00995BE0" w:rsidRPr="001D71BB" w:rsidRDefault="00995BE0" w:rsidP="00A3155B">
      <w:pPr>
        <w:numPr>
          <w:ilvl w:val="0"/>
          <w:numId w:val="7"/>
        </w:numPr>
        <w:spacing w:line="360" w:lineRule="auto"/>
        <w:jc w:val="both"/>
        <w:rPr>
          <w:lang w:eastAsia="ar-SA"/>
        </w:rPr>
      </w:pPr>
      <w:r w:rsidRPr="001D71BB">
        <w:rPr>
          <w:lang w:eastAsia="ar-SA"/>
        </w:rPr>
        <w:t>Gyventojų mirtingumo mažinimas ir vidutinės gyvenimo trukmės ilginimas.</w:t>
      </w:r>
    </w:p>
    <w:p w:rsidR="00995BE0" w:rsidRPr="001D71BB" w:rsidRDefault="00995BE0" w:rsidP="00A3155B">
      <w:pPr>
        <w:numPr>
          <w:ilvl w:val="0"/>
          <w:numId w:val="7"/>
        </w:numPr>
        <w:spacing w:line="360" w:lineRule="auto"/>
        <w:jc w:val="both"/>
        <w:rPr>
          <w:lang w:eastAsia="ar-SA"/>
        </w:rPr>
      </w:pPr>
      <w:r w:rsidRPr="001D71BB">
        <w:rPr>
          <w:lang w:eastAsia="ar-SA"/>
        </w:rPr>
        <w:t>Sveikatos santykių teisumas.</w:t>
      </w:r>
    </w:p>
    <w:p w:rsidR="00995BE0" w:rsidRPr="001D71BB" w:rsidRDefault="00995BE0" w:rsidP="00A3155B">
      <w:pPr>
        <w:numPr>
          <w:ilvl w:val="0"/>
          <w:numId w:val="7"/>
        </w:numPr>
        <w:spacing w:line="360" w:lineRule="auto"/>
        <w:jc w:val="both"/>
        <w:rPr>
          <w:lang w:eastAsia="ar-SA"/>
        </w:rPr>
      </w:pPr>
      <w:r w:rsidRPr="001D71BB">
        <w:rPr>
          <w:lang w:eastAsia="ar-SA"/>
        </w:rPr>
        <w:t xml:space="preserve">Gyvenimo kokybės pagerinimas.  </w:t>
      </w:r>
    </w:p>
    <w:p w:rsidR="00995BE0" w:rsidRPr="001D71BB" w:rsidRDefault="00995BE0" w:rsidP="006314B7">
      <w:pPr>
        <w:spacing w:line="360" w:lineRule="auto"/>
        <w:ind w:firstLine="600"/>
        <w:jc w:val="both"/>
      </w:pPr>
      <w:r w:rsidRPr="001D71BB">
        <w:rPr>
          <w:noProof/>
        </w:rPr>
        <w:t xml:space="preserve">Svarbus žingsnis įgyvendinant Nacionalinės sveikatos koncepcijos, </w:t>
      </w:r>
      <w:r>
        <w:rPr>
          <w:noProof/>
        </w:rPr>
        <w:t>S</w:t>
      </w:r>
      <w:r w:rsidRPr="001D71BB">
        <w:rPr>
          <w:noProof/>
        </w:rPr>
        <w:t xml:space="preserve">veikatos sistemos įstatymo bei Sveikatos programos nuostatas, buvo Nacionalinės sveikatos tarybos (NST) įsteigimas (1998 m.) bei padėjusios funkcionuoti bendruomenių sveikatos tarybos. 2001 m. liepos 27 d. priimta </w:t>
      </w:r>
      <w:r w:rsidRPr="001B61E6">
        <w:rPr>
          <w:noProof/>
        </w:rPr>
        <w:t>Lietuvos Nacionalinės visuomenės sveikatos priežiūros strategija</w:t>
      </w:r>
      <w:r w:rsidRPr="001D71BB">
        <w:rPr>
          <w:noProof/>
        </w:rPr>
        <w:t xml:space="preserve"> (</w:t>
      </w:r>
      <w:r w:rsidRPr="001D71BB">
        <w:rPr>
          <w:lang w:eastAsia="ar-SA"/>
        </w:rPr>
        <w:t>Gustainienė, 2003</w:t>
      </w:r>
      <w:r w:rsidRPr="001D71BB">
        <w:rPr>
          <w:noProof/>
        </w:rPr>
        <w:t xml:space="preserve">). Pastaroji 2006 m. koreguota, apibrėžtas laikotarpis – 2006-2013 metai, bei patvirtintas 2006-2008 m. strategijos įgyvendinimo priemonių planas. </w:t>
      </w:r>
      <w:r w:rsidRPr="001D71BB">
        <w:t>Strategijos tikslas – pagerinti Lietuvos gyventojų gyvenimo kokybę, ilginti gyvenimo trukmę – mažinti sergamumą, mirtingumą ir neįgalumą, ypač daug dėmesio skirti dažniausioms mirties priežastims: nelaimingiems atsitikimams ir traumoms, širdies bei kraujagyslių ligoms, onkologiniams susirgimams, psichikos sveikatos sutrikimams.</w:t>
      </w:r>
    </w:p>
    <w:p w:rsidR="00995BE0" w:rsidRPr="001D71BB" w:rsidRDefault="00995BE0" w:rsidP="00A3155B">
      <w:pPr>
        <w:spacing w:line="360" w:lineRule="auto"/>
        <w:ind w:firstLine="567"/>
        <w:jc w:val="both"/>
        <w:rPr>
          <w:noProof/>
        </w:rPr>
      </w:pPr>
      <w:r w:rsidRPr="001D71BB">
        <w:rPr>
          <w:noProof/>
        </w:rPr>
        <w:t>Lietuvos nacionalinės sveikatos koncepcija, numatanti sveikatos politikos pagrindus, sveikatos ir jos apsaugos valstybinį reguliavimą, sveikatos sistemos valdymo pagrindus, sveikatos apsaugos ekonomikos pagrindus, laikytina strateginiu dokumentu, pagrindžiančiu tolesnę sveikatos sistemos teisėkūrą (Jankauskienė ir kt., 2007).</w:t>
      </w:r>
    </w:p>
    <w:p w:rsidR="00995BE0" w:rsidRPr="001D71BB" w:rsidRDefault="00995BE0" w:rsidP="00A3155B">
      <w:pPr>
        <w:pStyle w:val="bodytext0"/>
        <w:spacing w:before="0" w:beforeAutospacing="0" w:after="0" w:afterAutospacing="0" w:line="360" w:lineRule="auto"/>
        <w:ind w:firstLine="567"/>
        <w:jc w:val="both"/>
        <w:rPr>
          <w:rFonts w:ascii="Tahoma" w:hAnsi="Tahoma" w:cs="Tahoma"/>
        </w:rPr>
      </w:pPr>
      <w:r w:rsidRPr="001D71BB">
        <w:t xml:space="preserve">Kitos aktualios </w:t>
      </w:r>
      <w:r w:rsidRPr="00E46981">
        <w:rPr>
          <w:spacing w:val="2"/>
        </w:rPr>
        <w:t>VS</w:t>
      </w:r>
      <w:r w:rsidRPr="001D71BB">
        <w:t xml:space="preserve"> programos</w:t>
      </w:r>
      <w:r w:rsidRPr="001D71BB">
        <w:rPr>
          <w:b/>
        </w:rPr>
        <w:t xml:space="preserve"> </w:t>
      </w:r>
      <w:r w:rsidRPr="001D71BB">
        <w:t>yra 2006 m. priimta</w:t>
      </w:r>
      <w:r w:rsidRPr="001D71BB">
        <w:rPr>
          <w:b/>
        </w:rPr>
        <w:t xml:space="preserve"> </w:t>
      </w:r>
      <w:r w:rsidRPr="0077780C">
        <w:t>alkoholio, tabako ir kitų psichiką veikiančių medžiagų vartojimo prevencijos programa.</w:t>
      </w:r>
      <w:r w:rsidRPr="001D71BB">
        <w:rPr>
          <w:b/>
        </w:rPr>
        <w:t xml:space="preserve"> </w:t>
      </w:r>
      <w:r w:rsidRPr="001D71BB">
        <w:t>Jos</w:t>
      </w:r>
      <w:r w:rsidRPr="001D71BB">
        <w:rPr>
          <w:b/>
        </w:rPr>
        <w:t xml:space="preserve"> </w:t>
      </w:r>
      <w:r w:rsidRPr="001D71BB">
        <w:t>paskirtis – užtikrinti bendrosios (pirminės) prevencinės veiklos veiksmingumą. Programa grindžiama bendradarbiavimu tarp mokyklos, šeimos ir įvairių specialistų, o vykdoma remiantis pagrindiniais bendrosios (pirminės) prevencijos principais.</w:t>
      </w:r>
    </w:p>
    <w:p w:rsidR="00995BE0" w:rsidRPr="001D71BB" w:rsidRDefault="00995BE0" w:rsidP="00A3155B">
      <w:pPr>
        <w:pStyle w:val="bodytext0"/>
        <w:spacing w:before="0" w:beforeAutospacing="0" w:after="0" w:afterAutospacing="0" w:line="360" w:lineRule="auto"/>
        <w:ind w:firstLine="567"/>
        <w:jc w:val="both"/>
        <w:rPr>
          <w:rFonts w:ascii="Tahoma" w:hAnsi="Tahoma" w:cs="Tahoma"/>
        </w:rPr>
      </w:pPr>
      <w:r w:rsidRPr="001D71BB">
        <w:lastRenderedPageBreak/>
        <w:t>Programos turinys, atsižvelgiant į ugdymo patirties ypatumus ir atitinkamos prevencinės veiklos poreikį, pritaikytas kiekvienam amžiaus tarpsniui ir apima ikimokyklinį, priešmokyklinį, pradinį, pagrindinį ir vidurinį ugdymą.</w:t>
      </w:r>
    </w:p>
    <w:p w:rsidR="00995BE0" w:rsidRPr="001D71BB" w:rsidRDefault="00995BE0" w:rsidP="00A3155B">
      <w:pPr>
        <w:pStyle w:val="pavadinimas1"/>
        <w:spacing w:before="0" w:beforeAutospacing="0" w:after="0" w:afterAutospacing="0" w:line="360" w:lineRule="auto"/>
        <w:ind w:firstLine="567"/>
        <w:jc w:val="both"/>
      </w:pPr>
      <w:r w:rsidRPr="001D71BB">
        <w:t>Programa skiriama kenksmingų ir psichiką veikiančių medžiagų – buitinių cheminių medžiagų, vaistų, alkoholio, tabako, narkotikų ir kitų psichiką veikiančių medžiagų – vartojimo bendrajai (pirminei) prevencijai vykdyti.</w:t>
      </w:r>
    </w:p>
    <w:p w:rsidR="00995BE0" w:rsidRPr="001D71BB" w:rsidRDefault="00995BE0" w:rsidP="00A3155B">
      <w:pPr>
        <w:spacing w:line="360" w:lineRule="auto"/>
        <w:ind w:firstLine="540"/>
        <w:jc w:val="both"/>
        <w:rPr>
          <w:i/>
        </w:rPr>
      </w:pPr>
      <w:r w:rsidRPr="0077780C">
        <w:t>Valstybės tabako kontrolės programos</w:t>
      </w:r>
      <w:r>
        <w:t xml:space="preserve"> </w:t>
      </w:r>
      <w:r w:rsidRPr="0077780C">
        <w:t>svarbiausias tikslas – mažinti rūkymo plitimą, jo socialinę ir ekonominę žalą sveikatai. Programos prioritetas – vaikai ir jaunimas. Vienas svarbiausių tikslų – riboti prieinamumą prie tabako gaminių. Šia programa siekiama įgyvendinti Valstybės tabako kontrolės politikos principus: ginti žmogaus teises į gyvenimą be rūkymo, ginti nerūkančiųjų teises į aplinką be tabako dūmų, mokesčiais mažinti rūkalų prieinamumą, drausti tabako gaminių reklamą, jų realizavimo ir vartojimo rėmimą, didinti visuomenės informuotumą apie rūkalų vartojimo daromą socialinę ir ekonominę žalą sveikatai, skatinti rūkančiuosius mesti rūkyti (Lietuvos Respublikos Tabako kontrolės įstatymo 3 straipsnis). Tuo pačiu principu parengta Valstybės alkoholio kontrolės programa</w:t>
      </w:r>
      <w:r w:rsidRPr="001D71BB">
        <w:rPr>
          <w:i/>
        </w:rPr>
        <w:t>.</w:t>
      </w:r>
    </w:p>
    <w:p w:rsidR="00995BE0" w:rsidRPr="0077780C" w:rsidRDefault="00995BE0" w:rsidP="00A3155B">
      <w:pPr>
        <w:spacing w:line="360" w:lineRule="auto"/>
        <w:ind w:firstLine="540"/>
        <w:jc w:val="both"/>
      </w:pPr>
      <w:r w:rsidRPr="001D71BB">
        <w:t xml:space="preserve">Siekiant gerinti sveikatos priežiūros paslaugų kokybę ir prieinamumą, investuojant į sveikatos priežiūros įstaigų infrastruktūros modernizavimą ir šiuolaikinių technologijų diegimą, bei siekiant sumažinti sergamumą pagrindinėmis neinfekcinėmis ligomis, mirtingumą nuo jų tuo pačiu ir nuo išorinių mirties priežasčių, 2007 m. patvirtinta </w:t>
      </w:r>
      <w:r w:rsidRPr="0077780C">
        <w:t>sergamumo ir mirtingumo nuo pagrindinių neinfekcinių ligų mažinimo 2007-2013 m. programa.</w:t>
      </w:r>
    </w:p>
    <w:p w:rsidR="00995BE0" w:rsidRPr="0077780C" w:rsidRDefault="00995BE0" w:rsidP="00A3155B">
      <w:pPr>
        <w:spacing w:line="360" w:lineRule="auto"/>
        <w:ind w:firstLine="709"/>
        <w:jc w:val="both"/>
        <w:rPr>
          <w:lang w:eastAsia="ru-RU"/>
        </w:rPr>
      </w:pPr>
      <w:r w:rsidRPr="0077780C">
        <w:t>Būtina paminėti Lietuvoje parengtą ir patvirtintą Lietuvos psichikos sveikatos strategiją (</w:t>
      </w:r>
      <w:r w:rsidRPr="009D2E41">
        <w:rPr>
          <w:rStyle w:val="Emfaz"/>
          <w:b w:val="0"/>
        </w:rPr>
        <w:t>Žin</w:t>
      </w:r>
      <w:r w:rsidRPr="009D2E41">
        <w:rPr>
          <w:b/>
        </w:rPr>
        <w:t xml:space="preserve">., </w:t>
      </w:r>
      <w:r w:rsidRPr="009D2E41">
        <w:rPr>
          <w:rStyle w:val="Emfaz"/>
          <w:b w:val="0"/>
        </w:rPr>
        <w:t>2007</w:t>
      </w:r>
      <w:r w:rsidRPr="0077780C">
        <w:t>, Nr. 42-</w:t>
      </w:r>
      <w:r w:rsidRPr="00910D35">
        <w:t>1572)</w:t>
      </w:r>
      <w:r w:rsidRPr="0077780C">
        <w:t xml:space="preserve">. Tai </w:t>
      </w:r>
      <w:r w:rsidRPr="0077780C">
        <w:rPr>
          <w:spacing w:val="-2"/>
        </w:rPr>
        <w:t xml:space="preserve">ganėtinai ambicingas dokumentas, keliantis rimtus uždavinius ir tikslus, numatantis svarbiausias veiklos kryptis. Jame daug dėmesio skiriama ne tik psichikos </w:t>
      </w:r>
      <w:r w:rsidRPr="0077780C">
        <w:rPr>
          <w:spacing w:val="-3"/>
        </w:rPr>
        <w:t xml:space="preserve">sutrikimų turinčių pacientų bei jų šeimos narių pagalbai, bet ir kol kas mūsų šalyje dar naujam dalykui – psichikos sutrikimų </w:t>
      </w:r>
      <w:r w:rsidRPr="0077780C">
        <w:rPr>
          <w:spacing w:val="-2"/>
        </w:rPr>
        <w:t>prevencijai ir visuomenės psichikos sveikatos problemoms (</w:t>
      </w:r>
      <w:r>
        <w:rPr>
          <w:bCs/>
          <w:spacing w:val="-3"/>
        </w:rPr>
        <w:t xml:space="preserve">Davidonienė, </w:t>
      </w:r>
      <w:r w:rsidRPr="0077780C">
        <w:rPr>
          <w:lang w:eastAsia="ru-RU"/>
        </w:rPr>
        <w:t>2007).</w:t>
      </w:r>
    </w:p>
    <w:p w:rsidR="00995BE0" w:rsidRPr="001D71BB" w:rsidRDefault="00995BE0" w:rsidP="00A3155B">
      <w:pPr>
        <w:spacing w:line="360" w:lineRule="auto"/>
        <w:ind w:firstLine="600"/>
        <w:jc w:val="both"/>
      </w:pPr>
      <w:r w:rsidRPr="0077780C">
        <w:t xml:space="preserve">2000 m. Lietuvoje buvo parengta Skurdo mažinimo strategija, </w:t>
      </w:r>
      <w:r w:rsidRPr="001D71BB">
        <w:t>o 2002 m. lapkritį Lietuvos Respublikos Vyriausybė patvirtino šios strategijos įgyvendinimo 2002-2004 metams programą. Programoje nustatyti prioritetiniai tikslai ir priemonės skurdo mažinimui, kurių imasi Vyriausybė ir kitos valstybinės institucijos. Tai labai svarbūs dokumentai, padedantys visuomenei geriau įsigilinti ir suvokti šiuos klausimus, sustiprinti institucinę veiklą skurdo mažinimo srityje (</w:t>
      </w:r>
      <w:r w:rsidRPr="001D71BB">
        <w:rPr>
          <w:iCs/>
        </w:rPr>
        <w:t xml:space="preserve">Binkauskienė, Misiūnas, </w:t>
      </w:r>
      <w:r w:rsidRPr="001D71BB">
        <w:t>2004).</w:t>
      </w:r>
    </w:p>
    <w:p w:rsidR="00995BE0" w:rsidRPr="001D71BB" w:rsidRDefault="00995BE0" w:rsidP="00CE64F5">
      <w:pPr>
        <w:spacing w:line="360" w:lineRule="auto"/>
        <w:ind w:firstLine="600"/>
        <w:rPr>
          <w:b/>
        </w:rPr>
      </w:pPr>
      <w:r w:rsidRPr="001D71BB">
        <w:rPr>
          <w:b/>
        </w:rPr>
        <w:t>1.2 Ekonominiai veiksniai.</w:t>
      </w:r>
    </w:p>
    <w:p w:rsidR="00995BE0" w:rsidRPr="001D71BB" w:rsidRDefault="00995BE0" w:rsidP="00CE64F5">
      <w:pPr>
        <w:spacing w:line="360" w:lineRule="auto"/>
        <w:ind w:firstLine="600"/>
        <w:jc w:val="both"/>
      </w:pPr>
      <w:r w:rsidRPr="001D71BB">
        <w:t xml:space="preserve">Gyventojų sveikatos būklę lemia tai, koks yra šalies ekonominio išsivystymo lygis, kultūros ypatumai bei politinis įsipareigojimas rūpintis savo gyventojų sveikata. Ekonominiai veiksniai </w:t>
      </w:r>
      <w:r w:rsidRPr="001D71BB">
        <w:lastRenderedPageBreak/>
        <w:t>(dirbančiųjų asmenų skaičius, gyventojų pajamos, atskaitomi fizinių pajamų ir socialinio draudimo mokesčiai, mokesčių tarifai ir kt.) turi įtakos valstybės biudžeto pajamoms, iš kurių yra finansuojamas visuomenės sveikatos sektorius. Šalyje nuolat didėja nedarbo lygis, mažėja vidutinio darbo užmokestis. Skirtumai tarp Lietuvos ir kitų Europos Sąjungos šalių, ekonomikos išsivystymo lygio atžvilgiu, vis dar nemaži: šalies ekonomika nesudaro pakankamų socialinės plėtros ir užimtumo sąlygų, šalyje padidėjusi socialinė regioninė diferenciacija, egzistuoja sveikatos ir sveikatos priežiūros skirtumai tarp atskirų socialinių ir ekonominių gyventojų grupių, atotrūkis tarp kaimo ir miesto gyventojų pajamų. Ekonominiai skirtumai taip pat lemia įvairias socialines problemas: priklausomybę nuo alkoholio, tabako, narkotikų, žemą gimstamumo lygį, didelį savižudybių skaičių ir kt.</w:t>
      </w:r>
    </w:p>
    <w:p w:rsidR="00995BE0" w:rsidRPr="001D71BB" w:rsidRDefault="00995BE0" w:rsidP="00CE64F5">
      <w:pPr>
        <w:spacing w:line="360" w:lineRule="auto"/>
        <w:ind w:right="-108" w:firstLine="720"/>
        <w:jc w:val="both"/>
        <w:rPr>
          <w:b/>
        </w:rPr>
      </w:pPr>
      <w:r w:rsidRPr="001D71BB">
        <w:rPr>
          <w:b/>
        </w:rPr>
        <w:t>1.3. Socialiniai veiksniai.</w:t>
      </w:r>
    </w:p>
    <w:p w:rsidR="00995BE0" w:rsidRPr="001D71BB" w:rsidRDefault="00995BE0" w:rsidP="00714C17">
      <w:pPr>
        <w:spacing w:line="360" w:lineRule="auto"/>
        <w:ind w:firstLine="720"/>
        <w:jc w:val="both"/>
      </w:pPr>
      <w:r w:rsidRPr="001D71BB">
        <w:t>Šalies socialiniai veiksniai turi didelės įtakos visuomenės sveikatos priežiūrai. Lietuvoje gyventojų skaičius jau daugelį metų mažėja. Tokia pati situacija stebima ir Šiauliuose. Gyventojų skaičius mažėja dėl neigiamo migracijos saldo ir labai mažo natūralaus gyventojų prieaugio. Natūralus gyventojų prieaugis 2008 metais Šiaulių mieste sudarė -0,5 (2007 m.  -2,1), šalyje – -2,6 (2007 m. – -3,9) 1 000 gyv. (</w:t>
      </w:r>
      <w:r>
        <w:t xml:space="preserve">Lietuvos </w:t>
      </w:r>
      <w:r w:rsidRPr="001D71BB">
        <w:t xml:space="preserve">Statistikos departamento duomenys). Pagal tarptautiniu mastu priimtais vertinimais, Lietuva priskiriama prie demografiškai senėjančių šalių grupės, tai yra didėja senyvo amžiaus (60 metų ir vyresnių) žmonių skaičius bendrame gyventojų skaičiuje. 2009 metų pradžioje Šiaulių miesto savivaldybėje pagyvenusių žmonių buvo – 18,8 proc., o apskrityje 20,7 proc. Vaikai (0 -14 metų amžiaus) </w:t>
      </w:r>
      <w:r>
        <w:t xml:space="preserve">sudarė </w:t>
      </w:r>
      <w:r w:rsidRPr="001D71BB">
        <w:t xml:space="preserve">13,7 proc., o  apskrityje – 15,3 proc. gyventojų senėjimą lemia du veiksniai – gimstamumo mažėjimas ir vidutinės gyvenimo trukmės ilgėjimas. Senstant populiacijai didėja visuomenės ir asmens sveikatos priežiūros bei socialinių paslaugų poreikis. Lemiamą įtaką populiacijos senėjimui turi žemas gimstamumas. </w:t>
      </w:r>
    </w:p>
    <w:p w:rsidR="00995BE0" w:rsidRPr="001D71BB" w:rsidRDefault="00995BE0" w:rsidP="00714C17">
      <w:pPr>
        <w:spacing w:line="360" w:lineRule="auto"/>
        <w:ind w:firstLine="720"/>
        <w:jc w:val="both"/>
      </w:pPr>
      <w:r w:rsidRPr="001D71BB">
        <w:t>Technologijų pažanga, neracionali mityba, stresas darbe, greitėjantis gyvenimo tempas  sąlygoja žmonių gyvenimo būdo pasikeitimą, sergamumo ir mirtingumo nuo lėtinių neinfekcinių ligų didėjimą. 2008 m. Lietuvoje daugiau kaip pusė (53,9 proc.) visų mirusių asmenų mirė nuo kraujotakos sistemos ligų (</w:t>
      </w:r>
      <w:r>
        <w:t xml:space="preserve">Lietuvos </w:t>
      </w:r>
      <w:r w:rsidRPr="001D71BB">
        <w:t>Statistikos departamentas). Mirtys dėl piktybinių auglių ir toliau išlieka svarbia sveikatos problema. Piktybiniams augliams tenka antroji vieta tarp mirties priežasčių.</w:t>
      </w:r>
    </w:p>
    <w:p w:rsidR="00995BE0" w:rsidRPr="001D71BB" w:rsidRDefault="00995BE0" w:rsidP="00714C17">
      <w:pPr>
        <w:spacing w:line="360" w:lineRule="auto"/>
        <w:ind w:firstLine="720"/>
        <w:jc w:val="both"/>
      </w:pPr>
      <w:r w:rsidRPr="001D71BB">
        <w:t>Nepaisant modernių gydymo ir efektyvių profilaktikos priemonių, infekcinės ligos išlieka epidemiologiškai svarbi visuomenės sveikatos priežiūros sritis. Viena iš grėsmingų užkrečiamų ligų yra tuberkuliozė. Šiaulių apskrityje 2008 metais, lyginant su 2007 metais sergamumas tuberkulioze pakilo nuo 50,6 atvejo iki 52 atvejo 100 000 gyv.</w:t>
      </w:r>
    </w:p>
    <w:p w:rsidR="00995BE0" w:rsidRPr="001D71BB" w:rsidRDefault="00995BE0" w:rsidP="00714C17">
      <w:pPr>
        <w:spacing w:line="360" w:lineRule="auto"/>
        <w:ind w:firstLine="480"/>
        <w:jc w:val="both"/>
      </w:pPr>
      <w:r w:rsidRPr="001D71BB">
        <w:lastRenderedPageBreak/>
        <w:t>Kadangi Šiauliuose yra spręstinų socialinių problemų, labai svarbu gerinti visuomenės sveikatos priežiūrą Šiaulių apskrityje bei mieste, didinti visuomenės informuotumą, didesnį dėmesį skirti vaikų sveikos gyvensenos ugdymui, bendruomenės švietimui.</w:t>
      </w:r>
    </w:p>
    <w:p w:rsidR="00995BE0" w:rsidRDefault="00995BE0" w:rsidP="00CE64F5">
      <w:pPr>
        <w:spacing w:line="360" w:lineRule="auto"/>
        <w:ind w:firstLine="600"/>
        <w:jc w:val="both"/>
        <w:rPr>
          <w:b/>
        </w:rPr>
      </w:pPr>
    </w:p>
    <w:p w:rsidR="00995BE0" w:rsidRDefault="00995BE0" w:rsidP="00CE64F5">
      <w:pPr>
        <w:spacing w:line="360" w:lineRule="auto"/>
        <w:ind w:firstLine="600"/>
        <w:jc w:val="both"/>
        <w:rPr>
          <w:b/>
        </w:rPr>
      </w:pPr>
    </w:p>
    <w:p w:rsidR="00995BE0" w:rsidRPr="001D71BB" w:rsidRDefault="00995BE0" w:rsidP="00CE64F5">
      <w:pPr>
        <w:spacing w:line="360" w:lineRule="auto"/>
        <w:ind w:firstLine="600"/>
        <w:jc w:val="both"/>
        <w:rPr>
          <w:b/>
        </w:rPr>
      </w:pPr>
      <w:r w:rsidRPr="001D71BB">
        <w:rPr>
          <w:b/>
        </w:rPr>
        <w:t>1.4 Technologiniai veiksniai</w:t>
      </w:r>
    </w:p>
    <w:p w:rsidR="00995BE0" w:rsidRPr="001D71BB" w:rsidRDefault="00995BE0" w:rsidP="00714C17">
      <w:pPr>
        <w:spacing w:line="360" w:lineRule="auto"/>
        <w:ind w:firstLine="600"/>
        <w:jc w:val="both"/>
      </w:pPr>
      <w:r w:rsidRPr="001D71BB">
        <w:t xml:space="preserve">Šiuolaikinės technologijos suteikia galimybę gauti naujausią informaciją, efektyviai bendradarbiauti ir operatyviai informuoti reikiamas institucijas ir visuomenę aktualiais visuomenės sveikatos klausimais. Tačiau šiuo metu Biuras nėra pakankamai aprūpintas reikalinga technika ir informacinėmis technologijomis. </w:t>
      </w:r>
    </w:p>
    <w:p w:rsidR="00995BE0" w:rsidRPr="001D71BB" w:rsidRDefault="00995BE0" w:rsidP="00714C17">
      <w:pPr>
        <w:spacing w:line="360" w:lineRule="auto"/>
        <w:ind w:firstLine="720"/>
        <w:jc w:val="both"/>
      </w:pPr>
      <w:r w:rsidRPr="001D71BB">
        <w:t>Nuo 2008 m. pradėta naudotis Biuro internetine svetaine, kuri užtikrina spartesnį informacijos perdavimą ir efektyvesnį bendradarbiavimą.</w:t>
      </w:r>
    </w:p>
    <w:p w:rsidR="00995BE0" w:rsidRDefault="00995BE0" w:rsidP="00A3155B">
      <w:pPr>
        <w:spacing w:line="360" w:lineRule="auto"/>
        <w:jc w:val="both"/>
        <w:rPr>
          <w:b/>
        </w:rPr>
      </w:pPr>
    </w:p>
    <w:p w:rsidR="00995BE0" w:rsidRPr="001D71BB" w:rsidRDefault="00995BE0" w:rsidP="00CE64F5">
      <w:pPr>
        <w:spacing w:line="360" w:lineRule="auto"/>
        <w:ind w:firstLine="600"/>
        <w:jc w:val="both"/>
        <w:rPr>
          <w:b/>
        </w:rPr>
      </w:pPr>
      <w:r w:rsidRPr="001D71BB">
        <w:rPr>
          <w:b/>
        </w:rPr>
        <w:t>2. Vidaus veiksniai</w:t>
      </w:r>
    </w:p>
    <w:p w:rsidR="00995BE0" w:rsidRPr="001D71BB" w:rsidRDefault="00995BE0" w:rsidP="00CE64F5">
      <w:pPr>
        <w:spacing w:line="360" w:lineRule="auto"/>
        <w:ind w:firstLine="600"/>
        <w:jc w:val="both"/>
        <w:rPr>
          <w:b/>
        </w:rPr>
      </w:pPr>
      <w:r w:rsidRPr="001D71BB">
        <w:rPr>
          <w:b/>
        </w:rPr>
        <w:t>2.1 Teisinė bazė</w:t>
      </w:r>
    </w:p>
    <w:p w:rsidR="00995BE0" w:rsidRPr="001D71BB" w:rsidRDefault="00995BE0" w:rsidP="00FC43FC">
      <w:pPr>
        <w:spacing w:line="360" w:lineRule="auto"/>
        <w:ind w:firstLine="540"/>
        <w:jc w:val="both"/>
      </w:pPr>
      <w:r>
        <w:t xml:space="preserve">Nustatydamas savo veiklos kryptis, Šiaulių VS biuras vadovaujasi ES </w:t>
      </w:r>
      <w:r w:rsidRPr="001D71BB">
        <w:t>2002 m.</w:t>
      </w:r>
      <w:r>
        <w:t xml:space="preserve"> patvirtinta</w:t>
      </w:r>
      <w:r w:rsidRPr="001D71BB">
        <w:t xml:space="preserve"> </w:t>
      </w:r>
      <w:r w:rsidRPr="0017050F">
        <w:t>2003-2008 m. visuomenės sveikatos programa</w:t>
      </w:r>
      <w:r>
        <w:t xml:space="preserve"> (1786/2002/EB), </w:t>
      </w:r>
      <w:r w:rsidRPr="001D71BB">
        <w:t xml:space="preserve">2007 m. priimta </w:t>
      </w:r>
      <w:r>
        <w:t>antrąja</w:t>
      </w:r>
      <w:r w:rsidRPr="0017050F">
        <w:t xml:space="preserve"> Bendrijos visuomenės sveikatos veiksmų programa</w:t>
      </w:r>
      <w:r w:rsidRPr="001D71BB">
        <w:t xml:space="preserve"> (1350/2007/EB), kuri remiasi ankstesnės programos rezultatais. ES kai kurios patvirtintos direktyvos </w:t>
      </w:r>
      <w:r>
        <w:t>-</w:t>
      </w:r>
      <w:r w:rsidRPr="0017050F">
        <w:t xml:space="preserve"> </w:t>
      </w:r>
      <w:r w:rsidRPr="001D71BB">
        <w:t>Europos Sąjungos direktyva</w:t>
      </w:r>
      <w:r>
        <w:t xml:space="preserve"> dėl tabako produktų reklamos priimta</w:t>
      </w:r>
      <w:r w:rsidRPr="001D71BB">
        <w:t xml:space="preserve"> 2003 m</w:t>
      </w:r>
      <w:r>
        <w:t>.</w:t>
      </w:r>
      <w:r w:rsidRPr="001D71BB">
        <w:t>, pagal kurią draudžiama tabako produktų reklama; šiuo metu ji apima reklamą už nacionalinės sienos ribų ir sporto finansavimą.</w:t>
      </w:r>
      <w:r>
        <w:t xml:space="preserve"> </w:t>
      </w:r>
      <w:r w:rsidRPr="001D71BB">
        <w:t>Tabako kontrolės pagrindų konvencija – 2004 m. ES Taryba patvirtino Pasaulio Sveikatos Organizacijos tabak</w:t>
      </w:r>
      <w:r>
        <w:t>o kontrolės pagrindų konvenciją.</w:t>
      </w:r>
    </w:p>
    <w:p w:rsidR="00995BE0" w:rsidRPr="001D71BB" w:rsidRDefault="00995BE0" w:rsidP="00A3155B">
      <w:pPr>
        <w:spacing w:line="360" w:lineRule="auto"/>
        <w:ind w:firstLine="567"/>
        <w:jc w:val="both"/>
        <w:rPr>
          <w:rFonts w:cs="Tahoma"/>
        </w:rPr>
      </w:pPr>
      <w:r w:rsidRPr="001D71BB">
        <w:rPr>
          <w:rFonts w:cs="Tahoma"/>
        </w:rPr>
        <w:t>Šiaulių miesto s</w:t>
      </w:r>
      <w:r w:rsidRPr="001D71BB">
        <w:rPr>
          <w:rFonts w:cs="Arial Unicode MS"/>
        </w:rPr>
        <w:t xml:space="preserve">avivaldybės taryba dar </w:t>
      </w:r>
      <w:r w:rsidRPr="001D71BB">
        <w:rPr>
          <w:rFonts w:cs="Tahoma"/>
        </w:rPr>
        <w:t>2005 m. rugsėjo 29 d. sprendimu Nr. T–307 pritarė Šiaulių miesto savivaldybės visuomenės sveikatos biuro steigimui, o 2006 m. rugpjūčio 23 d. sprendimu Nr. T</w:t>
      </w:r>
      <w:r w:rsidRPr="001D71BB">
        <w:rPr>
          <w:rFonts w:cs="Arial Unicode MS"/>
        </w:rPr>
        <w:t>-283 į</w:t>
      </w:r>
      <w:r w:rsidRPr="001D71BB">
        <w:rPr>
          <w:rFonts w:cs="Tahoma"/>
        </w:rPr>
        <w:t xml:space="preserve">steigė Šiaulių miesto savivaldybės </w:t>
      </w:r>
      <w:r w:rsidRPr="00E46981">
        <w:rPr>
          <w:spacing w:val="2"/>
        </w:rPr>
        <w:t>VS</w:t>
      </w:r>
      <w:r w:rsidRPr="001D71BB">
        <w:rPr>
          <w:rFonts w:cs="Tahoma"/>
        </w:rPr>
        <w:t xml:space="preserve"> biurą. Gavus tikslinę valstybės dotaciją, buvo parengti ir patvirtinti visuomenės sveikatos priežiūrai įgyvendinti savivaldybėje reikalingi dokumentai. Tai </w:t>
      </w:r>
      <w:r w:rsidRPr="001D71BB">
        <w:rPr>
          <w:rFonts w:cs="Arial Unicode MS"/>
        </w:rPr>
        <w:t xml:space="preserve">2007-2010 metų </w:t>
      </w:r>
      <w:r w:rsidRPr="0077780C">
        <w:rPr>
          <w:rFonts w:cs="Arial Unicode MS"/>
        </w:rPr>
        <w:t xml:space="preserve">Šiaulių miesto visuomenės sveikatos stebėsenos programa, patvirtinta Savivaldybės tarybos </w:t>
      </w:r>
      <w:r w:rsidRPr="0077780C">
        <w:t>2007 m. gegužės 24 d. sprendimu Nr. T–194. Šiuo sprendimu buvo patvirtinta ne tik stebėsenos programa, bet ir privalomi stebėti objektai, juos apibūdinantys duomenys ir rodikliai, duomenų šaltiniai, duomenų valdytojai, ir teikėjai, duomenų teikimo tvarka ir finansavimo šaltiniai, kasmetinės ataskaitos forma. Kitas svarbus dokumentas – S</w:t>
      </w:r>
      <w:r w:rsidRPr="0077780C">
        <w:rPr>
          <w:rFonts w:cs="Arial Unicode MS"/>
        </w:rPr>
        <w:t>avivaldybės tarybos 2007 m. rugpjūčio 23 d. sprendimu Nr. T–295 patvirtinta 2007–2013 metų Šiaulių miesto visuomenės sveikatos priežiūros strategija,</w:t>
      </w:r>
      <w:r w:rsidRPr="001D71BB">
        <w:rPr>
          <w:rFonts w:cs="Arial Unicode MS"/>
        </w:rPr>
        <w:t xml:space="preserve"> kurios prioritetinės kryptys yra: </w:t>
      </w:r>
      <w:r w:rsidRPr="001D71BB">
        <w:rPr>
          <w:rFonts w:cs="Arial Unicode MS"/>
        </w:rPr>
        <w:lastRenderedPageBreak/>
        <w:t>v</w:t>
      </w:r>
      <w:r w:rsidRPr="001D71BB">
        <w:t>isuomenės sveikatos stebėsena, informavimas, sveikatos stiprinimas, sistemos veiksmingumo užtikrinimas.</w:t>
      </w:r>
    </w:p>
    <w:p w:rsidR="00995BE0" w:rsidRPr="001D71BB" w:rsidRDefault="00995BE0" w:rsidP="00A3155B">
      <w:pPr>
        <w:tabs>
          <w:tab w:val="left" w:pos="540"/>
        </w:tabs>
        <w:spacing w:line="360" w:lineRule="auto"/>
        <w:ind w:firstLine="567"/>
        <w:jc w:val="both"/>
      </w:pPr>
      <w:r w:rsidRPr="001D71BB">
        <w:t xml:space="preserve">Siekiant Šiaulių miesto vizijos ,,Šiauliai – Saulės miestas: atviras, veržlus saugus“, Savivaldybės taryba 2006 m. rugsėjo 28 d. sprendimu Nr. T-313 patvirtino 2007-2016 metų </w:t>
      </w:r>
      <w:r w:rsidRPr="0077780C">
        <w:t>Šiaulių miesto strateginį plėtros planą, ir strateginio veiklos plano 12 programų, tarp jų ir Bendruomenės sveikatinimo programą. Bendruomenės sveikatinimo programos ilgalaikis prioritetas –</w:t>
      </w:r>
      <w:r w:rsidRPr="001D71BB">
        <w:t xml:space="preserve"> atvira, kūrybinga ir atsakinga bendruomenė. Tikslai: pagerinti gyventojų sveikatos rodiklius: sumažinti sergamumą, ligotumą, invalidumą; sudaryti prielaidas ilgesniam ir sveikesniam gyvenimui; įtraukti bendruomenę į sveikatinimo veiklą; mažinti socialinius sveikatos netolygumus.</w:t>
      </w:r>
    </w:p>
    <w:p w:rsidR="00995BE0" w:rsidRPr="001D71BB" w:rsidRDefault="00995BE0" w:rsidP="00A3155B">
      <w:pPr>
        <w:spacing w:line="360" w:lineRule="auto"/>
        <w:ind w:firstLine="567"/>
        <w:jc w:val="both"/>
      </w:pPr>
      <w:r w:rsidRPr="001D71BB">
        <w:t>Biuras savo veikloje vadovaujasi Lietuvos Respublikos Kon</w:t>
      </w:r>
      <w:r>
        <w:t>stitucija, Biudžetinių įstaigų</w:t>
      </w:r>
      <w:r w:rsidRPr="001D71BB">
        <w:t xml:space="preserve"> ir kitais Lietuvos Respublikos įstatymai, teisės aktais, Lietuvos Respublikos tarptautinėmis sutartimis, Respublikos Prezidento dekretais, steigėjo nurodymais, Biuro direktoriaus įsakymais, potvarkiais ir Biuro nuostatais bei taisyklėmis.</w:t>
      </w:r>
    </w:p>
    <w:p w:rsidR="00995BE0" w:rsidRPr="0077780C" w:rsidRDefault="00995BE0" w:rsidP="00CE64F5">
      <w:pPr>
        <w:spacing w:line="360" w:lineRule="auto"/>
        <w:ind w:firstLine="567"/>
        <w:jc w:val="both"/>
      </w:pPr>
      <w:r w:rsidRPr="001D71BB">
        <w:t xml:space="preserve">Visuomenės sveikatos priežiūros specialybių ir subspecialybių sąrašas išdėstytas 2001 m. balandžio 2 d. LR sveikatos apsaugos ministro įsakyme </w:t>
      </w:r>
      <w:r w:rsidRPr="0077780C">
        <w:t xml:space="preserve">„Dėl visuomenės sveikatos priežiūros specialybių, subspecialybių sąrašo patvirtinimo“ (Žin., 2001, Nr. 31-1043). </w:t>
      </w:r>
    </w:p>
    <w:p w:rsidR="00995BE0" w:rsidRPr="0077780C" w:rsidRDefault="00995BE0" w:rsidP="00CE64F5">
      <w:pPr>
        <w:spacing w:line="360" w:lineRule="auto"/>
        <w:ind w:firstLine="567"/>
        <w:jc w:val="both"/>
      </w:pPr>
      <w:r w:rsidRPr="0077780C">
        <w:t xml:space="preserve">Savivaldybės vykdomos visuomenės sveikatos funkcijos įgyvendinimas registruojamas ataskaitoje, kuri buvo patvirtinta </w:t>
      </w:r>
      <w:r>
        <w:t xml:space="preserve">LR Vyriausybės </w:t>
      </w:r>
      <w:r w:rsidRPr="0077780C">
        <w:t>2008 m. birželio 18 d. Nr. 606 nutarimu „Dėl savivaldybės vykdomų visuomenės sveikatos priežiūros funkcijų įgyvendinimo ataskaitos teikimo tvarkos ir ataskaitos formos patvirtinimo“.</w:t>
      </w:r>
    </w:p>
    <w:p w:rsidR="00995BE0" w:rsidRPr="0077780C" w:rsidRDefault="00995BE0" w:rsidP="00CE64F5">
      <w:pPr>
        <w:spacing w:line="360" w:lineRule="auto"/>
        <w:ind w:firstLine="567"/>
        <w:jc w:val="both"/>
      </w:pPr>
      <w:r w:rsidRPr="0077780C">
        <w:t xml:space="preserve">Visuomenės sveikatos priežiūros įstaigų vadovams kvalifikacijai tobulinti priimtas įsakymas  </w:t>
      </w:r>
      <w:r w:rsidRPr="00B77FAB">
        <w:t>„Dėl visuomenės sveikatos priežiūros įstaigų vadovų, jų pavaduotojų ir skyrių vedėjų kvalifikacijos tobulinimo visuomenės sveikatos vadybos klausimais programos tvirtinimo“. Siekiant pagerinti visuomenės sveikatos priežiūros specialistų profesinio tobulinimo kokybę, 2009 m. gruodžio 14 d. patvirtintas įsakymas Dėl Lietuvos Respublikos sveikatos apsaugos ministro 2009 m. vasario 9 d. įsakymo Nr. V-97 „Dėl visuomenės sveikatos priežiūros specialistų profesinio tobulinimo kursų programų tvirtinimo“ pakeitimo. Pastaruoju pakeistu įsakymu įtraukta daugiau profesijų.</w:t>
      </w:r>
    </w:p>
    <w:p w:rsidR="00995BE0" w:rsidRPr="0077780C" w:rsidRDefault="00995BE0" w:rsidP="00CE64F5">
      <w:pPr>
        <w:spacing w:line="360" w:lineRule="auto"/>
        <w:ind w:firstLine="567"/>
        <w:jc w:val="both"/>
      </w:pPr>
      <w:r w:rsidRPr="00B77FAB">
        <w:t>2008 m. kovo 15 d. Lietuvos Respublikos sveikatos apsaugos ministro įsakymu patvirtinti savivaldybės visuomenės sveikatos biuro pavyzdiniai nuostatai (Žin., 2008, Nr. 35-1253).</w:t>
      </w:r>
    </w:p>
    <w:p w:rsidR="00995BE0" w:rsidRPr="0077780C" w:rsidRDefault="00995BE0" w:rsidP="00CE64F5">
      <w:pPr>
        <w:pStyle w:val="centrboldm"/>
        <w:spacing w:before="0" w:beforeAutospacing="0" w:after="0" w:afterAutospacing="0" w:line="360" w:lineRule="auto"/>
        <w:ind w:firstLine="567"/>
        <w:jc w:val="both"/>
        <w:rPr>
          <w:rFonts w:ascii="Tahoma" w:hAnsi="Tahoma" w:cs="Tahoma"/>
        </w:rPr>
      </w:pPr>
      <w:r w:rsidRPr="0077780C">
        <w:rPr>
          <w:sz w:val="22"/>
          <w:szCs w:val="22"/>
        </w:rPr>
        <w:t> </w:t>
      </w:r>
      <w:r w:rsidRPr="0077780C">
        <w:t>Savivaldybės visuomenės sveikatos biur</w:t>
      </w:r>
      <w:r>
        <w:t xml:space="preserve">e privalomų pareigybių sąrašas </w:t>
      </w:r>
      <w:r w:rsidRPr="0077780C">
        <w:t>(Žin., 2007, Nr. 121-4983):</w:t>
      </w:r>
      <w:r>
        <w:t xml:space="preserve"> 1. Direktorius; </w:t>
      </w:r>
      <w:r w:rsidRPr="0077780C">
        <w:t>2. Visuomenės sv</w:t>
      </w:r>
      <w:r>
        <w:t xml:space="preserve">eikatos stebėsenos specialistas; </w:t>
      </w:r>
      <w:r w:rsidRPr="0077780C">
        <w:t>3. Visuomenės sv</w:t>
      </w:r>
      <w:r>
        <w:t xml:space="preserve">eikatos stiprinimo specialistas; </w:t>
      </w:r>
      <w:r w:rsidRPr="0077780C">
        <w:t>4. Vaikų ir jaunimo sveikatos priežiūros specialistas.</w:t>
      </w:r>
      <w:r>
        <w:t xml:space="preserve"> </w:t>
      </w:r>
      <w:r w:rsidRPr="0077780C">
        <w:t>Priimtame įsakyme taip pat išdėstyti visuomenės sveikatos stebėsenos ir stiprinimo skyriaus specialistų kvalifikaciniai reikalavimai.</w:t>
      </w:r>
      <w:r>
        <w:t xml:space="preserve"> Šiaulių miesto savivaldybės VS biuro etatinė struktūra pavaizduota 17 priede.</w:t>
      </w:r>
    </w:p>
    <w:p w:rsidR="00995BE0" w:rsidRDefault="00995BE0" w:rsidP="00CE64F5">
      <w:pPr>
        <w:spacing w:line="360" w:lineRule="auto"/>
        <w:ind w:firstLine="720"/>
        <w:jc w:val="both"/>
      </w:pPr>
      <w:r w:rsidRPr="0077780C">
        <w:lastRenderedPageBreak/>
        <w:t xml:space="preserve">Viena iš pagrindinių savivaldybių </w:t>
      </w:r>
      <w:r w:rsidRPr="00E46981">
        <w:rPr>
          <w:spacing w:val="2"/>
        </w:rPr>
        <w:t>VS</w:t>
      </w:r>
      <w:r w:rsidRPr="0077780C">
        <w:t xml:space="preserve"> priežiūros funkcijų, yra visuomenės sveikatos stebėsena. Visuomenės sveikatos stebėsenos (monitoringo) įstatyme, </w:t>
      </w:r>
      <w:r w:rsidRPr="001D71BB">
        <w:t xml:space="preserve">kuris patvirtintas 2002 m. liepos 3 d. nutarimu Nr. IX-1023, reguliuoja santykius, atsirandančius renkant, kaupiant, apdorojant, saugant, analizuojant ir pateikiant duomenis, susijusius su visuomenės sveikata ir ją veikiančiais sveikatos rizikos veiksniais. </w:t>
      </w:r>
      <w:r w:rsidRPr="0077780C">
        <w:t>Vykdydamos įstatymą savivaldybių institucijos turi organizuoti savivaldybių visuomenės sveikatos stebėseną Sveikatos apsaugos ministerija nustatyta tvarka ir atlikti įstatym</w:t>
      </w:r>
      <w:r>
        <w:t xml:space="preserve">e nustatytas funkcijas. </w:t>
      </w:r>
      <w:r w:rsidRPr="001B61E6">
        <w:t xml:space="preserve">Remiantis šio įstatymo 8 straipsnio, 2 dalimi </w:t>
      </w:r>
      <w:r w:rsidRPr="001B61E6">
        <w:rPr>
          <w:i/>
        </w:rPr>
        <w:t>Valstyb</w:t>
      </w:r>
      <w:r w:rsidRPr="0077780C">
        <w:rPr>
          <w:i/>
        </w:rPr>
        <w:t>ės visuomenės sveikatos stebėsenos nuostatus ir Bendruosius savivaldybių visuomenės sveikatos stebėsenos nuostatus rengia Sveikatos apsaugos ministerija, tvirtina Vyriausybė ar jos įgaliota institucija</w:t>
      </w:r>
      <w:r w:rsidRPr="00FD2C95">
        <w:rPr>
          <w:i/>
        </w:rPr>
        <w:t xml:space="preserve">, </w:t>
      </w:r>
      <w:r w:rsidRPr="00FD2C95">
        <w:t>2003 m. rugpjūčio 19 d. patvirtintas įsakymas „Dėl valstybės visuomenės sveikatos stebėsenos nuostatų tvirtinimo“ Nr. V-500</w:t>
      </w:r>
      <w:r w:rsidRPr="009D2E41">
        <w:t xml:space="preserve">. Priimtas įsakymas nustato visuomenės sveikatos stebėsenos programų rengimo bei įgyvendinimo ir visuomenės sveikatos stebėsenos vykdymo tvarką, kuri privaloma visiems valstybės visuomenės sveikatos stebėseną vykdantiems juridiniams bei fiziniams asmenims. Tuo tarpu savivaldybių visuomenės sveikatos stebėsenos organizavimą, programų rengimo, vykdymo, kontrolės bei duomenų ir informacijos teikimo tvarką reglamentuoja </w:t>
      </w:r>
      <w:r w:rsidRPr="002B0B89">
        <w:t>2008 m. vasario 14 d. Lietuvos Respublikos sveikatos apsaugos ministro įsakymas Nr. V-118. Taip pat šiame įsakyme aiškiai apibrėžiama, kad savivaldybių visuomenės sveikatos stebėseną vykdo savivaldybės visuomenės sveikatos biuras</w:t>
      </w:r>
      <w:r w:rsidRPr="009D2E41">
        <w:t>. Bendruosius savivaldybių visuomenės sveikatos stebėsenos atlikimo principus nustato LR sveikatos apsaugos ministro įsakymas “Dėl savivaldybėms skirtų visuomenės sveikatos stebėsenos atlikimo rekomendacijų patvir</w:t>
      </w:r>
      <w:r>
        <w:t>tinimo”</w:t>
      </w:r>
      <w:r w:rsidRPr="009D2E41">
        <w:t>.</w:t>
      </w:r>
    </w:p>
    <w:p w:rsidR="00995BE0" w:rsidRPr="009D2E41" w:rsidRDefault="00995BE0" w:rsidP="00CE64F5">
      <w:pPr>
        <w:spacing w:line="360" w:lineRule="auto"/>
        <w:ind w:firstLine="720"/>
        <w:jc w:val="both"/>
      </w:pPr>
      <w:r w:rsidRPr="002B0B89">
        <w:t>Duomenų rinkimas, analizė ir sklaida turėtų būti vykdomi vadovaujantis Lietuvos Respublikos statistikos įstatymu (Žin., 1993, Nr. 54-1048; 1999, Nr. 114-3299).</w:t>
      </w:r>
    </w:p>
    <w:p w:rsidR="00995BE0" w:rsidRPr="0077780C" w:rsidRDefault="00995BE0" w:rsidP="00CE64F5">
      <w:pPr>
        <w:pStyle w:val="mazas"/>
        <w:spacing w:before="0" w:beforeAutospacing="0" w:after="0" w:afterAutospacing="0" w:line="360" w:lineRule="auto"/>
        <w:ind w:firstLine="540"/>
        <w:jc w:val="both"/>
      </w:pPr>
      <w:r w:rsidRPr="002B0B89">
        <w:t>Visuomenės sveikatos stebėsenos rodiklių sąrašas išdėstytas 2004 m. lapkričio 26 d. Nr. V-837 priimtame LR sveikatos apsaugos ministro įsakyme “Dėl visuomenės sveikatos stebėsenos rodiklių sąrašo patvirtinimo“ (Žin., 2004 Nr. 174-6465).</w:t>
      </w:r>
    </w:p>
    <w:p w:rsidR="00995BE0" w:rsidRPr="001D71BB" w:rsidRDefault="00995BE0" w:rsidP="00CE64F5">
      <w:pPr>
        <w:spacing w:line="360" w:lineRule="auto"/>
        <w:ind w:firstLine="540"/>
        <w:jc w:val="both"/>
      </w:pPr>
      <w:r w:rsidRPr="0077780C">
        <w:t>Siekiant užtikrinti gyventojų informavimą aktualiais visuomenės sveikatos priežiūros, saugos bei stiprinimo klausimais 2007 m. kovo 28 d. Nr. V-204 patvirtintas Lietuvos respublikos sveikatos apsaugos ministro įsakymas “</w:t>
      </w:r>
      <w:r w:rsidRPr="002B0B89">
        <w:t>Dėl visuomenės sveikatos priežiūros įstaigų informacijos pateikimo gyventojams tvarkos aprašo“ (Žin., 2007 Nr. 38-1421).</w:t>
      </w:r>
    </w:p>
    <w:p w:rsidR="00995BE0" w:rsidRDefault="00995BE0" w:rsidP="0029765D">
      <w:pPr>
        <w:spacing w:line="360" w:lineRule="auto"/>
        <w:ind w:firstLine="600"/>
        <w:jc w:val="both"/>
        <w:rPr>
          <w:rFonts w:ascii="Tahoma" w:hAnsi="Tahoma" w:cs="Tahoma"/>
          <w:sz w:val="14"/>
          <w:szCs w:val="14"/>
        </w:rPr>
      </w:pPr>
      <w:r w:rsidRPr="001D71BB">
        <w:t>Kad savivaldybėse vis dėlto vyktų visuomenės sveikatos stebėsena ir ji tarnautų efektyvių ir laiku pateik</w:t>
      </w:r>
      <w:r>
        <w:t xml:space="preserve">tų sprendimų priėmimui, būtina </w:t>
      </w:r>
      <w:r w:rsidRPr="001D71BB">
        <w:t xml:space="preserve">parengti vieningą </w:t>
      </w:r>
      <w:r w:rsidRPr="00E46981">
        <w:rPr>
          <w:spacing w:val="2"/>
        </w:rPr>
        <w:t>VS</w:t>
      </w:r>
      <w:r w:rsidRPr="001D71BB">
        <w:t xml:space="preserve"> informacinę sistemą; standartizuoti stebėsenos įgyvendinimo metodus, metodikas, priemones ir taisykles; parengti poįstatyminius teisės aktus LR Profesinės sveikatos įstatymui vykdyti; aiškiai reglamentuoti, kas priklauso valstybės ir savivaldybių visuomenės sveikatos stebėsenos sistemai; nustatyti stebėsenos </w:t>
      </w:r>
      <w:r w:rsidRPr="001D71BB">
        <w:lastRenderedPageBreak/>
        <w:t>vykdymo įkainius ir nerinkti tiek įvairiausių rodiklių ir duomenų, kokių negalima panaudoti darant įtaką gyventojų sveikatai (</w:t>
      </w:r>
      <w:r>
        <w:t>Kaip vykdysime savivaldybių visuomenės sveikatos stebėseną, 2004</w:t>
      </w:r>
      <w:r w:rsidRPr="001D71BB">
        <w:t>).</w:t>
      </w:r>
      <w:r w:rsidRPr="001D71BB">
        <w:rPr>
          <w:rFonts w:ascii="Tahoma" w:hAnsi="Tahoma" w:cs="Tahoma"/>
          <w:sz w:val="14"/>
          <w:szCs w:val="14"/>
        </w:rPr>
        <w:t xml:space="preserve"> </w:t>
      </w:r>
    </w:p>
    <w:p w:rsidR="00995BE0" w:rsidRPr="0077780C" w:rsidRDefault="00995BE0" w:rsidP="00FC43FC">
      <w:pPr>
        <w:spacing w:line="360" w:lineRule="auto"/>
        <w:ind w:firstLine="600"/>
        <w:jc w:val="both"/>
      </w:pPr>
      <w:r w:rsidRPr="0077780C">
        <w:t>Visuomenės sveikatos priežiūrą mokyklose nusako L</w:t>
      </w:r>
      <w:r>
        <w:t xml:space="preserve">ietuvos </w:t>
      </w:r>
      <w:r w:rsidRPr="0077780C">
        <w:t>R</w:t>
      </w:r>
      <w:r>
        <w:t>espublikos</w:t>
      </w:r>
      <w:r w:rsidRPr="0077780C">
        <w:t xml:space="preserve"> švietimo įstatymo 23 straipsnis, kuriame teigiama, kad sveikatos priežiūrą mokykloje vykdo visuomenės sveikatos priežiūros specialistas. Jis atlieka pirminę visuomenės sveikatos priežiūrą, teikia sveikatinimo veiklos metodinę konsultacinę pagalbą mokytojams, mokiniams, jų tėvams (globėjams, rūpintojams), vykdo kitą veiklą Sveikatos apsaugos ministerijos ir Švietimo ir mokslo ministerijos nustatyta tvarka. Pagal šį straipsnį, 2005 m. gruodžio 30 d. patvirtintas įsakymas „Dėl sveikatos priežiūros mokykloje tvarkos aprašo patvirtinimo“, kuris nustato sveikatos priežiūros mokykloje tikslą, uždavinius, organizavimą, sveikatos priežiūros mokykloje dokumentaciją, visuomenės sveikatos priežiūros specialisto funkcijas, pareigas, teises ir atsakomybę.</w:t>
      </w:r>
    </w:p>
    <w:p w:rsidR="00995BE0" w:rsidRPr="0077780C" w:rsidRDefault="00995BE0" w:rsidP="00FC43FC">
      <w:pPr>
        <w:spacing w:line="360" w:lineRule="auto"/>
        <w:ind w:firstLine="600"/>
        <w:jc w:val="both"/>
      </w:pPr>
      <w:r w:rsidRPr="0077780C">
        <w:t>Atsižvelgiant į vis prastėjančią Lietuvos vaikų socialinę, psichologinę padėtį, nepakankamą vaikų švietimą ir ugdymą, 2005 m. vasario 17 d. Nr. 184 priimtas nutarimas</w:t>
      </w:r>
      <w:r w:rsidRPr="00B52FCF">
        <w:t xml:space="preserve"> </w:t>
      </w:r>
      <w:r w:rsidRPr="0077780C">
        <w:t>„</w:t>
      </w:r>
      <w:r w:rsidRPr="00D2755F">
        <w:t>Dėl vaiko gerovės</w:t>
      </w:r>
      <w:r w:rsidRPr="00D2755F">
        <w:rPr>
          <w:b/>
        </w:rPr>
        <w:t xml:space="preserve"> </w:t>
      </w:r>
      <w:r w:rsidRPr="00D2755F">
        <w:t>valstybės politikos strategijos ir jos įgyvendinimo priemonių 2005-2012 m. plano patvir</w:t>
      </w:r>
      <w:r>
        <w:t>tinimą“</w:t>
      </w:r>
      <w:r w:rsidRPr="00B52FCF">
        <w:t xml:space="preserve"> </w:t>
      </w:r>
      <w:r>
        <w:t>ir jo pakeitimai</w:t>
      </w:r>
      <w:r w:rsidRPr="0077780C">
        <w:t>. Šio nutarimo pagrindu, 2008 m. patvirtintas nutarimas „Dėl vaikų sveikatos stiprinimo 2008-2012 m. programos patvirtinimo“. Programos tikslas – plėtoti vaikų sveikatos stiprinimą – ugdyti vaikams sveikos gyvensenos įpročius, užtikrinti vaikų sveikatos stiprinimo prieinamumą visoje šalyje, gerinti jo kokybę, tam vienyti valstybės ir savivaldybių institucijų, mokslo ir visuomenės pastangas. Taigi, siekiant aktyvaus vaikų sveikatos stiprinimo, ir įgyvendinant minėto vaiko gerovės valstybės politikos strategijos įgyvendinimo priemonių 2005–2012 metų plano 2.2 priemonė – plėtoti sveikatą stiprinančių mokyklų tinklas, kurio tvarka nustatyta  2007 m. rugpjūčio 16 d. įsakyme (Žin., 2007, Nr. 91-3656).</w:t>
      </w:r>
    </w:p>
    <w:p w:rsidR="00995BE0" w:rsidRPr="0077780C" w:rsidRDefault="00995BE0" w:rsidP="00FC43FC">
      <w:pPr>
        <w:spacing w:line="360" w:lineRule="auto"/>
        <w:ind w:firstLine="600"/>
        <w:jc w:val="both"/>
      </w:pPr>
      <w:r w:rsidRPr="0077780C">
        <w:t>Vykdydamos Lietuvos sveikatos programą, Nacionalinę sveikatos koncepciją ir kitus dokumentus, skirtus formuoti vaikų ir moksleivių sveikatos politiką, Sveikatos apsaugos ministerija bei Švietimo ir mokslo ministerija vadovaujasi sveikatos stiprinimo ir ugdymo strateginėmis gairėmis, kurios išdėstytos LR sveikatos apsaugos ministro ir LR švietimo ir mokslo ministro 2000 m. kovo 23 d. įsakyme Nr. 169/299 „Dėl sveikatos apsaugos politikos strateginių gairių vaikų ir moksleivių sveikatos srityje“ (Žin., 2000, Nr. 27-738).</w:t>
      </w:r>
    </w:p>
    <w:p w:rsidR="00995BE0" w:rsidRPr="001D71BB" w:rsidRDefault="00995BE0" w:rsidP="00FC43FC">
      <w:pPr>
        <w:spacing w:line="360" w:lineRule="auto"/>
        <w:ind w:firstLine="600"/>
        <w:jc w:val="both"/>
      </w:pPr>
      <w:r w:rsidRPr="0077780C">
        <w:t>Labai svarbu mokyklose užtikrinti saugią ir sveiką aplinką mokyklos bendruomenei bei sudaryti tinkamas sąlygas vaiko gerovei ir švietimo veiksmingumui. Šiam tikslui, pagal 2004 m. rugsėjo 17 d.</w:t>
      </w:r>
      <w:r>
        <w:t xml:space="preserve"> LR švietimo ir mokslo ministro </w:t>
      </w:r>
      <w:r w:rsidRPr="0077780C">
        <w:t>įsakymą Nr. ISAK-1462 (</w:t>
      </w:r>
      <w:r w:rsidRPr="001D71BB">
        <w:t>Žin., 2004, Nr. 145-5281), savivaldybės administracijoms nustatyta:</w:t>
      </w:r>
    </w:p>
    <w:p w:rsidR="00995BE0" w:rsidRPr="001D71BB" w:rsidRDefault="00995BE0" w:rsidP="00FC43FC">
      <w:pPr>
        <w:numPr>
          <w:ilvl w:val="0"/>
          <w:numId w:val="9"/>
        </w:numPr>
        <w:spacing w:line="360" w:lineRule="auto"/>
        <w:ind w:left="0" w:firstLine="600"/>
        <w:jc w:val="both"/>
      </w:pPr>
      <w:r w:rsidRPr="001D71BB">
        <w:t xml:space="preserve">sudaryti savivaldybėse prevencinio darbo koordinavimo grupes įtraukdamos policijos, Vaiko teisių apsaugos tarnybos, socialinės, švietimo ir sveikatos priežiūros bei kitų institucijų, </w:t>
      </w:r>
      <w:r w:rsidRPr="001D71BB">
        <w:lastRenderedPageBreak/>
        <w:t>dalyvaujančių prevencinėje veikloje atstovus bei įgyvendina priemones, kurios padėtų užtikrinti vaiko teisę į mokslą ir sugrąžintų į mokyklą jos nelankančius vaikus;</w:t>
      </w:r>
    </w:p>
    <w:p w:rsidR="00995BE0" w:rsidRPr="001D71BB" w:rsidRDefault="00995BE0" w:rsidP="00FC43FC">
      <w:pPr>
        <w:numPr>
          <w:ilvl w:val="0"/>
          <w:numId w:val="9"/>
        </w:numPr>
        <w:spacing w:line="360" w:lineRule="auto"/>
        <w:ind w:left="0" w:firstLine="600"/>
        <w:jc w:val="both"/>
      </w:pPr>
      <w:r w:rsidRPr="001D71BB">
        <w:t>organizuoti mokytojams, socialiniams pedagogams, psichologams, visuomenės sveikatos specialistams, klasės auklėtojams kvalifikacijos kėlimą narkotinių medžiagų, alkoholio bei tabako vartojimo, smurto, savižudybių ir kitais prevencinio darbo klausimais.</w:t>
      </w:r>
    </w:p>
    <w:p w:rsidR="00995BE0" w:rsidRPr="0077780C" w:rsidRDefault="00995BE0" w:rsidP="00FC43FC">
      <w:pPr>
        <w:spacing w:line="360" w:lineRule="auto"/>
        <w:ind w:firstLine="567"/>
        <w:jc w:val="both"/>
      </w:pPr>
      <w:r w:rsidRPr="001D71BB">
        <w:t xml:space="preserve">Siekdamas pagerinti keitimąsi informacija tarp asmens sveikatos priežiūros įstaigų ir mokyklų buvo patvirtintas LR sveikatos apsaugos </w:t>
      </w:r>
      <w:r w:rsidRPr="006E16C1">
        <w:t>nutarimas</w:t>
      </w:r>
      <w:r w:rsidRPr="006E16C1">
        <w:rPr>
          <w:sz w:val="22"/>
          <w:szCs w:val="22"/>
        </w:rPr>
        <w:t xml:space="preserve"> „Dėl </w:t>
      </w:r>
      <w:r w:rsidRPr="006E16C1">
        <w:t>statistinės apskaitos formos nr. 027-1/a „vaiko sveikatos pažymėjimas“ patvirtinimo (Žin., 2005, Nr. 3-38).</w:t>
      </w:r>
    </w:p>
    <w:p w:rsidR="00995BE0" w:rsidRPr="001D71BB" w:rsidRDefault="00995BE0" w:rsidP="00FC43FC">
      <w:pPr>
        <w:pStyle w:val="hyperlink"/>
        <w:spacing w:before="0" w:beforeAutospacing="0" w:after="0" w:afterAutospacing="0" w:line="360" w:lineRule="auto"/>
        <w:ind w:firstLine="540"/>
        <w:jc w:val="both"/>
        <w:rPr>
          <w:rFonts w:ascii="Tahoma" w:hAnsi="Tahoma" w:cs="Tahoma"/>
        </w:rPr>
      </w:pPr>
      <w:r w:rsidRPr="0077780C">
        <w:rPr>
          <w:bCs/>
        </w:rPr>
        <w:t xml:space="preserve">Sveikatą stiprinanti mokykla </w:t>
      </w:r>
      <w:r w:rsidRPr="0077780C">
        <w:t>–</w:t>
      </w:r>
      <w:r w:rsidRPr="001D71BB">
        <w:t xml:space="preserve"> mokykla, kurioje pasitelkiant mokyklos bendruomenę ir socialinius partnerius ugdomi mokinių sveikos gyvensenos įgūdžiai, kuriama mokyklos bendruomenės sveikatai palanki fizinė ir psichosocialinė </w:t>
      </w:r>
      <w:r w:rsidRPr="006E16C1">
        <w:t>aplinka (Žin., 2007, Nr. 91-3656).</w:t>
      </w:r>
      <w:r w:rsidRPr="001D71BB">
        <w:t xml:space="preserve"> Pagrindinis tikslas – visų mokyklos bendruomenės narių sveikos gyvensenos įgūdžių ugdymas, padedant mokiniams formuoti sveikos gyvensenos įgūdžius bei sukuriant sveikatai palankią fizinę ir psichosocialinę aplinką (Barnekow Rasmu</w:t>
      </w:r>
      <w:r>
        <w:t>ssen, Rivett, Burgher,</w:t>
      </w:r>
      <w:r w:rsidRPr="001D71BB">
        <w:t xml:space="preserve"> 1999).</w:t>
      </w:r>
    </w:p>
    <w:p w:rsidR="00995BE0" w:rsidRPr="001D71BB" w:rsidRDefault="00995BE0" w:rsidP="0029765D">
      <w:pPr>
        <w:spacing w:line="360" w:lineRule="auto"/>
        <w:ind w:firstLine="600"/>
        <w:jc w:val="both"/>
      </w:pPr>
      <w:r w:rsidRPr="001D71BB">
        <w:t>Visuomenės sveikatos priežiūros specialisto, vykdančio sveikatos priežiūrą moky</w:t>
      </w:r>
      <w:r>
        <w:t>kloje, kvalifikaciją patvirtina v</w:t>
      </w:r>
      <w:r w:rsidRPr="0077780C">
        <w:t>isuomenės sveikatos priežiūros specialisto, vykdančio sveikatos priežiūrą mokykloje, kvalifikacinių reikalavimų aprašas, patvirtintas Lietuvos Respublikos sveikatos apsaugos ministro 2007 m. rugpjūčio 1d. įsakymu Nr.</w:t>
      </w:r>
      <w:r>
        <w:t xml:space="preserve"> V-630.</w:t>
      </w:r>
    </w:p>
    <w:p w:rsidR="00995BE0" w:rsidRPr="001D71BB" w:rsidRDefault="00995BE0" w:rsidP="00A7019A">
      <w:pPr>
        <w:spacing w:line="360" w:lineRule="auto"/>
        <w:ind w:firstLine="600"/>
        <w:jc w:val="both"/>
      </w:pPr>
      <w:r w:rsidRPr="0077780C">
        <w:t>Sveikatos priežiūra Šiaulių bendrojo lavinimo mokyklose organizuojama vadovaujantis Šiaulių miesto tarybos sprendimu „Dėl sveikatos priežiūros</w:t>
      </w:r>
      <w:r w:rsidRPr="001D71BB">
        <w:t xml:space="preserve"> organizavimo Šiaulių miesto savivaldybės bendrojo lavinimo mokyklose“, priimtu 2006 m. lapkričio 23 d. Nr. T-410.</w:t>
      </w:r>
    </w:p>
    <w:p w:rsidR="00995BE0" w:rsidRPr="0077780C" w:rsidRDefault="00995BE0" w:rsidP="0029765D">
      <w:pPr>
        <w:spacing w:line="360" w:lineRule="auto"/>
        <w:ind w:firstLine="600"/>
        <w:jc w:val="both"/>
      </w:pPr>
      <w:r w:rsidRPr="0077780C">
        <w:t>Sveikatos priežiūros mokyklose finansavimo naujoje tvarkoje, patvirtintoje Lietuvos Respublikos Vyriausybės 2009 m. balandžio 22 d. nutarimu Nr. 321</w:t>
      </w:r>
      <w:r>
        <w:t>, n</w:t>
      </w:r>
      <w:r w:rsidRPr="0077780C">
        <w:t xml:space="preserve">ustatyti specialistų pareigybių, steigiamų pagal sveikatos priežiūros mokykloje tvarkos aprašo nuostatas, steigimo savivaldybių sveikatos priežiūros įstaigose rekomenduojami normatyvai: </w:t>
      </w:r>
    </w:p>
    <w:p w:rsidR="00995BE0" w:rsidRPr="0077780C" w:rsidRDefault="00995BE0" w:rsidP="00CE64F5">
      <w:pPr>
        <w:numPr>
          <w:ilvl w:val="0"/>
          <w:numId w:val="8"/>
        </w:numPr>
        <w:spacing w:line="360" w:lineRule="auto"/>
        <w:ind w:left="567" w:hanging="425"/>
        <w:jc w:val="both"/>
      </w:pPr>
      <w:r w:rsidRPr="0077780C">
        <w:t>viena specialisto pareigybė – 1 000 mokinių gyvenamosiose vietovėse, turinčiose 3 000 ir daugiau gyventojų;</w:t>
      </w:r>
    </w:p>
    <w:p w:rsidR="00995BE0" w:rsidRPr="0077780C" w:rsidRDefault="00995BE0" w:rsidP="00CE64F5">
      <w:pPr>
        <w:numPr>
          <w:ilvl w:val="0"/>
          <w:numId w:val="8"/>
        </w:numPr>
        <w:spacing w:line="360" w:lineRule="auto"/>
        <w:ind w:left="567" w:hanging="425"/>
        <w:jc w:val="both"/>
      </w:pPr>
      <w:r w:rsidRPr="0077780C">
        <w:t xml:space="preserve">viena specialisto pareigybė – 500 mokinių gyvenamosiose vietovėse, turinčiose mažiau kaip 3 000 gyventojų. </w:t>
      </w:r>
    </w:p>
    <w:p w:rsidR="00995BE0" w:rsidRPr="0077780C" w:rsidRDefault="00995BE0" w:rsidP="00CE64F5">
      <w:pPr>
        <w:spacing w:line="360" w:lineRule="auto"/>
        <w:ind w:firstLine="567"/>
        <w:jc w:val="both"/>
      </w:pPr>
      <w:r w:rsidRPr="0077780C">
        <w:t>Savivaldybės sveikatos priežiūrą mokyklose gali remti steigdamos specialistų pareigybes mažesniam už rekomenduojamą mokinių skaičiui.</w:t>
      </w:r>
    </w:p>
    <w:p w:rsidR="00995BE0" w:rsidRPr="001D71BB" w:rsidRDefault="00995BE0" w:rsidP="00CE64F5">
      <w:pPr>
        <w:spacing w:line="360" w:lineRule="auto"/>
        <w:ind w:firstLine="540"/>
        <w:jc w:val="both"/>
      </w:pPr>
      <w:r w:rsidRPr="00FB2B65">
        <w:rPr>
          <w:bCs/>
        </w:rPr>
        <w:t>Pagrindinis visuomenės sveikatos stiprinimo s</w:t>
      </w:r>
      <w:r>
        <w:rPr>
          <w:bCs/>
        </w:rPr>
        <w:t>pecialistų</w:t>
      </w:r>
      <w:r w:rsidRPr="00FB2B65">
        <w:rPr>
          <w:bCs/>
        </w:rPr>
        <w:t xml:space="preserve"> tikslas</w:t>
      </w:r>
      <w:r w:rsidRPr="001D71BB">
        <w:t xml:space="preserve"> – propaguoti sveiką gyvenseną, sveikatos stiprinimo ir prevencijos žinias, plėtojant formalų ir neformalų visuomenės mokymą.</w:t>
      </w:r>
      <w:r>
        <w:t xml:space="preserve"> Šie </w:t>
      </w:r>
      <w:r w:rsidRPr="001D71BB">
        <w:t xml:space="preserve">specialistai turi daugiausiai išmanyti ir žinoti įvairias visuomenės sveikatos sritis </w:t>
      </w:r>
      <w:r w:rsidRPr="001D71BB">
        <w:lastRenderedPageBreak/>
        <w:t xml:space="preserve">reglamentuojančius teisės aktus, kadangi atlieka higieninius privalomuosius mokymus, vykdo formalų ir neformalų sveikatos švietimą. </w:t>
      </w:r>
    </w:p>
    <w:p w:rsidR="00995BE0" w:rsidRPr="001D71BB" w:rsidRDefault="00995BE0" w:rsidP="00CE64F5">
      <w:pPr>
        <w:spacing w:line="360" w:lineRule="auto"/>
        <w:ind w:firstLine="567"/>
        <w:jc w:val="both"/>
      </w:pPr>
      <w:r w:rsidRPr="001D71BB">
        <w:t>Kaip jau minėta, viena iš visuomenės sveikatos biuro funkcijų</w:t>
      </w:r>
      <w:r w:rsidRPr="001D71BB">
        <w:rPr>
          <w:b/>
        </w:rPr>
        <w:t xml:space="preserve"> – </w:t>
      </w:r>
      <w:r w:rsidRPr="001D71BB">
        <w:t xml:space="preserve">vesti privalomuosius sveikatos mokymus įvairių profesijų darbuotojams pagal 2008-01-28 d. LR SAM įsakymą Nr. V-69 </w:t>
      </w:r>
      <w:r w:rsidRPr="00FB2B65">
        <w:t>„Dėl privalomojo pirmosios pagalbos mokymo programos, privalomojo higienos įgūdžių mokymo programos ir privalomojo mokymo apie alkoholio ir narkotikų žalą žmogaus sveikatai mokymo programos patvirtinimo“</w:t>
      </w:r>
      <w:r w:rsidRPr="001D71BB">
        <w:t>. Įsakyme pateikiami privalomojo pirmosios pagalbos mokymo, privalomojo higienos įgūdžių mokymo ir privalomojo mokymo apie alkoholio žalą sveikatai mokymo programos ir jų aprašai.</w:t>
      </w:r>
      <w:r>
        <w:t xml:space="preserve"> Visuomenės sveikatos stiprinimo specialistai bene labiausiai turėtų išmanyti įvairių teisės aktų, nes jų veikla yra labai plati, mokymai įvairūs. Pagrindiniai teisės aktai jų srityje yra LR tabako kontrolės įstatymas,</w:t>
      </w:r>
      <w:r w:rsidRPr="002E7A44">
        <w:t xml:space="preserve"> </w:t>
      </w:r>
      <w:r>
        <w:t>LR alkoholio kontrolės įstatymas, LR triukšmo valdymo įstatymas, LR žmonių užkrečiamųjų ligų profilaktikos ir kontrolės įstatymas, LR narkotikų ir psichotropinių medžiagų kontrolės įstatymas,</w:t>
      </w:r>
      <w:r w:rsidRPr="002E7A44">
        <w:t xml:space="preserve"> </w:t>
      </w:r>
      <w:r>
        <w:t>LR atliekų tvarkymo įstatymas, LR geriamojo vandens įstatymas</w:t>
      </w:r>
      <w:r w:rsidRPr="002E7A44">
        <w:t xml:space="preserve"> </w:t>
      </w:r>
      <w:r>
        <w:t xml:space="preserve">LR darbuotojų saugos ir sveikatos įstatymas bei kiti dokumentai, išdėstyti </w:t>
      </w:r>
      <w:r w:rsidRPr="00701609">
        <w:t>1 priede</w:t>
      </w:r>
      <w:r>
        <w:t xml:space="preserve">. </w:t>
      </w:r>
    </w:p>
    <w:p w:rsidR="00995BE0" w:rsidRPr="0077780C" w:rsidRDefault="00995BE0" w:rsidP="0029765D">
      <w:pPr>
        <w:spacing w:line="360" w:lineRule="auto"/>
        <w:ind w:firstLine="600"/>
        <w:jc w:val="both"/>
      </w:pPr>
      <w:r w:rsidRPr="001D71BB">
        <w:t xml:space="preserve">Biuras, siekdamas efektyvesnės visuomenės sveikatos stebėsenos, bendradarbiauja su KMU ir vykdo biomedicininius gyvensenos tyrimus, vadovaudamiesi </w:t>
      </w:r>
      <w:r w:rsidRPr="0077780C">
        <w:t>L</w:t>
      </w:r>
      <w:r>
        <w:t xml:space="preserve">ietuvos </w:t>
      </w:r>
      <w:r w:rsidRPr="0077780C">
        <w:t>R</w:t>
      </w:r>
      <w:r>
        <w:t>espublikos</w:t>
      </w:r>
      <w:r w:rsidRPr="0077780C">
        <w:t xml:space="preserve"> biomedicininių tyrimų etikos į</w:t>
      </w:r>
      <w:r>
        <w:t>statymu</w:t>
      </w:r>
      <w:r w:rsidRPr="0077780C">
        <w:t>.</w:t>
      </w:r>
    </w:p>
    <w:p w:rsidR="00995BE0" w:rsidRPr="001D71BB" w:rsidRDefault="00995BE0" w:rsidP="00B64424">
      <w:pPr>
        <w:spacing w:line="360" w:lineRule="auto"/>
        <w:ind w:firstLine="567"/>
        <w:jc w:val="both"/>
        <w:rPr>
          <w:b/>
        </w:rPr>
      </w:pPr>
      <w:r w:rsidRPr="001D71BB">
        <w:rPr>
          <w:b/>
        </w:rPr>
        <w:t>2.2 Organizacinė struktūra</w:t>
      </w:r>
    </w:p>
    <w:p w:rsidR="00995BE0" w:rsidRPr="001D71BB" w:rsidRDefault="00995BE0" w:rsidP="00C54866">
      <w:pPr>
        <w:spacing w:line="360" w:lineRule="auto"/>
        <w:ind w:firstLine="600"/>
        <w:jc w:val="both"/>
      </w:pPr>
      <w:r w:rsidRPr="001D71BB">
        <w:t>Biuras pavaldus Šiaulių miesto savivaldybei. Biurui vadovauja direktorius, kurį priima į pareigas  ir atleidžia iš pareigų Šiaulių miesto savivaldybės administracijos direktorius.</w:t>
      </w:r>
    </w:p>
    <w:p w:rsidR="00995BE0" w:rsidRPr="001D71BB" w:rsidRDefault="00995BE0" w:rsidP="00C54866">
      <w:pPr>
        <w:spacing w:line="360" w:lineRule="auto"/>
        <w:ind w:firstLine="600"/>
        <w:jc w:val="both"/>
      </w:pPr>
      <w:r w:rsidRPr="001D71BB">
        <w:t>Biuro organizacinę struktūrą sudaro trys skyriai: vaikų ir jaunimo priežiūros, stiprinimo ir stebėsenos ir programų skyrius.</w:t>
      </w:r>
    </w:p>
    <w:p w:rsidR="00995BE0" w:rsidRPr="001D71BB" w:rsidRDefault="00995BE0" w:rsidP="00B64424">
      <w:pPr>
        <w:spacing w:line="360" w:lineRule="auto"/>
        <w:ind w:firstLine="567"/>
        <w:jc w:val="both"/>
        <w:rPr>
          <w:b/>
        </w:rPr>
      </w:pPr>
      <w:r w:rsidRPr="001D71BB">
        <w:rPr>
          <w:b/>
        </w:rPr>
        <w:t>2.3 Žmogiškieji ištekliai</w:t>
      </w:r>
    </w:p>
    <w:p w:rsidR="00995BE0" w:rsidRPr="001D71BB" w:rsidRDefault="00995BE0" w:rsidP="00C54866">
      <w:pPr>
        <w:spacing w:line="360" w:lineRule="auto"/>
        <w:ind w:firstLine="600"/>
        <w:jc w:val="both"/>
      </w:pPr>
      <w:r w:rsidRPr="001D71BB">
        <w:t>Biure 2010 m. sausio 1 d. buvo 38,5 etatai, 38 darbuotojai. Iš visų dirbančiųjų turi 6 asmenys turi įgiję aukštąjį universitetinį išsilavinimą, 26 asmenys, įgiję aukštąjį neuniversitetinį ir aukštesnįjį išsilavinimą, ir 6 darbuotojai (ne sveikatos srities), iš kurių 3 su aukštuoju universitetiniu ir 3 su aukštuoju neuniversitetiniu ar aukštesniuoju išsilavinimu. Darbuotojai yra pakankamai kvalifikuoti, nemaža dalis jų studijuoja universitetuose, turi pakankamai patirties, sudarytos palankios sąlygos kelti kvalifikaciją kursuose ar seminaruose.</w:t>
      </w:r>
    </w:p>
    <w:p w:rsidR="00995BE0" w:rsidRPr="001D71BB" w:rsidRDefault="00995BE0" w:rsidP="00C54866">
      <w:pPr>
        <w:spacing w:line="360" w:lineRule="auto"/>
        <w:ind w:firstLine="600"/>
        <w:jc w:val="both"/>
      </w:pPr>
      <w:r w:rsidRPr="001D71BB">
        <w:t>Pagal 2009 m. rugsėjo 25 d. Šiaulių miesto savivaldybės administracijos direktoriaus įsakymo pakeitimą, visuomenės sveikatos priežiūros specialistų skaičius, dirbančių mokyklose, sumažėjo iki 22,0 etatų (prieš tai, 2006 m. lapkričio 23 d. Nr. T-410 Tarybos sprendimu buvo įsteigti  25 etatai).</w:t>
      </w:r>
    </w:p>
    <w:p w:rsidR="00995BE0" w:rsidRPr="00CD1074" w:rsidRDefault="00995BE0" w:rsidP="00CD1074">
      <w:pPr>
        <w:spacing w:line="360" w:lineRule="auto"/>
        <w:jc w:val="right"/>
        <w:rPr>
          <w:b/>
          <w:sz w:val="22"/>
          <w:szCs w:val="22"/>
        </w:rPr>
      </w:pPr>
      <w:r w:rsidRPr="00CD1074">
        <w:rPr>
          <w:b/>
          <w:sz w:val="22"/>
          <w:szCs w:val="22"/>
        </w:rPr>
        <w:t>7 lentelė</w:t>
      </w:r>
    </w:p>
    <w:p w:rsidR="00995BE0" w:rsidRPr="001D71BB" w:rsidRDefault="00995BE0" w:rsidP="00A3155B">
      <w:pPr>
        <w:spacing w:line="360" w:lineRule="auto"/>
        <w:rPr>
          <w:b/>
          <w:sz w:val="20"/>
        </w:rPr>
      </w:pPr>
      <w:r w:rsidRPr="001D71BB">
        <w:rPr>
          <w:b/>
          <w:sz w:val="20"/>
        </w:rPr>
        <w:t>Duo</w:t>
      </w:r>
      <w:r w:rsidRPr="001D71BB">
        <w:rPr>
          <w:b/>
          <w:sz w:val="20"/>
        </w:rPr>
        <w:softHyphen/>
        <w:t>me</w:t>
      </w:r>
      <w:r w:rsidRPr="001D71BB">
        <w:rPr>
          <w:b/>
          <w:sz w:val="20"/>
        </w:rPr>
        <w:softHyphen/>
        <w:t>nys apie per</w:t>
      </w:r>
      <w:r w:rsidRPr="001D71BB">
        <w:rPr>
          <w:b/>
          <w:sz w:val="20"/>
        </w:rPr>
        <w:softHyphen/>
        <w:t>so</w:t>
      </w:r>
      <w:r w:rsidRPr="001D71BB">
        <w:rPr>
          <w:b/>
          <w:sz w:val="20"/>
        </w:rPr>
        <w:softHyphen/>
        <w:t>na</w:t>
      </w:r>
      <w:r w:rsidRPr="001D71BB">
        <w:rPr>
          <w:b/>
          <w:sz w:val="20"/>
        </w:rPr>
        <w:softHyphen/>
        <w:t>lą, ku</w:t>
      </w:r>
      <w:r w:rsidRPr="001D71BB">
        <w:rPr>
          <w:b/>
          <w:sz w:val="20"/>
        </w:rPr>
        <w:softHyphen/>
        <w:t>rio pa</w:t>
      </w:r>
      <w:r w:rsidRPr="001D71BB">
        <w:rPr>
          <w:b/>
          <w:sz w:val="20"/>
        </w:rPr>
        <w:softHyphen/>
        <w:t>grin</w:t>
      </w:r>
      <w:r w:rsidRPr="001D71BB">
        <w:rPr>
          <w:b/>
          <w:sz w:val="20"/>
        </w:rPr>
        <w:softHyphen/>
        <w:t>di</w:t>
      </w:r>
      <w:r w:rsidRPr="001D71BB">
        <w:rPr>
          <w:b/>
          <w:sz w:val="20"/>
        </w:rPr>
        <w:softHyphen/>
        <w:t>nė funk</w:t>
      </w:r>
      <w:r w:rsidRPr="001D71BB">
        <w:rPr>
          <w:b/>
          <w:sz w:val="20"/>
        </w:rPr>
        <w:softHyphen/>
        <w:t>ci</w:t>
      </w:r>
      <w:r w:rsidRPr="001D71BB">
        <w:rPr>
          <w:b/>
          <w:sz w:val="20"/>
        </w:rPr>
        <w:softHyphen/>
        <w:t>ja – svei</w:t>
      </w:r>
      <w:r w:rsidRPr="001D71BB">
        <w:rPr>
          <w:b/>
          <w:sz w:val="20"/>
        </w:rPr>
        <w:softHyphen/>
        <w:t>ka</w:t>
      </w:r>
      <w:r w:rsidRPr="001D71BB">
        <w:rPr>
          <w:b/>
          <w:sz w:val="20"/>
        </w:rPr>
        <w:softHyphen/>
        <w:t>tos ug</w:t>
      </w:r>
      <w:r w:rsidRPr="001D71BB">
        <w:rPr>
          <w:b/>
          <w:sz w:val="20"/>
        </w:rPr>
        <w:softHyphen/>
        <w:t>dy</w:t>
      </w:r>
      <w:r w:rsidRPr="001D71BB">
        <w:rPr>
          <w:b/>
          <w:sz w:val="20"/>
        </w:rPr>
        <w:softHyphen/>
        <w:t>mas ir mo</w:t>
      </w:r>
      <w:r w:rsidRPr="001D71BB">
        <w:rPr>
          <w:b/>
          <w:sz w:val="20"/>
        </w:rPr>
        <w:softHyphen/>
        <w:t>ky</w:t>
      </w:r>
      <w:r w:rsidRPr="001D71BB">
        <w:rPr>
          <w:b/>
          <w:sz w:val="20"/>
        </w:rPr>
        <w:softHyphen/>
        <w:t>mas</w:t>
      </w:r>
      <w:r>
        <w:rPr>
          <w:b/>
          <w:sz w:val="20"/>
        </w:rPr>
        <w:t xml:space="preserve"> (2010 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540"/>
        <w:gridCol w:w="1668"/>
        <w:gridCol w:w="2126"/>
        <w:gridCol w:w="1843"/>
        <w:gridCol w:w="1842"/>
      </w:tblGrid>
      <w:tr w:rsidR="00995BE0" w:rsidRPr="001D71BB" w:rsidTr="004E1567">
        <w:trPr>
          <w:cantSplit/>
        </w:trPr>
        <w:tc>
          <w:tcPr>
            <w:tcW w:w="1728" w:type="dxa"/>
            <w:vMerge w:val="restart"/>
          </w:tcPr>
          <w:p w:rsidR="00995BE0" w:rsidRPr="001D71BB" w:rsidRDefault="00995BE0" w:rsidP="007E0B56">
            <w:pPr>
              <w:jc w:val="center"/>
            </w:pPr>
            <w:r w:rsidRPr="001D71BB">
              <w:rPr>
                <w:sz w:val="22"/>
              </w:rPr>
              <w:lastRenderedPageBreak/>
              <w:t>Spe</w:t>
            </w:r>
            <w:r w:rsidRPr="001D71BB">
              <w:rPr>
                <w:sz w:val="22"/>
              </w:rPr>
              <w:softHyphen/>
              <w:t>cia</w:t>
            </w:r>
            <w:r w:rsidRPr="001D71BB">
              <w:rPr>
                <w:sz w:val="22"/>
              </w:rPr>
              <w:softHyphen/>
              <w:t>lis</w:t>
            </w:r>
            <w:r w:rsidRPr="001D71BB">
              <w:rPr>
                <w:sz w:val="22"/>
              </w:rPr>
              <w:softHyphen/>
              <w:t>tai</w:t>
            </w:r>
          </w:p>
          <w:p w:rsidR="00995BE0" w:rsidRPr="001D71BB" w:rsidRDefault="00995BE0" w:rsidP="007E0B56">
            <w:pPr>
              <w:jc w:val="center"/>
            </w:pPr>
          </w:p>
        </w:tc>
        <w:tc>
          <w:tcPr>
            <w:tcW w:w="540" w:type="dxa"/>
            <w:vMerge w:val="restart"/>
          </w:tcPr>
          <w:p w:rsidR="00995BE0" w:rsidRPr="001D71BB" w:rsidRDefault="00995BE0" w:rsidP="007E0B56">
            <w:pPr>
              <w:rPr>
                <w:sz w:val="18"/>
              </w:rPr>
            </w:pPr>
            <w:r w:rsidRPr="001D71BB">
              <w:rPr>
                <w:sz w:val="18"/>
              </w:rPr>
              <w:t>Eil.</w:t>
            </w:r>
          </w:p>
          <w:p w:rsidR="00995BE0" w:rsidRPr="001D71BB" w:rsidRDefault="00995BE0" w:rsidP="007E0B56">
            <w:pPr>
              <w:rPr>
                <w:sz w:val="18"/>
              </w:rPr>
            </w:pPr>
            <w:r w:rsidRPr="001D71BB">
              <w:rPr>
                <w:sz w:val="18"/>
              </w:rPr>
              <w:t>Nr.</w:t>
            </w:r>
          </w:p>
        </w:tc>
        <w:tc>
          <w:tcPr>
            <w:tcW w:w="3794" w:type="dxa"/>
            <w:gridSpan w:val="2"/>
          </w:tcPr>
          <w:p w:rsidR="00995BE0" w:rsidRPr="001D71BB" w:rsidRDefault="00995BE0" w:rsidP="007E0B56">
            <w:pPr>
              <w:jc w:val="center"/>
              <w:rPr>
                <w:sz w:val="18"/>
              </w:rPr>
            </w:pPr>
            <w:r w:rsidRPr="001D71BB">
              <w:rPr>
                <w:sz w:val="18"/>
              </w:rPr>
              <w:t>Sveikatos edukologai, sveikatos mokymo organizatoriai, sveikatos mokytojai, valeologai</w:t>
            </w:r>
          </w:p>
        </w:tc>
        <w:tc>
          <w:tcPr>
            <w:tcW w:w="3685" w:type="dxa"/>
            <w:gridSpan w:val="2"/>
          </w:tcPr>
          <w:p w:rsidR="00995BE0" w:rsidRPr="001D71BB" w:rsidRDefault="00995BE0" w:rsidP="007E0B56">
            <w:pPr>
              <w:jc w:val="center"/>
              <w:rPr>
                <w:sz w:val="18"/>
              </w:rPr>
            </w:pPr>
            <w:r w:rsidRPr="001D71BB">
              <w:rPr>
                <w:sz w:val="18"/>
              </w:rPr>
              <w:t xml:space="preserve">Kiti specialistai </w:t>
            </w:r>
          </w:p>
        </w:tc>
      </w:tr>
      <w:tr w:rsidR="00995BE0" w:rsidRPr="001D71BB" w:rsidTr="004E1567">
        <w:trPr>
          <w:cantSplit/>
        </w:trPr>
        <w:tc>
          <w:tcPr>
            <w:tcW w:w="1728" w:type="dxa"/>
            <w:vMerge/>
          </w:tcPr>
          <w:p w:rsidR="00995BE0" w:rsidRPr="001D71BB" w:rsidRDefault="00995BE0" w:rsidP="007E0B56"/>
        </w:tc>
        <w:tc>
          <w:tcPr>
            <w:tcW w:w="540" w:type="dxa"/>
            <w:vMerge/>
          </w:tcPr>
          <w:p w:rsidR="00995BE0" w:rsidRPr="001D71BB" w:rsidRDefault="00995BE0" w:rsidP="007E0B56"/>
        </w:tc>
        <w:tc>
          <w:tcPr>
            <w:tcW w:w="1668" w:type="dxa"/>
          </w:tcPr>
          <w:p w:rsidR="00995BE0" w:rsidRPr="001D71BB" w:rsidRDefault="00995BE0" w:rsidP="007E0B56">
            <w:pPr>
              <w:jc w:val="center"/>
              <w:rPr>
                <w:sz w:val="18"/>
              </w:rPr>
            </w:pPr>
            <w:r w:rsidRPr="001D71BB">
              <w:rPr>
                <w:sz w:val="18"/>
              </w:rPr>
              <w:t>aukštasis universitetinis išsilavinimas</w:t>
            </w:r>
          </w:p>
        </w:tc>
        <w:tc>
          <w:tcPr>
            <w:tcW w:w="2126" w:type="dxa"/>
          </w:tcPr>
          <w:p w:rsidR="00995BE0" w:rsidRPr="001D71BB" w:rsidRDefault="00995BE0" w:rsidP="007E0B56">
            <w:pPr>
              <w:jc w:val="center"/>
              <w:rPr>
                <w:sz w:val="18"/>
              </w:rPr>
            </w:pPr>
            <w:r w:rsidRPr="001D71BB">
              <w:rPr>
                <w:sz w:val="18"/>
              </w:rPr>
              <w:t>aukštasis neuniversitetinis ir aukštesnysis išsilavinimas</w:t>
            </w:r>
          </w:p>
        </w:tc>
        <w:tc>
          <w:tcPr>
            <w:tcW w:w="1843" w:type="dxa"/>
          </w:tcPr>
          <w:p w:rsidR="00995BE0" w:rsidRPr="001D71BB" w:rsidRDefault="00995BE0" w:rsidP="007E0B56">
            <w:pPr>
              <w:jc w:val="center"/>
              <w:rPr>
                <w:sz w:val="18"/>
              </w:rPr>
            </w:pPr>
            <w:r w:rsidRPr="001D71BB">
              <w:rPr>
                <w:sz w:val="18"/>
              </w:rPr>
              <w:t>aukštasis universitetinis išsilavinimas</w:t>
            </w:r>
          </w:p>
        </w:tc>
        <w:tc>
          <w:tcPr>
            <w:tcW w:w="1842" w:type="dxa"/>
          </w:tcPr>
          <w:p w:rsidR="00995BE0" w:rsidRPr="001D71BB" w:rsidRDefault="00995BE0" w:rsidP="007E0B56">
            <w:pPr>
              <w:jc w:val="center"/>
              <w:rPr>
                <w:sz w:val="18"/>
              </w:rPr>
            </w:pPr>
            <w:r w:rsidRPr="001D71BB">
              <w:rPr>
                <w:sz w:val="18"/>
              </w:rPr>
              <w:t>aukštasis neuniversitetinis ir aukštesnysis išsilavinimas</w:t>
            </w:r>
          </w:p>
        </w:tc>
      </w:tr>
      <w:tr w:rsidR="00995BE0" w:rsidRPr="001D71BB" w:rsidTr="004E1567">
        <w:trPr>
          <w:cantSplit/>
          <w:trHeight w:val="165"/>
        </w:trPr>
        <w:tc>
          <w:tcPr>
            <w:tcW w:w="1728" w:type="dxa"/>
          </w:tcPr>
          <w:p w:rsidR="00995BE0" w:rsidRPr="007E0B56" w:rsidRDefault="00995BE0" w:rsidP="007E0B56">
            <w:pPr>
              <w:jc w:val="center"/>
              <w:rPr>
                <w:sz w:val="20"/>
                <w:szCs w:val="20"/>
              </w:rPr>
            </w:pPr>
            <w:r w:rsidRPr="007E0B56">
              <w:rPr>
                <w:sz w:val="20"/>
                <w:szCs w:val="20"/>
              </w:rPr>
              <w:t>A</w:t>
            </w:r>
          </w:p>
        </w:tc>
        <w:tc>
          <w:tcPr>
            <w:tcW w:w="540" w:type="dxa"/>
          </w:tcPr>
          <w:p w:rsidR="00995BE0" w:rsidRPr="007E0B56" w:rsidRDefault="00995BE0" w:rsidP="007E0B56">
            <w:pPr>
              <w:jc w:val="center"/>
              <w:rPr>
                <w:sz w:val="20"/>
                <w:szCs w:val="20"/>
              </w:rPr>
            </w:pPr>
            <w:r w:rsidRPr="007E0B56">
              <w:rPr>
                <w:sz w:val="20"/>
                <w:szCs w:val="20"/>
              </w:rPr>
              <w:t>B</w:t>
            </w:r>
          </w:p>
        </w:tc>
        <w:tc>
          <w:tcPr>
            <w:tcW w:w="1668" w:type="dxa"/>
          </w:tcPr>
          <w:p w:rsidR="00995BE0" w:rsidRPr="007E0B56" w:rsidRDefault="00995BE0" w:rsidP="007E0B56">
            <w:pPr>
              <w:jc w:val="center"/>
              <w:rPr>
                <w:sz w:val="20"/>
                <w:szCs w:val="20"/>
              </w:rPr>
            </w:pPr>
            <w:r w:rsidRPr="007E0B56">
              <w:rPr>
                <w:sz w:val="20"/>
                <w:szCs w:val="20"/>
              </w:rPr>
              <w:t>1</w:t>
            </w:r>
          </w:p>
        </w:tc>
        <w:tc>
          <w:tcPr>
            <w:tcW w:w="2126" w:type="dxa"/>
          </w:tcPr>
          <w:p w:rsidR="00995BE0" w:rsidRPr="007E0B56" w:rsidRDefault="00995BE0" w:rsidP="007E0B56">
            <w:pPr>
              <w:jc w:val="center"/>
              <w:rPr>
                <w:sz w:val="20"/>
                <w:szCs w:val="20"/>
              </w:rPr>
            </w:pPr>
            <w:r w:rsidRPr="007E0B56">
              <w:rPr>
                <w:sz w:val="20"/>
                <w:szCs w:val="20"/>
              </w:rPr>
              <w:t>2</w:t>
            </w:r>
          </w:p>
        </w:tc>
        <w:tc>
          <w:tcPr>
            <w:tcW w:w="1843" w:type="dxa"/>
          </w:tcPr>
          <w:p w:rsidR="00995BE0" w:rsidRPr="007E0B56" w:rsidRDefault="00995BE0" w:rsidP="007E0B56">
            <w:pPr>
              <w:jc w:val="center"/>
              <w:rPr>
                <w:sz w:val="20"/>
                <w:szCs w:val="20"/>
              </w:rPr>
            </w:pPr>
            <w:r w:rsidRPr="007E0B56">
              <w:rPr>
                <w:sz w:val="20"/>
                <w:szCs w:val="20"/>
              </w:rPr>
              <w:t>3</w:t>
            </w:r>
          </w:p>
        </w:tc>
        <w:tc>
          <w:tcPr>
            <w:tcW w:w="1842" w:type="dxa"/>
          </w:tcPr>
          <w:p w:rsidR="00995BE0" w:rsidRPr="007E0B56" w:rsidRDefault="00995BE0" w:rsidP="007E0B56">
            <w:pPr>
              <w:jc w:val="center"/>
              <w:rPr>
                <w:sz w:val="20"/>
                <w:szCs w:val="20"/>
              </w:rPr>
            </w:pPr>
            <w:r w:rsidRPr="007E0B56">
              <w:rPr>
                <w:sz w:val="20"/>
                <w:szCs w:val="20"/>
              </w:rPr>
              <w:t>4</w:t>
            </w:r>
          </w:p>
        </w:tc>
      </w:tr>
      <w:tr w:rsidR="00995BE0" w:rsidRPr="001D71BB" w:rsidTr="004E1567">
        <w:trPr>
          <w:cantSplit/>
        </w:trPr>
        <w:tc>
          <w:tcPr>
            <w:tcW w:w="1728" w:type="dxa"/>
          </w:tcPr>
          <w:p w:rsidR="00995BE0" w:rsidRPr="007E0B56" w:rsidRDefault="00995BE0" w:rsidP="007E0B56">
            <w:pPr>
              <w:rPr>
                <w:b/>
                <w:sz w:val="20"/>
                <w:szCs w:val="20"/>
              </w:rPr>
            </w:pPr>
            <w:r w:rsidRPr="007E0B56">
              <w:rPr>
                <w:sz w:val="20"/>
                <w:szCs w:val="20"/>
              </w:rPr>
              <w:t>Eta</w:t>
            </w:r>
            <w:r w:rsidRPr="007E0B56">
              <w:rPr>
                <w:sz w:val="20"/>
                <w:szCs w:val="20"/>
              </w:rPr>
              <w:softHyphen/>
              <w:t>tai</w:t>
            </w:r>
          </w:p>
        </w:tc>
        <w:tc>
          <w:tcPr>
            <w:tcW w:w="540" w:type="dxa"/>
          </w:tcPr>
          <w:p w:rsidR="00995BE0" w:rsidRPr="007E0B56" w:rsidRDefault="00995BE0" w:rsidP="007E0B56">
            <w:pPr>
              <w:jc w:val="center"/>
              <w:rPr>
                <w:sz w:val="20"/>
                <w:szCs w:val="20"/>
              </w:rPr>
            </w:pPr>
            <w:r w:rsidRPr="007E0B56">
              <w:rPr>
                <w:sz w:val="20"/>
                <w:szCs w:val="20"/>
              </w:rPr>
              <w:t>1</w:t>
            </w:r>
          </w:p>
        </w:tc>
        <w:tc>
          <w:tcPr>
            <w:tcW w:w="1668" w:type="dxa"/>
          </w:tcPr>
          <w:p w:rsidR="00995BE0" w:rsidRPr="007E0B56" w:rsidRDefault="00995BE0" w:rsidP="007E0B56">
            <w:pPr>
              <w:jc w:val="center"/>
              <w:rPr>
                <w:b/>
                <w:sz w:val="20"/>
                <w:szCs w:val="20"/>
              </w:rPr>
            </w:pPr>
          </w:p>
        </w:tc>
        <w:tc>
          <w:tcPr>
            <w:tcW w:w="2126" w:type="dxa"/>
          </w:tcPr>
          <w:p w:rsidR="00995BE0" w:rsidRPr="007E0B56" w:rsidRDefault="00995BE0" w:rsidP="007E0B56">
            <w:pPr>
              <w:jc w:val="center"/>
              <w:rPr>
                <w:b/>
                <w:sz w:val="20"/>
                <w:szCs w:val="20"/>
              </w:rPr>
            </w:pPr>
          </w:p>
        </w:tc>
        <w:tc>
          <w:tcPr>
            <w:tcW w:w="1843" w:type="dxa"/>
          </w:tcPr>
          <w:p w:rsidR="00995BE0" w:rsidRPr="002710D8" w:rsidRDefault="00995BE0" w:rsidP="00C73970">
            <w:pPr>
              <w:jc w:val="center"/>
              <w:rPr>
                <w:b/>
                <w:sz w:val="20"/>
                <w:szCs w:val="20"/>
              </w:rPr>
            </w:pPr>
            <w:r w:rsidRPr="002710D8">
              <w:rPr>
                <w:b/>
                <w:sz w:val="20"/>
                <w:szCs w:val="20"/>
              </w:rPr>
              <w:t>12,75</w:t>
            </w:r>
          </w:p>
        </w:tc>
        <w:tc>
          <w:tcPr>
            <w:tcW w:w="1842" w:type="dxa"/>
          </w:tcPr>
          <w:p w:rsidR="00995BE0" w:rsidRPr="002710D8" w:rsidRDefault="00995BE0" w:rsidP="00C73970">
            <w:pPr>
              <w:jc w:val="center"/>
              <w:rPr>
                <w:b/>
                <w:sz w:val="20"/>
                <w:szCs w:val="20"/>
              </w:rPr>
            </w:pPr>
            <w:r w:rsidRPr="002710D8">
              <w:rPr>
                <w:b/>
                <w:sz w:val="20"/>
                <w:szCs w:val="20"/>
              </w:rPr>
              <w:t>17</w:t>
            </w:r>
          </w:p>
        </w:tc>
      </w:tr>
      <w:tr w:rsidR="00995BE0" w:rsidRPr="001D71BB" w:rsidTr="004E1567">
        <w:trPr>
          <w:cantSplit/>
        </w:trPr>
        <w:tc>
          <w:tcPr>
            <w:tcW w:w="1728" w:type="dxa"/>
          </w:tcPr>
          <w:p w:rsidR="00995BE0" w:rsidRPr="007E0B56" w:rsidRDefault="00995BE0" w:rsidP="007E0B56">
            <w:pPr>
              <w:rPr>
                <w:b/>
                <w:sz w:val="20"/>
                <w:szCs w:val="20"/>
              </w:rPr>
            </w:pPr>
            <w:r w:rsidRPr="007E0B56">
              <w:rPr>
                <w:sz w:val="20"/>
                <w:szCs w:val="20"/>
              </w:rPr>
              <w:t>Fi</w:t>
            </w:r>
            <w:r w:rsidRPr="007E0B56">
              <w:rPr>
                <w:sz w:val="20"/>
                <w:szCs w:val="20"/>
              </w:rPr>
              <w:softHyphen/>
              <w:t>zi</w:t>
            </w:r>
            <w:r w:rsidRPr="007E0B56">
              <w:rPr>
                <w:sz w:val="20"/>
                <w:szCs w:val="20"/>
              </w:rPr>
              <w:softHyphen/>
              <w:t>niai as</w:t>
            </w:r>
            <w:r w:rsidRPr="007E0B56">
              <w:rPr>
                <w:sz w:val="20"/>
                <w:szCs w:val="20"/>
              </w:rPr>
              <w:softHyphen/>
              <w:t>me</w:t>
            </w:r>
            <w:r w:rsidRPr="007E0B56">
              <w:rPr>
                <w:sz w:val="20"/>
                <w:szCs w:val="20"/>
              </w:rPr>
              <w:softHyphen/>
              <w:t>nys</w:t>
            </w:r>
          </w:p>
        </w:tc>
        <w:tc>
          <w:tcPr>
            <w:tcW w:w="540" w:type="dxa"/>
          </w:tcPr>
          <w:p w:rsidR="00995BE0" w:rsidRPr="007E0B56" w:rsidRDefault="00995BE0" w:rsidP="007E0B56">
            <w:pPr>
              <w:jc w:val="center"/>
              <w:rPr>
                <w:sz w:val="20"/>
                <w:szCs w:val="20"/>
              </w:rPr>
            </w:pPr>
            <w:r w:rsidRPr="007E0B56">
              <w:rPr>
                <w:sz w:val="20"/>
                <w:szCs w:val="20"/>
              </w:rPr>
              <w:t>2</w:t>
            </w:r>
          </w:p>
        </w:tc>
        <w:tc>
          <w:tcPr>
            <w:tcW w:w="1668" w:type="dxa"/>
          </w:tcPr>
          <w:p w:rsidR="00995BE0" w:rsidRPr="007E0B56" w:rsidRDefault="00995BE0" w:rsidP="007E0B56">
            <w:pPr>
              <w:jc w:val="center"/>
              <w:rPr>
                <w:b/>
                <w:sz w:val="20"/>
                <w:szCs w:val="20"/>
              </w:rPr>
            </w:pPr>
          </w:p>
        </w:tc>
        <w:tc>
          <w:tcPr>
            <w:tcW w:w="2126" w:type="dxa"/>
          </w:tcPr>
          <w:p w:rsidR="00995BE0" w:rsidRPr="007E0B56" w:rsidRDefault="00995BE0" w:rsidP="007E0B56">
            <w:pPr>
              <w:jc w:val="center"/>
              <w:rPr>
                <w:b/>
                <w:sz w:val="20"/>
                <w:szCs w:val="20"/>
              </w:rPr>
            </w:pPr>
          </w:p>
        </w:tc>
        <w:tc>
          <w:tcPr>
            <w:tcW w:w="1843" w:type="dxa"/>
          </w:tcPr>
          <w:p w:rsidR="00995BE0" w:rsidRPr="002710D8" w:rsidRDefault="00995BE0" w:rsidP="00C73970">
            <w:pPr>
              <w:jc w:val="center"/>
              <w:rPr>
                <w:b/>
                <w:sz w:val="20"/>
                <w:szCs w:val="20"/>
              </w:rPr>
            </w:pPr>
            <w:r w:rsidRPr="002710D8">
              <w:rPr>
                <w:b/>
                <w:sz w:val="20"/>
                <w:szCs w:val="20"/>
              </w:rPr>
              <w:t>14</w:t>
            </w:r>
          </w:p>
        </w:tc>
        <w:tc>
          <w:tcPr>
            <w:tcW w:w="1842" w:type="dxa"/>
          </w:tcPr>
          <w:p w:rsidR="00995BE0" w:rsidRPr="002710D8" w:rsidRDefault="00995BE0" w:rsidP="00C73970">
            <w:pPr>
              <w:jc w:val="center"/>
              <w:rPr>
                <w:b/>
                <w:sz w:val="20"/>
                <w:szCs w:val="20"/>
              </w:rPr>
            </w:pPr>
            <w:r w:rsidRPr="002710D8">
              <w:rPr>
                <w:b/>
                <w:sz w:val="20"/>
                <w:szCs w:val="20"/>
              </w:rPr>
              <w:t>18</w:t>
            </w:r>
          </w:p>
        </w:tc>
      </w:tr>
    </w:tbl>
    <w:p w:rsidR="00995BE0" w:rsidRPr="001D71BB" w:rsidRDefault="00995BE0" w:rsidP="003E7B9F">
      <w:pPr>
        <w:ind w:left="-142"/>
        <w:jc w:val="center"/>
        <w:rPr>
          <w:sz w:val="20"/>
        </w:rPr>
      </w:pPr>
      <w:r>
        <w:rPr>
          <w:sz w:val="20"/>
        </w:rPr>
        <w:t>Sudaryta autoriaus, remiantis šaltiniu: sveikatos ugdymo ir mokymo ataskaita Nr. 41-1 sveikata, patvirtinta Lietuvos Respublikos sveikatos apsaugos ministro 2005 m. vasario 11 d. Nr. V-111</w:t>
      </w:r>
    </w:p>
    <w:p w:rsidR="00995BE0" w:rsidRPr="001D71BB" w:rsidRDefault="00995BE0" w:rsidP="00A3155B">
      <w:pPr>
        <w:spacing w:line="360" w:lineRule="auto"/>
        <w:jc w:val="both"/>
      </w:pPr>
    </w:p>
    <w:p w:rsidR="00995BE0" w:rsidRDefault="00995BE0" w:rsidP="00B64424">
      <w:pPr>
        <w:spacing w:line="360" w:lineRule="auto"/>
        <w:ind w:firstLine="567"/>
        <w:jc w:val="both"/>
        <w:rPr>
          <w:b/>
        </w:rPr>
      </w:pPr>
    </w:p>
    <w:p w:rsidR="00995BE0" w:rsidRDefault="00995BE0" w:rsidP="00B64424">
      <w:pPr>
        <w:spacing w:line="360" w:lineRule="auto"/>
        <w:ind w:firstLine="567"/>
        <w:jc w:val="both"/>
        <w:rPr>
          <w:b/>
        </w:rPr>
      </w:pPr>
    </w:p>
    <w:p w:rsidR="00995BE0" w:rsidRPr="001D71BB" w:rsidRDefault="00995BE0" w:rsidP="00B64424">
      <w:pPr>
        <w:spacing w:line="360" w:lineRule="auto"/>
        <w:ind w:firstLine="567"/>
        <w:jc w:val="both"/>
        <w:rPr>
          <w:b/>
        </w:rPr>
      </w:pPr>
      <w:r w:rsidRPr="001D71BB">
        <w:rPr>
          <w:b/>
        </w:rPr>
        <w:t>2.4 Planavimo sistema</w:t>
      </w:r>
    </w:p>
    <w:p w:rsidR="00995BE0" w:rsidRPr="001D71BB" w:rsidRDefault="00995BE0" w:rsidP="00C54866">
      <w:pPr>
        <w:spacing w:line="360" w:lineRule="auto"/>
        <w:ind w:firstLine="600"/>
        <w:jc w:val="both"/>
      </w:pPr>
      <w:r w:rsidRPr="001D71BB">
        <w:t>Biuro veikla organizuojama vadovaujantis biuro veiklos planu, kuris rengiamas atsižvelgiant į Šiaulių miesto visuomenės sveikatos biuro 2007-2013 m. strategiją, Lietuvos nacionalinę visuomenės sveikatos priežiūros 2006 – 2013 m. strategiją, strateginio planavimo metodiką, 2007-2010 m. Šiaulių miesto visuomenės sveikatos stebėsenos programą, Lietuvos sveikatos programą 1997 – 2010 m., valstybės prioritetus.</w:t>
      </w:r>
    </w:p>
    <w:p w:rsidR="00995BE0" w:rsidRPr="001D71BB" w:rsidRDefault="00995BE0" w:rsidP="00B64424">
      <w:pPr>
        <w:spacing w:line="360" w:lineRule="auto"/>
        <w:ind w:firstLine="567"/>
        <w:jc w:val="both"/>
        <w:rPr>
          <w:b/>
        </w:rPr>
      </w:pPr>
      <w:r w:rsidRPr="001D71BB">
        <w:rPr>
          <w:b/>
        </w:rPr>
        <w:t>2.5 Finansiniai ištekliai</w:t>
      </w:r>
    </w:p>
    <w:p w:rsidR="00995BE0" w:rsidRPr="001D71BB" w:rsidRDefault="00995BE0" w:rsidP="00C54866">
      <w:pPr>
        <w:spacing w:line="360" w:lineRule="auto"/>
        <w:ind w:firstLine="600"/>
        <w:jc w:val="both"/>
      </w:pPr>
      <w:r w:rsidRPr="001D71BB">
        <w:t>Šiaulių miesto savivaldybės visuomenės sveikatos biuras yra Lietuvos nacionalinės sveikatos sistemos iš savivaldybės biudžeto iš dalies išlaikoma biudžetinė įstaiga. Biuro darbuotojai finansuojami</w:t>
      </w:r>
      <w:r>
        <w:t xml:space="preserve"> (iki 2011 m.)</w:t>
      </w:r>
      <w:r w:rsidRPr="001D71BB">
        <w:t>:</w:t>
      </w:r>
    </w:p>
    <w:p w:rsidR="00995BE0" w:rsidRPr="001D71BB" w:rsidRDefault="00995BE0" w:rsidP="00A3155B">
      <w:pPr>
        <w:spacing w:line="360" w:lineRule="auto"/>
        <w:jc w:val="both"/>
      </w:pPr>
      <w:r w:rsidRPr="001D71BB">
        <w:t xml:space="preserve"> 1/3 lėšų iš Šiaulių miesto savivaldybės;</w:t>
      </w:r>
    </w:p>
    <w:p w:rsidR="00995BE0" w:rsidRDefault="00995BE0" w:rsidP="00855F49">
      <w:pPr>
        <w:spacing w:line="360" w:lineRule="auto"/>
        <w:jc w:val="both"/>
      </w:pPr>
      <w:r w:rsidRPr="00855F49">
        <w:t>2/3 lėšų iš SAM.</w:t>
      </w:r>
    </w:p>
    <w:p w:rsidR="00995BE0" w:rsidRPr="00855F49" w:rsidRDefault="00995BE0" w:rsidP="00855F49">
      <w:pPr>
        <w:spacing w:line="360" w:lineRule="auto"/>
        <w:jc w:val="both"/>
      </w:pPr>
      <w:r>
        <w:t>Nuo 2011 m. biuro darbuotojus išlaiko miesto savivaldybė, SAM skiria lėšas tik veiklai.</w:t>
      </w:r>
    </w:p>
    <w:p w:rsidR="00995BE0" w:rsidRPr="00855F49" w:rsidRDefault="00995BE0" w:rsidP="00855F49">
      <w:pPr>
        <w:spacing w:line="360" w:lineRule="auto"/>
        <w:ind w:firstLine="567"/>
        <w:jc w:val="both"/>
      </w:pPr>
      <w:r w:rsidRPr="00855F49">
        <w:t>Pagal Sveikatos priežiūros mokyklose finansavimo tvarką, PSDF biudžeto ir savivaldybės skirtomis lėšomis finansuojamos visuomenės sveikatos priežiūros specialistų darbo užmokesčio ir veiklos išlaidos sveikatos priežiūrai mokyklose organizuoti ir vykdyti. Kadangi šioje tvarkoje nereglamentuojama, kokį visos sumos procentą gali sudaryti medikamentams (tvarsliavai) bei kitai veiklai skiriamos lėšos, šios sumos savivaldybėse yra labai skirtingos (2007</w:t>
      </w:r>
      <w:r>
        <w:t>)</w:t>
      </w:r>
      <w:r w:rsidRPr="00855F49">
        <w:t>.</w:t>
      </w:r>
    </w:p>
    <w:p w:rsidR="00995BE0" w:rsidRPr="001D71BB" w:rsidRDefault="00995BE0" w:rsidP="00A3155B">
      <w:pPr>
        <w:spacing w:line="360" w:lineRule="auto"/>
        <w:jc w:val="both"/>
      </w:pPr>
      <w:r w:rsidRPr="001D71BB">
        <w:t>Šiaulių miesto savivaldybės visuomenės sveikatos specialistai, dirbantys mokyklose finansuojami:</w:t>
      </w:r>
    </w:p>
    <w:p w:rsidR="00995BE0" w:rsidRPr="001D71BB" w:rsidRDefault="00995BE0" w:rsidP="00A3155B">
      <w:pPr>
        <w:spacing w:line="360" w:lineRule="auto"/>
        <w:jc w:val="both"/>
      </w:pPr>
      <w:r w:rsidRPr="001D71BB">
        <w:t>1/3 lėšų iš Šiaulių miesto savivaldybės;</w:t>
      </w:r>
    </w:p>
    <w:p w:rsidR="00995BE0" w:rsidRPr="001D71BB" w:rsidRDefault="00995BE0" w:rsidP="00A3155B">
      <w:pPr>
        <w:spacing w:line="360" w:lineRule="auto"/>
        <w:jc w:val="both"/>
      </w:pPr>
      <w:r w:rsidRPr="001D71BB">
        <w:t>2/3 lėšų iš PSDF.</w:t>
      </w:r>
    </w:p>
    <w:p w:rsidR="00995BE0" w:rsidRPr="001D71BB" w:rsidRDefault="00995BE0" w:rsidP="00B64424">
      <w:pPr>
        <w:spacing w:line="360" w:lineRule="auto"/>
        <w:ind w:firstLine="567"/>
        <w:jc w:val="both"/>
        <w:rPr>
          <w:b/>
        </w:rPr>
      </w:pPr>
      <w:r w:rsidRPr="001D71BB">
        <w:rPr>
          <w:b/>
        </w:rPr>
        <w:t>2.6 Apskaitos tinkamumas</w:t>
      </w:r>
    </w:p>
    <w:p w:rsidR="00995BE0" w:rsidRPr="001D71BB" w:rsidRDefault="00995BE0" w:rsidP="00B64424">
      <w:pPr>
        <w:spacing w:line="360" w:lineRule="auto"/>
        <w:ind w:firstLine="567"/>
        <w:jc w:val="both"/>
      </w:pPr>
      <w:r w:rsidRPr="001D71BB">
        <w:t>Biure apskaita organizuojama vadovaujantis Lietuvos Respublikos buhalterinės apskaitos įstatymu, biudžetinių įstaigų buhalterinėmis apskaitos organizavimo taisyklėmis, nuo 2010 m. sausio 1 d. VSAFAS (Viešojo sektoriaus apskaitos ir finansinės atskaitomybės standartai) apskaitos standartais. Biure naudojama programa DEBETAS – darbo užmokesčio ir turto apskaitos sistema.</w:t>
      </w:r>
    </w:p>
    <w:p w:rsidR="00995BE0" w:rsidRPr="001D71BB" w:rsidRDefault="00995BE0" w:rsidP="00B64424">
      <w:pPr>
        <w:spacing w:line="360" w:lineRule="auto"/>
        <w:ind w:firstLine="567"/>
        <w:rPr>
          <w:b/>
        </w:rPr>
      </w:pPr>
      <w:r w:rsidRPr="001D71BB">
        <w:rPr>
          <w:b/>
        </w:rPr>
        <w:lastRenderedPageBreak/>
        <w:t>2.7 Ryšių sistema</w:t>
      </w:r>
    </w:p>
    <w:p w:rsidR="00995BE0" w:rsidRPr="001D71BB" w:rsidRDefault="00995BE0" w:rsidP="00B64424">
      <w:pPr>
        <w:spacing w:line="360" w:lineRule="auto"/>
        <w:ind w:firstLine="567"/>
        <w:jc w:val="both"/>
      </w:pPr>
      <w:r w:rsidRPr="001D71BB">
        <w:t>Biuro veikloje naudojamos fiksuotojo, faksimilinio, mobiliojo ir internetinio ryšio sistemos. Įdiegti vidiniai kompiuterių tinklai, darbuotojams sudarytos galimybės naudotis internetu, elektroniniu paštu. Stebėsenos ir programų skyrius turi įsigijęs SPSS 17.0 for Windows programinę įrangą, todėl sudarytos sąlygos vykdyti socialinius tyrimus. Įgalioti darbuotojai naudojasi higienos instituto sveikatos informacijos centro duomenų baze.</w:t>
      </w:r>
    </w:p>
    <w:p w:rsidR="00995BE0" w:rsidRPr="001D71BB" w:rsidRDefault="00995BE0" w:rsidP="00B64424">
      <w:pPr>
        <w:spacing w:line="360" w:lineRule="auto"/>
        <w:ind w:firstLine="567"/>
        <w:rPr>
          <w:b/>
        </w:rPr>
      </w:pPr>
      <w:r w:rsidRPr="001D71BB">
        <w:rPr>
          <w:b/>
        </w:rPr>
        <w:t>2.8 Vidaus kontrolės sistema</w:t>
      </w:r>
    </w:p>
    <w:p w:rsidR="00995BE0" w:rsidRDefault="00995BE0" w:rsidP="00B64424">
      <w:pPr>
        <w:spacing w:line="360" w:lineRule="auto"/>
        <w:ind w:firstLine="567"/>
        <w:jc w:val="both"/>
      </w:pPr>
      <w:r w:rsidRPr="001D71BB">
        <w:t>Biuro veiklos valstybinę kontrolę atlieka steigėjas, Sveikatos priežiūros įstaigų ir kituose įstatymuose nurodytos institucijos. Biuro finansinės veiklos kontrolė atliekama įstatymų ir kitų teisės aktų nustatyta tvarka. Biuro administracija privalo pateikti steigėjui, valstybės kontrolės institucijoms jų reikalaujamus, su Biuro veikla susijusius dokumentus.</w:t>
      </w:r>
    </w:p>
    <w:p w:rsidR="00995BE0" w:rsidRPr="001D71BB" w:rsidRDefault="00995BE0" w:rsidP="001448D9">
      <w:pPr>
        <w:pStyle w:val="Antrat3"/>
      </w:pPr>
      <w:bookmarkStart w:id="54" w:name="_Toc285660858"/>
      <w:bookmarkStart w:id="55" w:name="_Toc293248633"/>
      <w:r>
        <w:t>2.2.4</w:t>
      </w:r>
      <w:r w:rsidRPr="001D71BB">
        <w:t xml:space="preserve"> Šiaulių visuomenės sveikatos biuro SSGG analizė</w:t>
      </w:r>
      <w:bookmarkEnd w:id="54"/>
      <w:bookmarkEnd w:id="55"/>
    </w:p>
    <w:p w:rsidR="00995BE0" w:rsidRPr="001D71BB" w:rsidRDefault="00995BE0" w:rsidP="00A3155B">
      <w:pPr>
        <w:tabs>
          <w:tab w:val="left" w:pos="900"/>
          <w:tab w:val="left" w:pos="1260"/>
        </w:tabs>
        <w:spacing w:line="360" w:lineRule="auto"/>
        <w:jc w:val="center"/>
      </w:pPr>
    </w:p>
    <w:p w:rsidR="00995BE0" w:rsidRPr="001D71BB" w:rsidRDefault="00995BE0" w:rsidP="003E7B9F">
      <w:pPr>
        <w:tabs>
          <w:tab w:val="left" w:pos="900"/>
          <w:tab w:val="left" w:pos="1260"/>
        </w:tabs>
        <w:spacing w:line="360" w:lineRule="auto"/>
        <w:jc w:val="center"/>
        <w:rPr>
          <w:b/>
        </w:rPr>
      </w:pPr>
      <w:r w:rsidRPr="001D71BB">
        <w:rPr>
          <w:b/>
        </w:rPr>
        <w:t>STIPRYBĖS</w:t>
      </w:r>
    </w:p>
    <w:p w:rsidR="00995BE0" w:rsidRPr="001D71BB" w:rsidRDefault="00995BE0" w:rsidP="00A3155B">
      <w:pPr>
        <w:pStyle w:val="Pagrindinistekstas"/>
        <w:spacing w:after="0" w:line="360" w:lineRule="auto"/>
        <w:ind w:firstLine="567"/>
        <w:jc w:val="both"/>
        <w:rPr>
          <w:lang w:val="lt-LT"/>
        </w:rPr>
      </w:pPr>
      <w:r w:rsidRPr="001D71BB">
        <w:rPr>
          <w:b/>
          <w:i/>
          <w:u w:val="single"/>
          <w:lang w:val="lt-LT"/>
        </w:rPr>
        <w:t>Įdiegtos šiuolaikinės technologijos</w:t>
      </w:r>
      <w:r w:rsidRPr="001D71BB">
        <w:rPr>
          <w:lang w:val="lt-LT"/>
        </w:rPr>
        <w:t xml:space="preserve"> leidžia efektyviau bendrauti, greičiau gauti, skleisti, keistis reikalinga informacija. Informacinės technologijos labai padeda vaikų ir jaunimo skyriui kada reikia susisiekti su visomis mokyklų visuomenės sveikatos priežiūros specialistėmis, perduoti joms reikalingą informaciją. </w:t>
      </w:r>
    </w:p>
    <w:p w:rsidR="00995BE0" w:rsidRPr="001D71BB" w:rsidRDefault="00995BE0" w:rsidP="00A3155B">
      <w:pPr>
        <w:pStyle w:val="Pagrindinistekstas"/>
        <w:spacing w:after="0" w:line="360" w:lineRule="auto"/>
        <w:ind w:firstLine="567"/>
        <w:jc w:val="both"/>
        <w:rPr>
          <w:lang w:val="lt-LT"/>
        </w:rPr>
      </w:pPr>
      <w:r w:rsidRPr="001D71BB">
        <w:rPr>
          <w:lang w:val="lt-LT"/>
        </w:rPr>
        <w:t>Sukurto įstaigos internetinio puslapio dėka visuomenė gali artimiau susipažinti su visuomenės sveikatos biuro vykdoma ir būsima veikla, funkcijomis</w:t>
      </w:r>
      <w:r>
        <w:rPr>
          <w:lang w:val="lt-LT"/>
        </w:rPr>
        <w:t xml:space="preserve">, rengiamomis akcijomis ir visa kita svarbia informacija. </w:t>
      </w:r>
      <w:r w:rsidRPr="001D71BB">
        <w:rPr>
          <w:lang w:val="lt-LT"/>
        </w:rPr>
        <w:t xml:space="preserve">Įsigyta multimedijos įranga leidžia kokybiškai ir vaizdžiai dėstyti paskaitas, privalomuosius higieninius mokymus.  </w:t>
      </w:r>
    </w:p>
    <w:p w:rsidR="00995BE0" w:rsidRPr="001D71BB" w:rsidRDefault="00995BE0" w:rsidP="00A3155B">
      <w:pPr>
        <w:pStyle w:val="Pagrindinistekstas"/>
        <w:spacing w:after="0" w:line="360" w:lineRule="auto"/>
        <w:ind w:firstLine="567"/>
        <w:jc w:val="both"/>
        <w:rPr>
          <w:lang w:val="lt-LT"/>
        </w:rPr>
      </w:pPr>
      <w:r w:rsidRPr="001D71BB">
        <w:rPr>
          <w:b/>
          <w:i/>
          <w:u w:val="single"/>
          <w:lang w:val="lt-LT"/>
        </w:rPr>
        <w:t>Atliekami Šiaulių miesto gyventojų ir mokinių gyvensenos tyrimai, kurių metu išryškėja sveikatos būklė.</w:t>
      </w:r>
      <w:r w:rsidRPr="001D71BB">
        <w:rPr>
          <w:i/>
          <w:lang w:val="lt-LT"/>
        </w:rPr>
        <w:t xml:space="preserve"> </w:t>
      </w:r>
      <w:r w:rsidRPr="001D71BB">
        <w:rPr>
          <w:lang w:val="lt-LT"/>
        </w:rPr>
        <w:t>Būtina paminėti</w:t>
      </w:r>
      <w:r>
        <w:rPr>
          <w:lang w:val="lt-LT"/>
        </w:rPr>
        <w:t>,</w:t>
      </w:r>
      <w:r w:rsidRPr="001D71BB">
        <w:rPr>
          <w:lang w:val="lt-LT"/>
        </w:rPr>
        <w:t xml:space="preserve"> kad Šiaulių miesto savivaldybės visuomenės sveikatos biuras bendradarbiauja su </w:t>
      </w:r>
      <w:r>
        <w:rPr>
          <w:lang w:val="lt-LT"/>
        </w:rPr>
        <w:t xml:space="preserve">Lietuvos sveikatos mokslų universitetu (buvusiu </w:t>
      </w:r>
      <w:r>
        <w:rPr>
          <w:bCs/>
          <w:lang w:val="lt-LT"/>
        </w:rPr>
        <w:t>Kauno medicinos universitetu)</w:t>
      </w:r>
      <w:r w:rsidRPr="001D71BB">
        <w:rPr>
          <w:bCs/>
          <w:lang w:val="lt-LT"/>
        </w:rPr>
        <w:t xml:space="preserve"> ir </w:t>
      </w:r>
      <w:r w:rsidRPr="001D71BB">
        <w:rPr>
          <w:lang w:val="lt-LT"/>
        </w:rPr>
        <w:t xml:space="preserve">dalyvauja vykdant tarptautinį </w:t>
      </w:r>
      <w:r w:rsidRPr="001D71BB">
        <w:rPr>
          <w:bCs/>
          <w:lang w:val="lt-LT"/>
        </w:rPr>
        <w:t>,,Mokyklinio amžiaus vaikų gyvensena ir sveikata</w:t>
      </w:r>
      <w:r w:rsidRPr="001D71BB">
        <w:rPr>
          <w:lang w:val="lt-LT"/>
        </w:rPr>
        <w:t xml:space="preserve">“ tyrimą Šiauliuose. </w:t>
      </w:r>
      <w:r>
        <w:rPr>
          <w:lang w:val="lt-LT"/>
        </w:rPr>
        <w:t xml:space="preserve">Šis tyrimas jau buvo organizuotas 2 kartus (2008 m. ir 2010 m.). Taip pat Šiauliuose vykdomas suaugusių žmonių gyvensenos tyrimas. Pirmasis toks buvo vykdomas 2008 m., kitas organizuojamas 2011 m. </w:t>
      </w:r>
      <w:r w:rsidRPr="001D71BB">
        <w:rPr>
          <w:lang w:val="lt-LT"/>
        </w:rPr>
        <w:t xml:space="preserve">Pagrindinis tikslas – ištirti Šiaulių miesto </w:t>
      </w:r>
      <w:r>
        <w:rPr>
          <w:lang w:val="lt-LT"/>
        </w:rPr>
        <w:t xml:space="preserve">suaugusių ir </w:t>
      </w:r>
      <w:r w:rsidRPr="001D71BB">
        <w:rPr>
          <w:lang w:val="lt-LT"/>
        </w:rPr>
        <w:t>mokinių gyvensenos ypatumus bei gyvenseną veikiančius veiksnius. Vykdyti pokyčių stebėseną. Be to, gyvensenos stebėsena yra viena iš Šiaulių miesto savivaldybės tarybos 2007 m. gegužės 24 d. sprendimu Nr. T-194 patvirtintą Šiaulių miesto savivaldybės administracijos direktoriaus 2007 m. birželio 22 d. įsakymu Nr. A-831 patvirtintą 2007-2010 metų Šiaulių miesto visuomenės sveikatos stebėsenos programos įgyvendinimo 2007-2008 metų plano priemonių.</w:t>
      </w:r>
      <w:r>
        <w:rPr>
          <w:lang w:val="lt-LT"/>
        </w:rPr>
        <w:t xml:space="preserve"> Kadangi mokinių </w:t>
      </w:r>
      <w:r>
        <w:rPr>
          <w:lang w:val="lt-LT"/>
        </w:rPr>
        <w:lastRenderedPageBreak/>
        <w:t>gyvensenos tyrimas yra tarptautinis, jis vykdomas daugelyje pasaulio šalių, todėl yra puiki galimybė palyginti rezultatus su kitomis šalimis.</w:t>
      </w:r>
    </w:p>
    <w:p w:rsidR="00995BE0" w:rsidRPr="001D71BB" w:rsidRDefault="00995BE0" w:rsidP="00A3155B">
      <w:pPr>
        <w:pStyle w:val="Pagrindinistekstas"/>
        <w:spacing w:after="0" w:line="360" w:lineRule="auto"/>
        <w:ind w:firstLine="567"/>
        <w:jc w:val="both"/>
        <w:rPr>
          <w:lang w:val="lt-LT"/>
        </w:rPr>
      </w:pPr>
      <w:r w:rsidRPr="001D71BB">
        <w:rPr>
          <w:lang w:val="lt-LT"/>
        </w:rPr>
        <w:t>2009 m. vasario – kovo mėnesiais vykdytas „Mokinių mitybos organizavimo mokyklose“ tyrimas, tyrimas taip pat derintas su KMU. Šio tyrimo metu įvertinti Šiaulių miesto ir apskrities mokyklų vyresniųjų klasių mokinių mitybos įpročiai ir maitinimo kokybė.</w:t>
      </w:r>
    </w:p>
    <w:p w:rsidR="00995BE0" w:rsidRPr="001D71BB" w:rsidRDefault="00995BE0" w:rsidP="00A3155B">
      <w:pPr>
        <w:tabs>
          <w:tab w:val="left" w:pos="426"/>
        </w:tabs>
        <w:spacing w:line="360" w:lineRule="auto"/>
        <w:ind w:right="-63" w:firstLine="489"/>
        <w:jc w:val="both"/>
      </w:pPr>
      <w:r w:rsidRPr="001D71BB">
        <w:t xml:space="preserve">2010 m. visuomenės sveikatos biuras įsijungė į naujo tyrimo „Lietuvos vaikų augimo/nutukimo stebėsena“ organizavimą Šiaulių mieste. KMU Profilaktinės medicinos katedros mokslininkai šį naują PSO Europos biuro inicijuotą projektą 2007/2008 m. Planuojamas tęstinis tyrimas, po dviejų metų pakartotinai atliekant tirtųjų vaikų antropometrinius matavimus pasirinktose mokyklose. Toks tyrimas taptų realia prielaida sukurti ir įdiegti vaikų nutukimo stebėsenos sistemą Lietuvoje. </w:t>
      </w:r>
    </w:p>
    <w:p w:rsidR="00995BE0" w:rsidRPr="005D6747" w:rsidRDefault="00995BE0" w:rsidP="00A3155B">
      <w:pPr>
        <w:spacing w:line="360" w:lineRule="auto"/>
        <w:ind w:firstLine="720"/>
        <w:jc w:val="both"/>
      </w:pPr>
      <w:r w:rsidRPr="005D6747">
        <w:t xml:space="preserve">2010 metų lapkričio mėnesį Šiaulių miesto savivaldybėje bendradarbiaujant su Higienos institutu, buvo vykdomas mokinių vykimo į mokyklą ir grįžimo iš jos saugos tyrimas. Šio tyrimo tikslas – įvertinti mokinių saugaus atvykimo/išvykimo į/iš mokyklos galimybes mokyklos aplinkos aspektu. </w:t>
      </w:r>
    </w:p>
    <w:p w:rsidR="00995BE0" w:rsidRPr="001D71BB" w:rsidRDefault="00995BE0" w:rsidP="00A3155B">
      <w:pPr>
        <w:spacing w:line="360" w:lineRule="auto"/>
        <w:ind w:firstLine="720"/>
        <w:jc w:val="both"/>
      </w:pPr>
      <w:r w:rsidRPr="001D71BB">
        <w:t>Gavus tyrimo duomenis, bus galima išryškinti Šiaulių miesto gyventojų gyvensenos ypatumus, atkreipti Šiaulių miesto politikų, asmens ir sveikatos priežiūros įstaigų, nevyriausybinių organizacijų ir visų, siekiančių sveikatinti Šiaulių miesto gyventojų bendruomenės gyvensenos ypatumus, problemas, remtis tyrimo rezultatais, taikant, diegiant, siūlant priemones sveikatos stiprinimo ir ugdymo programoms įgyvendinant.</w:t>
      </w:r>
    </w:p>
    <w:p w:rsidR="00995BE0" w:rsidRPr="00424E7E" w:rsidRDefault="00995BE0" w:rsidP="00A3155B">
      <w:pPr>
        <w:pStyle w:val="Pagrindinistekstas"/>
        <w:spacing w:after="0" w:line="360" w:lineRule="auto"/>
        <w:ind w:firstLine="567"/>
        <w:jc w:val="both"/>
        <w:rPr>
          <w:lang w:val="lt-LT"/>
        </w:rPr>
      </w:pPr>
      <w:r w:rsidRPr="00424E7E">
        <w:rPr>
          <w:b/>
          <w:i/>
          <w:u w:val="single"/>
          <w:lang w:val="lt-LT"/>
        </w:rPr>
        <w:t>Platus bendradarbiavimo su kitomis institucijomis spektras</w:t>
      </w:r>
      <w:r w:rsidRPr="00424E7E">
        <w:rPr>
          <w:lang w:val="lt-LT"/>
        </w:rPr>
        <w:t>. Šiaulių miesto savivaldybės Visuomenės sveikatos biuras plėtoja bendradarbiavimą su socialiniais partneriais, nes tik bendras sutelktas, įvairiapusis darbas visose veiklos srityse gali teigiamai įtakoti visuomenės sveikatą. Tai vienas iš būdų pasiekti efektyvių visuomenės sveikatos stiprinimo rezultatų.</w:t>
      </w:r>
    </w:p>
    <w:p w:rsidR="00995BE0" w:rsidRPr="001D71BB" w:rsidRDefault="00995BE0" w:rsidP="00A3155B">
      <w:pPr>
        <w:spacing w:line="360" w:lineRule="auto"/>
        <w:ind w:firstLine="567"/>
        <w:jc w:val="both"/>
      </w:pPr>
      <w:r w:rsidRPr="001D71BB">
        <w:t xml:space="preserve">Visuomenės sveikatos biuras inicijuoja ir plėtoja ryšius su mokslo, ugdymo, socialinės, psichologinės pagalbos, teisėsaugos, gydymo ir kitomis įstaigomis ir institucijomis, nevyriausybinėmis organizacijomis. </w:t>
      </w:r>
    </w:p>
    <w:p w:rsidR="00995BE0" w:rsidRPr="001D71BB" w:rsidRDefault="00995BE0" w:rsidP="00A3155B">
      <w:pPr>
        <w:spacing w:line="360" w:lineRule="auto"/>
        <w:ind w:firstLine="567"/>
        <w:jc w:val="both"/>
      </w:pPr>
      <w:r w:rsidRPr="001D71BB">
        <w:rPr>
          <w:b/>
          <w:bCs/>
        </w:rPr>
        <w:t> Mokymo ir ugdymo įstaigos:</w:t>
      </w:r>
      <w:r w:rsidRPr="001D71BB">
        <w:t> </w:t>
      </w:r>
    </w:p>
    <w:p w:rsidR="00995BE0" w:rsidRPr="001D71BB" w:rsidRDefault="00995BE0" w:rsidP="00A3155B">
      <w:pPr>
        <w:numPr>
          <w:ilvl w:val="0"/>
          <w:numId w:val="13"/>
        </w:numPr>
        <w:spacing w:line="360" w:lineRule="auto"/>
        <w:jc w:val="both"/>
      </w:pPr>
      <w:r w:rsidRPr="001D71BB">
        <w:t>Šiaulių universitetas (sudaryta sutartis), Šiaulių kolegija (ruošiama sutartis). </w:t>
      </w:r>
    </w:p>
    <w:p w:rsidR="00995BE0" w:rsidRPr="001D71BB" w:rsidRDefault="00995BE0" w:rsidP="00A3155B">
      <w:pPr>
        <w:numPr>
          <w:ilvl w:val="0"/>
          <w:numId w:val="13"/>
        </w:numPr>
        <w:spacing w:line="360" w:lineRule="auto"/>
        <w:jc w:val="both"/>
      </w:pPr>
      <w:r w:rsidRPr="001D71BB">
        <w:t>Miesto ugdymo įstaigos: mokyklos (sudarytos sutartys), lopšeliai – darželiai (metodinės konsultacijos).</w:t>
      </w:r>
    </w:p>
    <w:p w:rsidR="00995BE0" w:rsidRPr="001D71BB" w:rsidRDefault="00995BE0" w:rsidP="00A3155B">
      <w:pPr>
        <w:spacing w:line="360" w:lineRule="auto"/>
        <w:ind w:firstLine="567"/>
        <w:jc w:val="both"/>
      </w:pPr>
      <w:r w:rsidRPr="001D71BB">
        <w:rPr>
          <w:bCs/>
        </w:rPr>
        <w:t>2007 m. mokyklų visuomenės sveikatos specialistės pradėjo dirbti visuomenės sveikatos biure</w:t>
      </w:r>
      <w:r w:rsidRPr="001D71BB">
        <w:t xml:space="preserve">, taigi buvo pasirašytos bendradarbiavimo sutartys su mokyklų direktoriais. </w:t>
      </w:r>
      <w:r w:rsidRPr="001D71BB">
        <w:br/>
      </w:r>
      <w:r w:rsidRPr="001D71BB">
        <w:rPr>
          <w:bCs/>
        </w:rPr>
        <w:t>Bendradarbia</w:t>
      </w:r>
      <w:r>
        <w:rPr>
          <w:bCs/>
        </w:rPr>
        <w:t>ujama</w:t>
      </w:r>
      <w:r w:rsidRPr="001D71BB">
        <w:rPr>
          <w:bCs/>
        </w:rPr>
        <w:t xml:space="preserve"> su institucijomis visuomenės sveikatos stebėsenos srityje</w:t>
      </w:r>
      <w:r>
        <w:rPr>
          <w:bCs/>
        </w:rPr>
        <w:t xml:space="preserve"> (</w:t>
      </w:r>
      <w:r w:rsidRPr="00701609">
        <w:t>11 priedas</w:t>
      </w:r>
      <w:r>
        <w:rPr>
          <w:bCs/>
        </w:rPr>
        <w:t>)</w:t>
      </w:r>
      <w:r>
        <w:t xml:space="preserve">. Pasirašomos </w:t>
      </w:r>
      <w:r w:rsidRPr="001D71BB">
        <w:rPr>
          <w:bCs/>
        </w:rPr>
        <w:t>sutartys su Šiaulių bei Akmenės rajonų savivaldybėmis.</w:t>
      </w:r>
      <w:r w:rsidRPr="001D71BB">
        <w:rPr>
          <w:b/>
          <w:bCs/>
        </w:rPr>
        <w:t xml:space="preserve"> </w:t>
      </w:r>
      <w:r w:rsidRPr="001D71BB">
        <w:t>Sutarties dalykas – visuomenės sveikatos priežiūros paslaugų teikimas.</w:t>
      </w:r>
      <w:r>
        <w:t xml:space="preserve"> Taip pat b</w:t>
      </w:r>
      <w:r w:rsidRPr="001D71BB">
        <w:rPr>
          <w:bCs/>
        </w:rPr>
        <w:t>endradarbia</w:t>
      </w:r>
      <w:r>
        <w:rPr>
          <w:bCs/>
        </w:rPr>
        <w:t>ujama</w:t>
      </w:r>
      <w:r w:rsidRPr="001D71BB">
        <w:rPr>
          <w:bCs/>
        </w:rPr>
        <w:t xml:space="preserve"> su </w:t>
      </w:r>
      <w:r w:rsidRPr="001D71BB">
        <w:rPr>
          <w:bCs/>
        </w:rPr>
        <w:lastRenderedPageBreak/>
        <w:t xml:space="preserve">nevyriausybinėmis organizacijomis. </w:t>
      </w:r>
      <w:r w:rsidRPr="001D71BB">
        <w:t>Iš Šiaulių apskrities ugdymo centro perimtas metodinis nevyriausybinių organizacijų konsultavimas. Viso bendroje veikloje dalyvauja penkiolika organizacijų</w:t>
      </w:r>
      <w:r>
        <w:t xml:space="preserve"> (</w:t>
      </w:r>
      <w:r w:rsidRPr="00701609">
        <w:t>11 priedas</w:t>
      </w:r>
      <w:r>
        <w:t>)</w:t>
      </w:r>
    </w:p>
    <w:p w:rsidR="00995BE0" w:rsidRDefault="00995BE0" w:rsidP="00A3155B">
      <w:pPr>
        <w:spacing w:line="360" w:lineRule="auto"/>
        <w:ind w:firstLine="567"/>
        <w:jc w:val="both"/>
      </w:pPr>
      <w:r>
        <w:t>Nevyriausybinės organizacijos yra vienos reikšmingiausių sveikatos srities partnerių. Naudodamos savo glaudų ryšį su žmonėmis, jos turėtų atskleisti jų poreikius, įtraukt juos į veiklą. Siekiant gerinti sveikatą, reikia sukurti ir plėtoti priemones, padedančias sutelkti pagrindinį dėmesį bendradarbiavimui tarp partnerių palaikyti (Grabauskas ir kt., 2004).</w:t>
      </w:r>
    </w:p>
    <w:p w:rsidR="00995BE0" w:rsidRPr="001D71BB" w:rsidRDefault="00995BE0" w:rsidP="00B64424">
      <w:pPr>
        <w:pStyle w:val="prastasistinklapis"/>
        <w:spacing w:before="0" w:beforeAutospacing="0" w:after="0" w:afterAutospacing="0" w:line="360" w:lineRule="auto"/>
        <w:ind w:firstLine="567"/>
        <w:jc w:val="both"/>
      </w:pPr>
      <w:r w:rsidRPr="001D71BB">
        <w:rPr>
          <w:b/>
          <w:i/>
          <w:u w:val="single"/>
        </w:rPr>
        <w:t>Vedami privalomieji sveikatos mokymai, už jas gaunamos lėšos.</w:t>
      </w:r>
      <w:r w:rsidRPr="001D71BB">
        <w:t xml:space="preserve"> Visuomenės sveikatos stiprinimas apima sveikatos mokymą, informacijos apie sveiką gyvenseną skleidimą, sveikos gyvensenos propagavimą, formavimą ir nuo elgsenos priklausomų visuomenės sveikatos rizikos veiksnių mažinimą.</w:t>
      </w:r>
    </w:p>
    <w:p w:rsidR="00995BE0" w:rsidRDefault="00995BE0" w:rsidP="00B64424">
      <w:pPr>
        <w:pStyle w:val="Sraopastraipa"/>
        <w:spacing w:line="360" w:lineRule="auto"/>
        <w:ind w:left="0" w:firstLine="567"/>
        <w:jc w:val="both"/>
      </w:pPr>
      <w:r w:rsidRPr="001D71BB">
        <w:t>Privalomasis sveikatos mokymas – tai Lietuvos Respublikos Vyriausybės ir Sveikatos apsaugos ministerijos nustatytų profesijų (veiklos sričių) darbuotojų ir visuomenės grupių sveikatos mokymas pagal patvirtintas specialiąsias programas (</w:t>
      </w:r>
      <w:r w:rsidRPr="00701609">
        <w:t>4 priedo 1-2 lent</w:t>
      </w:r>
      <w:r>
        <w:t>.</w:t>
      </w:r>
      <w:r w:rsidRPr="001D71BB">
        <w:t xml:space="preserve">). Tai pradiniai žingsniai nustatytų profesijų (veiklos sričių) ir paslaugas teikiančių asmenų teorinės kompetencijos ugdyme, mažinant nuo jų elgsenos priklausomus visuomenės sveikatos rizikos veiksnius. </w:t>
      </w:r>
    </w:p>
    <w:p w:rsidR="00995BE0" w:rsidRPr="001D71BB" w:rsidRDefault="00995BE0" w:rsidP="00B64424">
      <w:pPr>
        <w:pStyle w:val="Sraopastraipa"/>
        <w:spacing w:line="360" w:lineRule="auto"/>
        <w:ind w:left="0" w:firstLine="567"/>
        <w:jc w:val="both"/>
      </w:pPr>
      <w:r w:rsidRPr="001D71BB">
        <w:t>Šiaulių visuomenės sveikatos stiprinimo sp</w:t>
      </w:r>
      <w:r>
        <w:t>ecialistai rengia p</w:t>
      </w:r>
      <w:r w:rsidRPr="001D71BB">
        <w:t>riv</w:t>
      </w:r>
      <w:r>
        <w:t>alomuosius higienos įgūdžių</w:t>
      </w:r>
      <w:r w:rsidRPr="001D71BB">
        <w:t>;</w:t>
      </w:r>
      <w:r>
        <w:t xml:space="preserve"> p</w:t>
      </w:r>
      <w:r w:rsidRPr="001D71BB">
        <w:t>rivalom</w:t>
      </w:r>
      <w:r>
        <w:t>uosius</w:t>
      </w:r>
      <w:r w:rsidRPr="001D71BB">
        <w:t xml:space="preserve"> pirmosios pagalbos teikimo</w:t>
      </w:r>
      <w:r>
        <w:t xml:space="preserve"> bei p</w:t>
      </w:r>
      <w:r w:rsidRPr="001D71BB">
        <w:t>rivalom</w:t>
      </w:r>
      <w:r>
        <w:t>uosius</w:t>
      </w:r>
      <w:r w:rsidRPr="001D71BB">
        <w:t xml:space="preserve"> mokym</w:t>
      </w:r>
      <w:r>
        <w:t>us</w:t>
      </w:r>
      <w:r w:rsidRPr="001D71BB">
        <w:t xml:space="preserve"> apie alkoholio ir narkotikų žalą žmogaus sveikatai.</w:t>
      </w:r>
    </w:p>
    <w:p w:rsidR="00995BE0" w:rsidRPr="001D71BB" w:rsidRDefault="00995BE0" w:rsidP="00B64424">
      <w:pPr>
        <w:pStyle w:val="Pagrindinistekstas"/>
        <w:spacing w:after="0" w:line="360" w:lineRule="auto"/>
        <w:ind w:firstLine="567"/>
        <w:jc w:val="both"/>
        <w:rPr>
          <w:lang w:val="lt-LT"/>
        </w:rPr>
      </w:pPr>
      <w:r w:rsidRPr="001D71BB">
        <w:rPr>
          <w:lang w:val="lt-LT"/>
        </w:rPr>
        <w:t>Licencijuojama visuomenės sveikatos priežiūros veikla verstis turi teisę juridiniai asmenys, turintys visuomenės sveikatos priežiūros veiklos licenciją privalomajam pirmosios pagalbos mokymui.</w:t>
      </w:r>
      <w:r w:rsidRPr="001D71BB">
        <w:rPr>
          <w:sz w:val="18"/>
          <w:lang w:val="lt-LT"/>
        </w:rPr>
        <w:t xml:space="preserve"> L</w:t>
      </w:r>
      <w:r w:rsidRPr="001D71BB">
        <w:rPr>
          <w:lang w:val="lt-LT"/>
        </w:rPr>
        <w:t xml:space="preserve">ektoriai turi būti išklausę atitinkamus kursus ir turėti licenciją. </w:t>
      </w:r>
    </w:p>
    <w:p w:rsidR="00995BE0" w:rsidRPr="001D71BB" w:rsidRDefault="00995BE0" w:rsidP="00B64424">
      <w:pPr>
        <w:pStyle w:val="Sraopastraipa"/>
        <w:spacing w:line="360" w:lineRule="auto"/>
        <w:ind w:left="0" w:firstLine="567"/>
        <w:jc w:val="both"/>
      </w:pPr>
      <w:r w:rsidRPr="001D71BB">
        <w:t>20</w:t>
      </w:r>
      <w:r>
        <w:t>10</w:t>
      </w:r>
      <w:r w:rsidRPr="001D71BB">
        <w:t xml:space="preserve"> m. šiems privalomiesiems mokymams vykdyti, licencijas </w:t>
      </w:r>
      <w:r>
        <w:t>turėjo</w:t>
      </w:r>
      <w:r w:rsidRPr="001D71BB">
        <w:t xml:space="preserve"> 2 </w:t>
      </w:r>
      <w:r>
        <w:t>visuomenės sveikatos priežiūros</w:t>
      </w:r>
      <w:r w:rsidRPr="001D71BB">
        <w:t xml:space="preserve"> specialistai. Privalomieji pirmosios pagalbos, higienos įgūdžių mokymai bei mokymai apie alkoholio ir narkotikų žalą vykdomi pagal Lietuvos Respublikos sveikatos apsaugos ministro patvirtintą privalomojo pirmosios pagalbos/higienos įgūdžių mokymo programą. Visuomenės sveikatos biuras rengia ir tvirtina mokymų planus ir pagal juos moko nustatytų profesijų ir veiklos sričių asmenis. Mokymo planai rengiami pagal anksčiau minėto įstatymo priede pateiktus pavyzdžius ir ne rečiau nei kas penkeri metai papildomi ir atnaujinami.</w:t>
      </w:r>
    </w:p>
    <w:p w:rsidR="00995BE0" w:rsidRPr="001D71BB" w:rsidRDefault="00995BE0" w:rsidP="00A3155B">
      <w:pPr>
        <w:spacing w:line="360" w:lineRule="auto"/>
        <w:ind w:firstLine="540"/>
        <w:jc w:val="both"/>
      </w:pPr>
      <w:r w:rsidRPr="001D71BB">
        <w:t xml:space="preserve">Vienoje besimokančioje grupėje gali būti iki 24 žmonių. Vykdant pratybas grupė dalijama į du ar daugiau pogrupių. Asmenims, turintiems medicinos, visuomenės sveikatos arba slaugos studijų krypties bakalauro ar magistro kvalifikacinio laipsnio ar jiems prilygintą išsilavinimą (baigusiems studijas iki 1995 metų – aukštąjį arba specialųjį vidurinį medicininį išsilavinimą), sveikatos žinių atestavimo pažymėjimai (pirmosios pagalbos ir higienos įgūdžių mokymų) gali būti išduodami be mokymo kursų lankymo (išskyrus darbuotojams, kurių veikla susijusi su medicininių atliekų </w:t>
      </w:r>
      <w:r w:rsidRPr="001D71BB">
        <w:lastRenderedPageBreak/>
        <w:t>tvarkymu sveikatos priežiūros įstaigose), išlaikiusiems teorinių žinių testą bei gavusiems teigiamą praktinės užduoties įvertinimą (</w:t>
      </w:r>
      <w:r w:rsidRPr="005C7AF8">
        <w:t>LR sveikatos apsaugos ministro įsakymas Nr. 14-490</w:t>
      </w:r>
      <w:r>
        <w:t>,</w:t>
      </w:r>
      <w:r w:rsidRPr="005C7AF8">
        <w:t xml:space="preserve">  2008</w:t>
      </w:r>
      <w:r w:rsidRPr="001D71BB">
        <w:t>).</w:t>
      </w:r>
    </w:p>
    <w:p w:rsidR="00995BE0" w:rsidRPr="001D71BB" w:rsidRDefault="00995BE0" w:rsidP="00A3155B">
      <w:pPr>
        <w:pStyle w:val="Pagrindinistekstas"/>
        <w:spacing w:after="0" w:line="360" w:lineRule="auto"/>
        <w:ind w:firstLine="540"/>
        <w:jc w:val="both"/>
        <w:rPr>
          <w:lang w:val="lt-LT"/>
        </w:rPr>
      </w:pPr>
      <w:r w:rsidRPr="001D71BB">
        <w:rPr>
          <w:lang w:val="lt-LT"/>
        </w:rPr>
        <w:t>Privalomųjų higieninių įgūdžių ir pirmosios pagalbos mokymo kursų įkainiai patvirtinti Šiaulių miesto savivaldybės tarybos 2009 m. ba</w:t>
      </w:r>
      <w:r>
        <w:rPr>
          <w:lang w:val="lt-LT"/>
        </w:rPr>
        <w:t>landžio 30 d. sprendimu T-148 (</w:t>
      </w:r>
      <w:r w:rsidRPr="00701609">
        <w:rPr>
          <w:lang w:val="lt-LT"/>
        </w:rPr>
        <w:t>5 priedas</w:t>
      </w:r>
      <w:r w:rsidRPr="001D71BB">
        <w:rPr>
          <w:lang w:val="lt-LT"/>
        </w:rPr>
        <w:t xml:space="preserve">). </w:t>
      </w:r>
      <w:r w:rsidRPr="00594F55">
        <w:rPr>
          <w:lang w:val="lt-LT"/>
        </w:rPr>
        <w:t xml:space="preserve">2009 m. buvo planuota surinkti 80 tūkst. litų, planas viršytas 33,0 tūkst., t.y. surinkta 113,0 tūkst., visuomenės sveikatos biurui perleisti 88 tūkst. </w:t>
      </w:r>
      <w:r>
        <w:rPr>
          <w:lang w:val="lt-LT"/>
        </w:rPr>
        <w:t>L</w:t>
      </w:r>
      <w:r w:rsidRPr="00594F55">
        <w:rPr>
          <w:lang w:val="lt-LT"/>
        </w:rPr>
        <w:t>t</w:t>
      </w:r>
      <w:r>
        <w:rPr>
          <w:lang w:val="lt-LT"/>
        </w:rPr>
        <w:t>.</w:t>
      </w:r>
      <w:r w:rsidRPr="00594F55">
        <w:rPr>
          <w:lang w:val="lt-LT"/>
        </w:rPr>
        <w:t xml:space="preserve"> Per 2010 m. planuota iš privalomųjų sveikatos mokymų surinkti 85 tūkstančių litų, tačiau planas vėl buvo viršytas ir surinkta 98 tūkst. Lt, iš kurių visi perleisti biurui naudoti</w:t>
      </w:r>
      <w:r w:rsidRPr="001D71BB">
        <w:rPr>
          <w:lang w:val="lt-LT"/>
        </w:rPr>
        <w:t>.</w:t>
      </w:r>
    </w:p>
    <w:p w:rsidR="00995BE0" w:rsidRPr="001D71BB" w:rsidRDefault="00995BE0" w:rsidP="00A3155B">
      <w:pPr>
        <w:autoSpaceDE w:val="0"/>
        <w:autoSpaceDN w:val="0"/>
        <w:adjustRightInd w:val="0"/>
        <w:spacing w:line="360" w:lineRule="auto"/>
        <w:ind w:firstLine="540"/>
        <w:jc w:val="both"/>
      </w:pPr>
      <w:r w:rsidRPr="001D71BB">
        <w:rPr>
          <w:b/>
          <w:i/>
          <w:u w:val="single"/>
        </w:rPr>
        <w:t>Kuriamas savivaldybių visuomenės sveikatos biurų tinklas</w:t>
      </w:r>
      <w:r w:rsidRPr="001D71BB">
        <w:t>. Siekiant įtvirtinti visuomenės sveikatos svarbą savivaldybių politikoje, būtina plėsti visuomenės sveikatos biurų tinklą Lietuvoje įkuriant savivaldybių visuomenės sveikatos priežiūros biurus bei jų išlaikymui skiriant pakankamą finansavimą, gerinti visuomenės sveikatos priežiūros veiklos koordinavimą valstybės lygiu, stiprinant sveikatos apsaugos ministerijos ir jai pavaldžių visuomenės sveikatos mokslo įstaigų gebėjimus. Visuomenės sveikatos priežiūros biurų plėtra užtikrins geresnį visuomenės sveikatos priežiūros ikimokyklinėse įstaigose ir mokyklose koordinavimą, pagerins konsultavimo, informavimo, mokymo ir kitų visuomenės sveikatos paslaugų prieinamumą vaikams ir jaunimui, šeimoms, bendruomenėms, nevyriausybinėms organizacijoms (</w:t>
      </w:r>
      <w:r>
        <w:t>S</w:t>
      </w:r>
      <w:r w:rsidRPr="00831F47">
        <w:t>veikatos sistemos plėtros pagrindinės nuostatos</w:t>
      </w:r>
      <w:r>
        <w:t>, 2010</w:t>
      </w:r>
      <w:r w:rsidRPr="001D71BB">
        <w:t>).</w:t>
      </w:r>
    </w:p>
    <w:p w:rsidR="00995BE0" w:rsidRPr="001D71BB" w:rsidRDefault="00995BE0" w:rsidP="00A3155B">
      <w:pPr>
        <w:autoSpaceDE w:val="0"/>
        <w:autoSpaceDN w:val="0"/>
        <w:adjustRightInd w:val="0"/>
        <w:spacing w:line="360" w:lineRule="auto"/>
        <w:ind w:firstLine="540"/>
        <w:jc w:val="both"/>
      </w:pPr>
      <w:r w:rsidRPr="001D71BB">
        <w:t>2010 m. Lietuvoje</w:t>
      </w:r>
      <w:r>
        <w:t xml:space="preserve"> buvo</w:t>
      </w:r>
      <w:r w:rsidRPr="001D71BB">
        <w:t xml:space="preserve"> įsteigti 32 biurai.</w:t>
      </w:r>
      <w:r w:rsidRPr="001D71BB">
        <w:rPr>
          <w:rFonts w:ascii="Arial" w:hAnsi="Arial" w:cs="Arial"/>
        </w:rPr>
        <w:t xml:space="preserve"> </w:t>
      </w:r>
      <w:r w:rsidRPr="001D71BB">
        <w:t>Daugiau nei pusė visuomenės sveikatos biurų dar tik kuriasi ir žengia pirmuosius žingsnius.</w:t>
      </w:r>
    </w:p>
    <w:p w:rsidR="00995BE0" w:rsidRPr="001D71BB" w:rsidRDefault="00995BE0" w:rsidP="00A3155B">
      <w:pPr>
        <w:pStyle w:val="prastasistinklapis"/>
        <w:spacing w:before="0" w:beforeAutospacing="0" w:after="0" w:afterAutospacing="0" w:line="360" w:lineRule="auto"/>
        <w:ind w:firstLine="360"/>
        <w:jc w:val="center"/>
      </w:pPr>
      <w:r w:rsidRPr="001D71BB">
        <w:object w:dxaOrig="5940" w:dyaOrig="4451">
          <v:shape id="_x0000_i1042" type="#_x0000_t75" style="width:300pt;height:175.5pt" o:ole="">
            <v:imagedata r:id="rId38" o:title=""/>
          </v:shape>
          <o:OLEObject Type="Embed" ProgID="PowerPoint.Slide.12" ShapeID="_x0000_i1042" DrawAspect="Content" ObjectID="_1367955909" r:id="rId39"/>
        </w:object>
      </w:r>
    </w:p>
    <w:p w:rsidR="00995BE0" w:rsidRPr="0077780C" w:rsidRDefault="00995BE0" w:rsidP="00A3155B">
      <w:pPr>
        <w:spacing w:line="360" w:lineRule="auto"/>
        <w:jc w:val="center"/>
        <w:rPr>
          <w:sz w:val="22"/>
          <w:szCs w:val="22"/>
        </w:rPr>
      </w:pPr>
      <w:r>
        <w:rPr>
          <w:b/>
          <w:sz w:val="22"/>
          <w:szCs w:val="22"/>
        </w:rPr>
        <w:t>17</w:t>
      </w:r>
      <w:r w:rsidRPr="0077780C">
        <w:rPr>
          <w:b/>
          <w:sz w:val="22"/>
          <w:szCs w:val="22"/>
        </w:rPr>
        <w:t xml:space="preserve"> pav.</w:t>
      </w:r>
      <w:r w:rsidRPr="0077780C">
        <w:rPr>
          <w:sz w:val="22"/>
          <w:szCs w:val="22"/>
        </w:rPr>
        <w:t xml:space="preserve"> Savivaldybių visuomenės sveikatos biurų plėtra (2009 m.) </w:t>
      </w:r>
    </w:p>
    <w:p w:rsidR="00995BE0" w:rsidRPr="0077780C" w:rsidRDefault="00995BE0" w:rsidP="0077780C">
      <w:pPr>
        <w:autoSpaceDE w:val="0"/>
        <w:autoSpaceDN w:val="0"/>
        <w:adjustRightInd w:val="0"/>
        <w:ind w:left="720"/>
        <w:jc w:val="center"/>
        <w:rPr>
          <w:sz w:val="20"/>
          <w:szCs w:val="20"/>
        </w:rPr>
      </w:pPr>
      <w:r w:rsidRPr="0077780C">
        <w:rPr>
          <w:sz w:val="20"/>
          <w:szCs w:val="20"/>
        </w:rPr>
        <w:t xml:space="preserve">Šaltinis: Sketerskienė, R. (2009). </w:t>
      </w:r>
      <w:r w:rsidRPr="0077780C">
        <w:rPr>
          <w:i/>
          <w:iCs/>
          <w:sz w:val="20"/>
          <w:szCs w:val="20"/>
        </w:rPr>
        <w:t>Sveikatos priežiūra mokykloje: reformos lūkesčiai ir realijos</w:t>
      </w:r>
      <w:r w:rsidRPr="0077780C">
        <w:rPr>
          <w:sz w:val="20"/>
          <w:szCs w:val="20"/>
        </w:rPr>
        <w:t>. Sveikatos priežiūros organizavimas ugdymo įstaigose: dabartis ir perspektyvos. Konferencinė medžiaga. Ignalina.</w:t>
      </w:r>
    </w:p>
    <w:p w:rsidR="00995BE0" w:rsidRPr="001D71BB" w:rsidRDefault="00995BE0" w:rsidP="00A3155B">
      <w:pPr>
        <w:spacing w:line="360" w:lineRule="auto"/>
        <w:jc w:val="center"/>
      </w:pPr>
    </w:p>
    <w:p w:rsidR="00995BE0" w:rsidRPr="001D71BB" w:rsidRDefault="00995BE0" w:rsidP="00A3155B">
      <w:pPr>
        <w:tabs>
          <w:tab w:val="num" w:pos="709"/>
        </w:tabs>
        <w:spacing w:line="360" w:lineRule="auto"/>
        <w:ind w:firstLine="567"/>
        <w:jc w:val="both"/>
      </w:pPr>
      <w:r w:rsidRPr="001D71BB">
        <w:t xml:space="preserve">2007 m. įsteigta savivaldybių visuomenės sveikatos biurų asociacija. Susibūrę į Asociaciją puoselėjama viltį būti išgirstiems Seime, norima inicijuoti diskusijas Sveikatos reikalų komitete apie įstatymus, tiesiogiai liečiančius visuomenės sveikatą. Savivaldybių visuomenės sveikatos biurų </w:t>
      </w:r>
      <w:r w:rsidRPr="001D71BB">
        <w:lastRenderedPageBreak/>
        <w:t>asociacija įsteigta, siekiant apjungti savivaldybių visuomenės sveikatos biurus ir stiprinti visuomenės sveikatos priežiūrą savivaldybėse, skatinti kokybiškų visuomenės sveikatos priežiūros paslaugų teikimą savivaldybių gyventojams.</w:t>
      </w:r>
    </w:p>
    <w:p w:rsidR="00995BE0" w:rsidRPr="001D71BB" w:rsidRDefault="00995BE0" w:rsidP="00A3155B">
      <w:pPr>
        <w:autoSpaceDE w:val="0"/>
        <w:autoSpaceDN w:val="0"/>
        <w:adjustRightInd w:val="0"/>
        <w:spacing w:line="360" w:lineRule="auto"/>
        <w:ind w:firstLine="567"/>
        <w:jc w:val="both"/>
        <w:rPr>
          <w:sz w:val="23"/>
          <w:szCs w:val="23"/>
        </w:rPr>
      </w:pPr>
      <w:r w:rsidRPr="001D71BB">
        <w:rPr>
          <w:b/>
          <w:i/>
          <w:u w:val="single"/>
        </w:rPr>
        <w:t>Aktyviai pajungiamos žiniasklaidos priemonės</w:t>
      </w:r>
      <w:r>
        <w:rPr>
          <w:b/>
          <w:i/>
          <w:u w:val="single"/>
        </w:rPr>
        <w:t>.</w:t>
      </w:r>
      <w:r w:rsidRPr="001D71BB">
        <w:t xml:space="preserve"> </w:t>
      </w:r>
      <w:r w:rsidRPr="001D71BB">
        <w:rPr>
          <w:bCs/>
          <w:iCs/>
          <w:sz w:val="23"/>
          <w:szCs w:val="23"/>
        </w:rPr>
        <w:t xml:space="preserve">Darbas su </w:t>
      </w:r>
      <w:r w:rsidRPr="001D71BB">
        <w:rPr>
          <w:rFonts w:ascii="TimesNewRoman,BoldItalic" w:cs="TimesNewRoman,BoldItalic"/>
          <w:bCs/>
          <w:iCs/>
          <w:sz w:val="23"/>
          <w:szCs w:val="23"/>
        </w:rPr>
        <w:t>ž</w:t>
      </w:r>
      <w:r w:rsidRPr="001D71BB">
        <w:rPr>
          <w:bCs/>
          <w:iCs/>
          <w:sz w:val="23"/>
          <w:szCs w:val="23"/>
        </w:rPr>
        <w:t>iniasklaida</w:t>
      </w:r>
      <w:r w:rsidRPr="001D71BB">
        <w:rPr>
          <w:b/>
          <w:bCs/>
          <w:i/>
          <w:iCs/>
          <w:sz w:val="23"/>
          <w:szCs w:val="23"/>
        </w:rPr>
        <w:t xml:space="preserve"> </w:t>
      </w:r>
      <w:r w:rsidRPr="001D71BB">
        <w:rPr>
          <w:sz w:val="23"/>
          <w:szCs w:val="23"/>
        </w:rPr>
        <w:t>– neatsiejama sveikatos stiprinimo dalis, nuo kurio labai priklauso programų, organizuojamų akcijų s</w:t>
      </w:r>
      <w:r w:rsidRPr="001D71BB">
        <w:rPr>
          <w:rFonts w:ascii="TimesNewRoman" w:cs="TimesNewRoman"/>
          <w:sz w:val="23"/>
          <w:szCs w:val="23"/>
        </w:rPr>
        <w:t>ė</w:t>
      </w:r>
      <w:r w:rsidRPr="001D71BB">
        <w:rPr>
          <w:sz w:val="23"/>
          <w:szCs w:val="23"/>
        </w:rPr>
        <w:t>km</w:t>
      </w:r>
      <w:r w:rsidRPr="001D71BB">
        <w:rPr>
          <w:rFonts w:ascii="TimesNewRoman" w:cs="TimesNewRoman"/>
          <w:sz w:val="23"/>
          <w:szCs w:val="23"/>
        </w:rPr>
        <w:t>ė</w:t>
      </w:r>
      <w:r w:rsidRPr="001D71BB">
        <w:rPr>
          <w:sz w:val="23"/>
          <w:szCs w:val="23"/>
        </w:rPr>
        <w:t>. Labai svarbu skleisti informacij</w:t>
      </w:r>
      <w:r w:rsidRPr="001D71BB">
        <w:rPr>
          <w:rFonts w:ascii="TimesNewRoman" w:cs="TimesNewRoman"/>
          <w:sz w:val="23"/>
          <w:szCs w:val="23"/>
        </w:rPr>
        <w:t>ą</w:t>
      </w:r>
      <w:r w:rsidRPr="001D71BB">
        <w:rPr>
          <w:rFonts w:ascii="TimesNewRoman" w:cs="TimesNewRoman"/>
          <w:sz w:val="23"/>
          <w:szCs w:val="23"/>
        </w:rPr>
        <w:t xml:space="preserve"> </w:t>
      </w:r>
      <w:r w:rsidRPr="001D71BB">
        <w:rPr>
          <w:sz w:val="23"/>
          <w:szCs w:val="23"/>
        </w:rPr>
        <w:t>apie konkre</w:t>
      </w:r>
      <w:r w:rsidRPr="001D71BB">
        <w:rPr>
          <w:rFonts w:ascii="TimesNewRoman" w:cs="TimesNewRoman"/>
          <w:sz w:val="23"/>
          <w:szCs w:val="23"/>
        </w:rPr>
        <w:t>č</w:t>
      </w:r>
      <w:r w:rsidRPr="001D71BB">
        <w:rPr>
          <w:sz w:val="23"/>
          <w:szCs w:val="23"/>
        </w:rPr>
        <w:t>i</w:t>
      </w:r>
      <w:r w:rsidRPr="001D71BB">
        <w:rPr>
          <w:rFonts w:ascii="TimesNewRoman" w:cs="TimesNewRoman"/>
          <w:sz w:val="23"/>
          <w:szCs w:val="23"/>
        </w:rPr>
        <w:t>ą</w:t>
      </w:r>
      <w:r w:rsidRPr="001D71BB">
        <w:rPr>
          <w:rFonts w:ascii="TimesNewRoman" w:cs="TimesNewRoman"/>
          <w:sz w:val="23"/>
          <w:szCs w:val="23"/>
        </w:rPr>
        <w:t xml:space="preserve"> </w:t>
      </w:r>
      <w:r w:rsidRPr="00B71259">
        <w:t>visuomenės sveikatos biuro</w:t>
      </w:r>
      <w:r w:rsidRPr="001D71BB">
        <w:rPr>
          <w:sz w:val="23"/>
          <w:szCs w:val="23"/>
        </w:rPr>
        <w:t xml:space="preserve"> veikl</w:t>
      </w:r>
      <w:r w:rsidRPr="001D71BB">
        <w:rPr>
          <w:rFonts w:ascii="TimesNewRoman" w:cs="TimesNewRoman"/>
          <w:sz w:val="23"/>
          <w:szCs w:val="23"/>
        </w:rPr>
        <w:t>ą</w:t>
      </w:r>
      <w:r w:rsidRPr="001D71BB">
        <w:rPr>
          <w:sz w:val="23"/>
          <w:szCs w:val="23"/>
        </w:rPr>
        <w:t>, rengiant reporta</w:t>
      </w:r>
      <w:r w:rsidRPr="001D71BB">
        <w:rPr>
          <w:rFonts w:ascii="TimesNewRoman" w:cs="TimesNewRoman"/>
          <w:sz w:val="23"/>
          <w:szCs w:val="23"/>
        </w:rPr>
        <w:t>ž</w:t>
      </w:r>
      <w:r w:rsidRPr="001D71BB">
        <w:rPr>
          <w:sz w:val="23"/>
          <w:szCs w:val="23"/>
        </w:rPr>
        <w:t>us, pokalbius arba ra</w:t>
      </w:r>
      <w:r w:rsidRPr="001D71BB">
        <w:rPr>
          <w:rFonts w:ascii="TimesNewRoman" w:cs="TimesNewRoman"/>
          <w:sz w:val="23"/>
          <w:szCs w:val="23"/>
        </w:rPr>
        <w:t>š</w:t>
      </w:r>
      <w:r w:rsidRPr="001D71BB">
        <w:rPr>
          <w:sz w:val="23"/>
          <w:szCs w:val="23"/>
        </w:rPr>
        <w:t>ant straipsnius, pavie</w:t>
      </w:r>
      <w:r w:rsidRPr="001D71BB">
        <w:rPr>
          <w:rFonts w:ascii="TimesNewRoman" w:cs="TimesNewRoman"/>
          <w:sz w:val="23"/>
          <w:szCs w:val="23"/>
        </w:rPr>
        <w:t>š</w:t>
      </w:r>
      <w:r w:rsidRPr="001D71BB">
        <w:rPr>
          <w:sz w:val="23"/>
          <w:szCs w:val="23"/>
        </w:rPr>
        <w:t>inant atskir</w:t>
      </w:r>
      <w:r w:rsidRPr="001D71BB">
        <w:rPr>
          <w:rFonts w:ascii="TimesNewRoman" w:cs="TimesNewRoman"/>
          <w:sz w:val="23"/>
          <w:szCs w:val="23"/>
        </w:rPr>
        <w:t>ų</w:t>
      </w:r>
      <w:r w:rsidRPr="001D71BB">
        <w:rPr>
          <w:rFonts w:ascii="TimesNewRoman" w:cs="TimesNewRoman"/>
          <w:sz w:val="23"/>
          <w:szCs w:val="23"/>
        </w:rPr>
        <w:t xml:space="preserve"> </w:t>
      </w:r>
      <w:r w:rsidRPr="001D71BB">
        <w:rPr>
          <w:sz w:val="23"/>
          <w:szCs w:val="23"/>
        </w:rPr>
        <w:t>projekt</w:t>
      </w:r>
      <w:r w:rsidRPr="001D71BB">
        <w:rPr>
          <w:rFonts w:ascii="TimesNewRoman" w:cs="TimesNewRoman"/>
          <w:sz w:val="23"/>
          <w:szCs w:val="23"/>
        </w:rPr>
        <w:t>ų</w:t>
      </w:r>
      <w:r w:rsidRPr="001D71BB">
        <w:rPr>
          <w:rFonts w:ascii="TimesNewRoman" w:cs="TimesNewRoman"/>
          <w:sz w:val="23"/>
          <w:szCs w:val="23"/>
        </w:rPr>
        <w:t xml:space="preserve"> </w:t>
      </w:r>
      <w:r w:rsidRPr="001D71BB">
        <w:rPr>
          <w:sz w:val="23"/>
          <w:szCs w:val="23"/>
        </w:rPr>
        <w:t>veiklas bei dirban</w:t>
      </w:r>
      <w:r w:rsidRPr="001D71BB">
        <w:rPr>
          <w:rFonts w:ascii="TimesNewRoman" w:cs="TimesNewRoman"/>
          <w:sz w:val="23"/>
          <w:szCs w:val="23"/>
        </w:rPr>
        <w:t>č</w:t>
      </w:r>
      <w:r w:rsidRPr="001D71BB">
        <w:rPr>
          <w:sz w:val="23"/>
          <w:szCs w:val="23"/>
        </w:rPr>
        <w:t xml:space="preserve">ius </w:t>
      </w:r>
      <w:r w:rsidRPr="001D71BB">
        <w:rPr>
          <w:rFonts w:ascii="TimesNewRoman" w:cs="TimesNewRoman"/>
          <w:sz w:val="23"/>
          <w:szCs w:val="23"/>
        </w:rPr>
        <w:t>ž</w:t>
      </w:r>
      <w:r w:rsidRPr="001D71BB">
        <w:rPr>
          <w:sz w:val="23"/>
          <w:szCs w:val="23"/>
        </w:rPr>
        <w:t>mones.</w:t>
      </w:r>
    </w:p>
    <w:p w:rsidR="00995BE0" w:rsidRPr="001D71BB" w:rsidRDefault="00995BE0" w:rsidP="00B64424">
      <w:pPr>
        <w:autoSpaceDE w:val="0"/>
        <w:autoSpaceDN w:val="0"/>
        <w:adjustRightInd w:val="0"/>
        <w:spacing w:line="360" w:lineRule="auto"/>
        <w:ind w:firstLine="567"/>
        <w:jc w:val="both"/>
      </w:pPr>
      <w:r w:rsidRPr="001D71BB">
        <w:rPr>
          <w:rFonts w:ascii="TimesNewRoman" w:cs="TimesNewRoman"/>
          <w:sz w:val="23"/>
          <w:szCs w:val="23"/>
        </w:rPr>
        <w:t>Į</w:t>
      </w:r>
      <w:r w:rsidRPr="001D71BB">
        <w:rPr>
          <w:sz w:val="23"/>
          <w:szCs w:val="23"/>
        </w:rPr>
        <w:t>gyvendinant biuro veiklą svarbu, kad visuomen</w:t>
      </w:r>
      <w:r w:rsidRPr="001D71BB">
        <w:rPr>
          <w:rFonts w:ascii="TimesNewRoman" w:cs="TimesNewRoman"/>
          <w:sz w:val="23"/>
          <w:szCs w:val="23"/>
        </w:rPr>
        <w:t>ė</w:t>
      </w:r>
      <w:r w:rsidRPr="001D71BB">
        <w:rPr>
          <w:rFonts w:ascii="TimesNewRoman" w:cs="TimesNewRoman"/>
          <w:sz w:val="23"/>
          <w:szCs w:val="23"/>
        </w:rPr>
        <w:t xml:space="preserve"> </w:t>
      </w:r>
      <w:r w:rsidRPr="001D71BB">
        <w:rPr>
          <w:sz w:val="23"/>
          <w:szCs w:val="23"/>
        </w:rPr>
        <w:t>b</w:t>
      </w:r>
      <w:r w:rsidRPr="001D71BB">
        <w:rPr>
          <w:rFonts w:ascii="TimesNewRoman" w:cs="TimesNewRoman"/>
          <w:sz w:val="23"/>
          <w:szCs w:val="23"/>
        </w:rPr>
        <w:t>ū</w:t>
      </w:r>
      <w:r w:rsidRPr="001D71BB">
        <w:rPr>
          <w:sz w:val="23"/>
          <w:szCs w:val="23"/>
        </w:rPr>
        <w:t>t</w:t>
      </w:r>
      <w:r w:rsidRPr="001D71BB">
        <w:rPr>
          <w:rFonts w:ascii="TimesNewRoman" w:cs="TimesNewRoman"/>
          <w:sz w:val="23"/>
          <w:szCs w:val="23"/>
        </w:rPr>
        <w:t>ų</w:t>
      </w:r>
      <w:r w:rsidRPr="001D71BB">
        <w:rPr>
          <w:rFonts w:ascii="TimesNewRoman" w:cs="TimesNewRoman"/>
          <w:sz w:val="23"/>
          <w:szCs w:val="23"/>
        </w:rPr>
        <w:t xml:space="preserve"> </w:t>
      </w:r>
      <w:r w:rsidRPr="001D71BB">
        <w:rPr>
          <w:sz w:val="23"/>
          <w:szCs w:val="23"/>
        </w:rPr>
        <w:t>informuota ne tik apie biuro tikslus, u</w:t>
      </w:r>
      <w:r w:rsidRPr="001D71BB">
        <w:rPr>
          <w:rFonts w:ascii="TimesNewRoman" w:cs="TimesNewRoman"/>
          <w:sz w:val="23"/>
          <w:szCs w:val="23"/>
        </w:rPr>
        <w:t>ž</w:t>
      </w:r>
      <w:r w:rsidRPr="001D71BB">
        <w:rPr>
          <w:sz w:val="23"/>
          <w:szCs w:val="23"/>
        </w:rPr>
        <w:t>davinius ir numatomas priemones, bet ir apie numatyt</w:t>
      </w:r>
      <w:r w:rsidRPr="001D71BB">
        <w:rPr>
          <w:rFonts w:ascii="TimesNewRoman" w:cs="TimesNewRoman"/>
          <w:sz w:val="23"/>
          <w:szCs w:val="23"/>
        </w:rPr>
        <w:t>ų</w:t>
      </w:r>
      <w:r w:rsidRPr="001D71BB">
        <w:rPr>
          <w:rFonts w:ascii="TimesNewRoman" w:cs="TimesNewRoman"/>
          <w:sz w:val="23"/>
          <w:szCs w:val="23"/>
        </w:rPr>
        <w:t xml:space="preserve"> </w:t>
      </w:r>
      <w:r w:rsidRPr="001D71BB">
        <w:rPr>
          <w:sz w:val="23"/>
          <w:szCs w:val="23"/>
        </w:rPr>
        <w:t>priemoni</w:t>
      </w:r>
      <w:r w:rsidRPr="001D71BB">
        <w:rPr>
          <w:rFonts w:ascii="TimesNewRoman" w:cs="TimesNewRoman"/>
          <w:sz w:val="23"/>
          <w:szCs w:val="23"/>
        </w:rPr>
        <w:t>ų</w:t>
      </w:r>
      <w:r w:rsidRPr="001D71BB">
        <w:rPr>
          <w:rFonts w:ascii="TimesNewRoman" w:cs="TimesNewRoman"/>
          <w:sz w:val="23"/>
          <w:szCs w:val="23"/>
        </w:rPr>
        <w:t xml:space="preserve"> </w:t>
      </w:r>
      <w:r w:rsidRPr="001D71BB">
        <w:rPr>
          <w:rFonts w:ascii="TimesNewRoman" w:cs="TimesNewRoman"/>
          <w:sz w:val="23"/>
          <w:szCs w:val="23"/>
        </w:rPr>
        <w:t>į</w:t>
      </w:r>
      <w:r w:rsidRPr="001D71BB">
        <w:rPr>
          <w:sz w:val="23"/>
          <w:szCs w:val="23"/>
        </w:rPr>
        <w:t>gyvendinimo rezultatus bei atskir</w:t>
      </w:r>
      <w:r w:rsidRPr="001D71BB">
        <w:rPr>
          <w:rFonts w:ascii="TimesNewRoman" w:cs="TimesNewRoman"/>
          <w:sz w:val="23"/>
          <w:szCs w:val="23"/>
        </w:rPr>
        <w:t>ų</w:t>
      </w:r>
      <w:r w:rsidRPr="001D71BB">
        <w:rPr>
          <w:rFonts w:ascii="TimesNewRoman" w:cs="TimesNewRoman"/>
          <w:sz w:val="23"/>
          <w:szCs w:val="23"/>
        </w:rPr>
        <w:t xml:space="preserve"> </w:t>
      </w:r>
      <w:r w:rsidRPr="001D71BB">
        <w:rPr>
          <w:sz w:val="23"/>
          <w:szCs w:val="23"/>
        </w:rPr>
        <w:t>projekt</w:t>
      </w:r>
      <w:r w:rsidRPr="001D71BB">
        <w:rPr>
          <w:rFonts w:ascii="TimesNewRoman" w:cs="TimesNewRoman"/>
          <w:sz w:val="23"/>
          <w:szCs w:val="23"/>
        </w:rPr>
        <w:t>ų</w:t>
      </w:r>
      <w:r w:rsidRPr="001D71BB">
        <w:rPr>
          <w:rFonts w:ascii="TimesNewRoman" w:cs="TimesNewRoman"/>
          <w:sz w:val="23"/>
          <w:szCs w:val="23"/>
        </w:rPr>
        <w:t xml:space="preserve"> </w:t>
      </w:r>
      <w:r w:rsidRPr="001D71BB">
        <w:rPr>
          <w:sz w:val="23"/>
          <w:szCs w:val="23"/>
        </w:rPr>
        <w:t>veiksmingum</w:t>
      </w:r>
      <w:r w:rsidRPr="001D71BB">
        <w:rPr>
          <w:rFonts w:ascii="TimesNewRoman" w:cs="TimesNewRoman"/>
          <w:sz w:val="23"/>
          <w:szCs w:val="23"/>
        </w:rPr>
        <w:t>ą</w:t>
      </w:r>
      <w:r w:rsidRPr="001D71BB">
        <w:rPr>
          <w:sz w:val="23"/>
          <w:szCs w:val="23"/>
        </w:rPr>
        <w:t xml:space="preserve">.  </w:t>
      </w:r>
    </w:p>
    <w:p w:rsidR="00995BE0" w:rsidRPr="00F26388" w:rsidRDefault="00995BE0" w:rsidP="001C23E8">
      <w:pPr>
        <w:spacing w:line="360" w:lineRule="auto"/>
        <w:ind w:firstLine="540"/>
        <w:jc w:val="both"/>
      </w:pPr>
      <w:r w:rsidRPr="001D71BB">
        <w:rPr>
          <w:b/>
          <w:i/>
          <w:u w:val="single"/>
        </w:rPr>
        <w:t>Vykdoma prevencinė veikla</w:t>
      </w:r>
      <w:r w:rsidRPr="001D71BB">
        <w:rPr>
          <w:b/>
        </w:rPr>
        <w:t>.</w:t>
      </w:r>
      <w:r w:rsidRPr="001D71BB">
        <w:t xml:space="preserve"> Pagrindinės pirmalaikės mirties ir negalios priežastys yra nelaimingi atsitikimai ir sužalojimai, psichikos sutrikimai, vėžiniai susirgimai, kraujo apytakos sutrikimai ir kvėpavimo ligos. Visas šias problemas galima spręsti įgyvendinant veiksmingą prevencinę veiklą ir propaguojant sveiką gyvenseną</w:t>
      </w:r>
      <w:r>
        <w:t xml:space="preserve"> </w:t>
      </w:r>
      <w:r w:rsidRPr="00F26388">
        <w:t xml:space="preserve">(Prevencija ir sveikos gyvensenos propagavimas, 2011). </w:t>
      </w:r>
    </w:p>
    <w:p w:rsidR="00995BE0" w:rsidRPr="001D71BB" w:rsidRDefault="00995BE0" w:rsidP="001C23E8">
      <w:pPr>
        <w:spacing w:line="360" w:lineRule="auto"/>
        <w:jc w:val="center"/>
        <w:rPr>
          <w:b/>
        </w:rPr>
      </w:pPr>
      <w:r w:rsidRPr="001D71BB">
        <w:rPr>
          <w:b/>
        </w:rPr>
        <w:t>SILPNYBĖS</w:t>
      </w:r>
    </w:p>
    <w:p w:rsidR="00995BE0" w:rsidRPr="001D71BB" w:rsidRDefault="00995BE0" w:rsidP="00A3155B">
      <w:pPr>
        <w:autoSpaceDE w:val="0"/>
        <w:autoSpaceDN w:val="0"/>
        <w:adjustRightInd w:val="0"/>
        <w:spacing w:line="360" w:lineRule="auto"/>
        <w:ind w:firstLine="540"/>
        <w:jc w:val="both"/>
      </w:pPr>
      <w:r w:rsidRPr="001D71BB">
        <w:rPr>
          <w:b/>
          <w:i/>
          <w:u w:val="single"/>
        </w:rPr>
        <w:t>Šiaulių bendruomenė pasyviai įsitraukia į sveikatinimo veiklą</w:t>
      </w:r>
      <w:r w:rsidRPr="001D71BB">
        <w:t>. Pastebėta, kad vykdant įvairius sveikatinimo renginius, nėra paprasta į veiklą įtraukti suaugusius Šiaulių miesto gyventojus. Viena iš galimų priežasčių tai, kad savivaldybių visuomenės sveikatos biurai vis dar nauja, mažai žinoma įstaiga. Ne kiekvienas gali pasakyti kokios biuro funkcijos, dažnas sieja jį su visuomenės sveikatos centro veikla.</w:t>
      </w:r>
    </w:p>
    <w:p w:rsidR="00995BE0" w:rsidRPr="001D71BB" w:rsidRDefault="00995BE0" w:rsidP="00A3155B">
      <w:pPr>
        <w:autoSpaceDE w:val="0"/>
        <w:autoSpaceDN w:val="0"/>
        <w:adjustRightInd w:val="0"/>
        <w:spacing w:line="360" w:lineRule="auto"/>
        <w:ind w:firstLine="540"/>
        <w:jc w:val="both"/>
      </w:pPr>
      <w:r w:rsidRPr="001D71BB">
        <w:t>Dėl ilgą laiką buvusio „nemokamo gydymo“ įsitvirtinusi nuostata, kad asmens sveikata priklauso ne nuo paties žmogaus, o nuo valdžios priimamų sprendimų. Gyventojai stokoja motyvacijos rūpintis savo sveikata ir sąmoningai dalyvauti gydymo procese, nes sveikatos priežiūrą supranta kaip „nemokamą“ paslaugą. Gydytojai, vis dar vadovaudamiesi biomedicininiu požiūriu į ligą, stokoja visapusiško (holistinio) požiūrio į sergantį žmogų, kuris nevertinamas platesniame biopsichosocialiniame kontekste. Neįsigilinama į žmogaus gyvensenos ypatumus (</w:t>
      </w:r>
      <w:r w:rsidRPr="000A0B5A">
        <w:rPr>
          <w:rFonts w:ascii="TimesNewRoman,Bold Baltic" w:hAnsi="TimesNewRoman,Bold Baltic" w:cs="TimesNewRoman,Bold Baltic"/>
          <w:bCs/>
        </w:rPr>
        <w:t>Tolesnės sveikatos sistemos plėtros</w:t>
      </w:r>
      <w:r>
        <w:rPr>
          <w:rFonts w:ascii="TimesNewRoman,Bold" w:hAnsi="TimesNewRoman,Bold" w:cs="TimesNewRoman,Bold"/>
          <w:bCs/>
        </w:rPr>
        <w:t xml:space="preserve"> </w:t>
      </w:r>
      <w:r w:rsidRPr="000A0B5A">
        <w:rPr>
          <w:rFonts w:ascii="TimesNewRoman,Bold" w:hAnsi="TimesNewRoman,Bold" w:cs="TimesNewRoman,Bold"/>
          <w:bCs/>
        </w:rPr>
        <w:t>2008−</w:t>
      </w:r>
      <w:r w:rsidRPr="000A0B5A">
        <w:rPr>
          <w:rFonts w:ascii="TimesNewRoman,Bold Baltic" w:hAnsi="TimesNewRoman,Bold Baltic" w:cs="TimesNewRoman,Bold Baltic"/>
          <w:bCs/>
        </w:rPr>
        <w:t>2015 metų metmenys</w:t>
      </w:r>
      <w:r>
        <w:rPr>
          <w:rFonts w:ascii="TimesNewRoman,Bold" w:hAnsi="TimesNewRoman,Bold" w:cs="TimesNewRoman,Bold"/>
          <w:bCs/>
        </w:rPr>
        <w:t>, 2007</w:t>
      </w:r>
      <w:r w:rsidRPr="001D71BB">
        <w:t>).</w:t>
      </w:r>
    </w:p>
    <w:p w:rsidR="00995BE0" w:rsidRPr="001D71BB" w:rsidRDefault="00995BE0" w:rsidP="00B973DD">
      <w:pPr>
        <w:spacing w:line="360" w:lineRule="auto"/>
        <w:ind w:firstLine="567"/>
        <w:jc w:val="both"/>
        <w:rPr>
          <w:highlight w:val="yellow"/>
        </w:rPr>
      </w:pPr>
      <w:r w:rsidRPr="001D71BB">
        <w:t xml:space="preserve">Kitas aspektas, kur ryškiai jaučiamas gyventojų pasyvumas – dalyvavimas nemokamose prevencinėse programose, skirtose onkologiniams susirgimams. Onkologiniai susirgimai yra viena opiausių šių dienų sveikatos problema, kurios galima išvengti. Tai antroji priežastis mirtingumo struktūroje. Šią ligą įmanoma išgydyti aptikus ją ankstyvojoje stadijoje, todėl vienintelis dalykas ką gyventojai turi padaryti – apsilankyti pas šeimos gydytoją ir pasitikrinti. Juo labiau, kad vykdomos nemokamos profilaktinės programos. Šiuo metu Lietuvoje Privalomojo sveikatos draudimo fondo </w:t>
      </w:r>
      <w:r w:rsidRPr="001D71BB">
        <w:lastRenderedPageBreak/>
        <w:t>biudžeto lėšomis finansuojamos ir vykdomos šešios prevencinės profilaktinės programos, ir net keturios iš jų yra skirtos onkologinių susirgim</w:t>
      </w:r>
      <w:r>
        <w:t>ų prevencijai bei profilaktikai.</w:t>
      </w:r>
    </w:p>
    <w:p w:rsidR="00995BE0" w:rsidRDefault="00995BE0" w:rsidP="001C23E8">
      <w:pPr>
        <w:spacing w:line="360" w:lineRule="auto"/>
        <w:ind w:right="98" w:firstLine="539"/>
        <w:jc w:val="both"/>
      </w:pPr>
      <w:r w:rsidRPr="001D71BB">
        <w:t>Neatmetama galimybė, kad tokį pasyvų dalyvavimą įtakoja nepakankamas specialistų – tėvų bendradarbiavimas. Be to dažnas pilietis nepasitiki naujovėmis, remiasi nusistovėjusi nuomone, kad už sveikatą atsakingas sveikatos specialistas, gydytojas, o į sveikatos priežiūros įstaigą kreipiasi tik tada kai jaučia ligos simptomus.</w:t>
      </w:r>
    </w:p>
    <w:p w:rsidR="00995BE0" w:rsidRDefault="00995BE0" w:rsidP="001C23E8">
      <w:pPr>
        <w:spacing w:line="360" w:lineRule="auto"/>
        <w:ind w:right="98" w:firstLine="539"/>
        <w:jc w:val="both"/>
      </w:pPr>
    </w:p>
    <w:p w:rsidR="00995BE0" w:rsidRPr="001D71BB" w:rsidRDefault="00995BE0" w:rsidP="001C23E8">
      <w:pPr>
        <w:spacing w:line="360" w:lineRule="auto"/>
        <w:ind w:right="98" w:firstLine="539"/>
        <w:jc w:val="both"/>
        <w:rPr>
          <w:sz w:val="20"/>
          <w:szCs w:val="20"/>
        </w:rPr>
      </w:pPr>
    </w:p>
    <w:p w:rsidR="00995BE0" w:rsidRDefault="00995BE0" w:rsidP="001C23E8">
      <w:pPr>
        <w:spacing w:line="360" w:lineRule="auto"/>
        <w:ind w:firstLine="539"/>
        <w:jc w:val="both"/>
        <w:rPr>
          <w:i/>
          <w:u w:val="single"/>
        </w:rPr>
      </w:pPr>
      <w:r w:rsidRPr="001D71BB">
        <w:rPr>
          <w:b/>
          <w:i/>
          <w:u w:val="single"/>
        </w:rPr>
        <w:t>Santykinai mažas darbo užmokestis skatina specialistus ieškoti geriau apmokamo darbo.</w:t>
      </w:r>
      <w:r w:rsidRPr="001D71BB">
        <w:rPr>
          <w:i/>
          <w:u w:val="single"/>
        </w:rPr>
        <w:t xml:space="preserve"> </w:t>
      </w:r>
    </w:p>
    <w:p w:rsidR="00995BE0" w:rsidRPr="001D71BB" w:rsidRDefault="00995BE0" w:rsidP="005B44FC">
      <w:pPr>
        <w:spacing w:line="360" w:lineRule="auto"/>
        <w:ind w:firstLine="539"/>
        <w:jc w:val="both"/>
      </w:pPr>
      <w:r w:rsidRPr="001D71BB">
        <w:t>Šiuo metu, šalyje vis dar nesibaigiant krizei, kai yra sumažinti atlyginimai, rasti kvalifikuotų specialistų nėra lengva.</w:t>
      </w:r>
      <w:r>
        <w:t xml:space="preserve"> </w:t>
      </w:r>
      <w:r w:rsidRPr="001D71BB">
        <w:t>Mokslo institucijos kasmet rengia apie 1400 visuomenės sveikatos specialistų, tačiau į visuomenės sveikatos priežiūros įstaigas jie retai įsidarbina. Į tolimesnius rajonus visai nevažiuoja. Kaip vieną iš svarbiausių priežasčių Lietuvos visuomenės sveikatos asociacijos (LVSA) nariai nurodo nepakankamai pripažintą visuomenės sveikatos specialistų autoritetą ir mažą atlyginimą. Visuomenės sveikata iki šiol nėra orientuota į rinką, nes šioje srityje neįmanoma greitai įvertinti darbo rezultatų ar parodyti materialinę naudą (</w:t>
      </w:r>
      <w:r>
        <w:t>Kleinienė,</w:t>
      </w:r>
      <w:r w:rsidRPr="001D71BB">
        <w:t xml:space="preserve"> 2006).</w:t>
      </w:r>
    </w:p>
    <w:p w:rsidR="00995BE0" w:rsidRPr="001D71BB" w:rsidRDefault="00995BE0" w:rsidP="00A3155B">
      <w:pPr>
        <w:spacing w:line="360" w:lineRule="auto"/>
        <w:ind w:firstLine="540"/>
        <w:jc w:val="both"/>
      </w:pPr>
      <w:r w:rsidRPr="001D71BB">
        <w:rPr>
          <w:b/>
          <w:i/>
          <w:u w:val="single"/>
        </w:rPr>
        <w:t>Darbuotojų motyvacijos trūkumas</w:t>
      </w:r>
      <w:r w:rsidRPr="001D71BB">
        <w:t xml:space="preserve">. </w:t>
      </w:r>
      <w:r w:rsidRPr="000C7E14">
        <w:rPr>
          <w:bCs/>
          <w:i/>
        </w:rPr>
        <w:t>Poreikių teorija</w:t>
      </w:r>
      <w:r w:rsidRPr="001D71BB">
        <w:rPr>
          <w:b/>
          <w:bCs/>
        </w:rPr>
        <w:t xml:space="preserve"> – </w:t>
      </w:r>
      <w:r w:rsidRPr="001D71BB">
        <w:t>motyvacijos teorija, pagrįsta žmonių poreikiais (ypač susijusiais su darbu), kad gyvenimas būtų visavertis. Remiantis poreikių teorija, asmuo motyvuotas tuomet, kai jis gyvenime dar nepasiekė tam tikro pasitenkinimo lygio. Pagal A. Maslow</w:t>
      </w:r>
      <w:r>
        <w:t xml:space="preserve"> (2006)</w:t>
      </w:r>
      <w:r w:rsidRPr="001D71BB">
        <w:t>, žmogaus motyvacija susideda iš penkių poreikių hierarchijos: fiziologinių, saugu</w:t>
      </w:r>
      <w:r w:rsidRPr="001D71BB">
        <w:softHyphen/>
        <w:t>mo, priklausomumo, pagarbos ir saviraiškos. Taigi darbuotojams pirmiausia reikia algos (kad galėtų pramisti patys ir išmaitinti savo šeimą) ir saugios darbo aplinkos (darbo garantijų), po to vadovai gali pradėti naudoti tokias skatinimo priemones, kurios suteiktų jiems priklauso</w:t>
      </w:r>
      <w:r w:rsidRPr="001D71BB">
        <w:softHyphen/>
        <w:t>mybės jausmą, galimybių tobulėti ir leistų pajusti kitų pagarbą sau. Darbo užmokestis vis dar motyvuoja žmones, nes esant sunkiai šalies ekonominei būklei, ši skatinimo priemonė ypač veiksminga. Visos darbuotojų fizinės ir protinės pastangos da</w:t>
      </w:r>
      <w:r w:rsidRPr="001D71BB">
        <w:softHyphen/>
        <w:t>romos dėl atlyginimo; darbo rezultatai priklauso nuo darbuotojų materialinio suinteresuo</w:t>
      </w:r>
      <w:r w:rsidRPr="001D71BB">
        <w:softHyphen/>
        <w:t>tumo – darbo užmokesčio, t. y. piniginio atlyginimo</w:t>
      </w:r>
      <w:r>
        <w:t xml:space="preserve"> už atliktą darbą (Žaptorius,</w:t>
      </w:r>
      <w:r w:rsidRPr="001D71BB">
        <w:t xml:space="preserve"> 2007).</w:t>
      </w:r>
    </w:p>
    <w:p w:rsidR="00995BE0" w:rsidRPr="001D71BB" w:rsidRDefault="00995BE0" w:rsidP="00A3155B">
      <w:pPr>
        <w:spacing w:line="360" w:lineRule="auto"/>
        <w:ind w:firstLine="540"/>
        <w:jc w:val="both"/>
      </w:pPr>
      <w:r w:rsidRPr="001D71BB">
        <w:rPr>
          <w:b/>
          <w:i/>
          <w:u w:val="single"/>
        </w:rPr>
        <w:t>Didėjanti dokumentacija</w:t>
      </w:r>
      <w:r w:rsidRPr="001D71BB">
        <w:t>. Labiausiai dokumentacija vyrauja vaikų ir jaunimo skyriaus specialistams bei mokyklų visuomenės sveikatos priežiūros specialistams. Visi projektai, renginiai vykdomi mokyklose reikalauja raštiško žymėjimo, todėl šiam darbui atlikti reikia skirti papildomo laiko.</w:t>
      </w:r>
      <w:r>
        <w:t xml:space="preserve"> Pasitaiko atvejų, kai visuomenės sveikatos priežiūros specialistas, dirbantis mokykloje, ar keliose mokyklose pildo dokumentus ir tik nedidelę dalį laiko gali skirti sveikatos ugdymui.</w:t>
      </w:r>
    </w:p>
    <w:p w:rsidR="00995BE0" w:rsidRDefault="00995BE0" w:rsidP="00A3155B">
      <w:pPr>
        <w:spacing w:line="360" w:lineRule="auto"/>
        <w:ind w:firstLine="540"/>
        <w:jc w:val="both"/>
      </w:pPr>
      <w:r w:rsidRPr="001D71BB">
        <w:rPr>
          <w:b/>
          <w:i/>
          <w:u w:val="single"/>
        </w:rPr>
        <w:t>Žmogiškųjų išteklių stoka</w:t>
      </w:r>
      <w:r w:rsidRPr="001D71BB">
        <w:rPr>
          <w:i/>
          <w:u w:val="single"/>
        </w:rPr>
        <w:t>.</w:t>
      </w:r>
      <w:r w:rsidRPr="000C7E14">
        <w:rPr>
          <w:i/>
        </w:rPr>
        <w:t xml:space="preserve"> </w:t>
      </w:r>
      <w:r w:rsidRPr="001D71BB">
        <w:t>Pagrindinis veiksnys lemiantis šią įstaigos silpnybę – nepakankamas finansavimas. 20</w:t>
      </w:r>
      <w:r>
        <w:t>10</w:t>
      </w:r>
      <w:r w:rsidRPr="001D71BB">
        <w:t xml:space="preserve"> m. vienintelis vaikų ir jaunimo skyrius turėjo visus užimtus </w:t>
      </w:r>
      <w:r w:rsidRPr="001D71BB">
        <w:lastRenderedPageBreak/>
        <w:t>etatus. Sveikatos stiprinimo skyriuje dirbo 3 specialistai iš 4 esamų etatų, stebėsenos ir programų skyriuje – 2 specialistai iš 4 galimų. Taigi kokybiškai ir pilnavertiškai atliekamai veiklai trūko 3 specialistų.</w:t>
      </w:r>
      <w:r>
        <w:t xml:space="preserve"> </w:t>
      </w:r>
    </w:p>
    <w:p w:rsidR="00995BE0" w:rsidRDefault="00995BE0" w:rsidP="00A3155B">
      <w:pPr>
        <w:spacing w:line="360" w:lineRule="auto"/>
        <w:ind w:firstLine="540"/>
        <w:jc w:val="both"/>
      </w:pPr>
      <w:r>
        <w:t>E7 pastebėjo, kad n</w:t>
      </w:r>
      <w:r w:rsidRPr="00015F65">
        <w:t>esuformuotos struktūros, žmogiškųjų resursų trūkumas blogina visuomenės sveikatos paslaugų teikimo gyventojams kokybę.</w:t>
      </w:r>
    </w:p>
    <w:p w:rsidR="00995BE0" w:rsidRDefault="00995BE0" w:rsidP="005B44FC">
      <w:pPr>
        <w:autoSpaceDE w:val="0"/>
        <w:autoSpaceDN w:val="0"/>
        <w:adjustRightInd w:val="0"/>
        <w:spacing w:line="360" w:lineRule="auto"/>
        <w:ind w:firstLine="567"/>
        <w:jc w:val="both"/>
      </w:pPr>
      <w:r w:rsidRPr="000D36D8">
        <w:rPr>
          <w:b/>
          <w:i/>
          <w:u w:val="single"/>
        </w:rPr>
        <w:t>Nepakankama esamų specialistų kvalifikacija</w:t>
      </w:r>
      <w:r>
        <w:rPr>
          <w:i/>
        </w:rPr>
        <w:t xml:space="preserve">. </w:t>
      </w:r>
      <w:r w:rsidRPr="002050DF">
        <w:t>Šią silpnybė išskyrė E7</w:t>
      </w:r>
      <w:r>
        <w:t>,</w:t>
      </w:r>
      <w:r w:rsidRPr="000D36D8">
        <w:t xml:space="preserve"> </w:t>
      </w:r>
      <w:r>
        <w:t>E8,</w:t>
      </w:r>
      <w:r w:rsidRPr="000D36D8">
        <w:t xml:space="preserve"> </w:t>
      </w:r>
      <w:r>
        <w:t>E2</w:t>
      </w:r>
      <w:r>
        <w:rPr>
          <w:i/>
        </w:rPr>
        <w:t xml:space="preserve">. </w:t>
      </w:r>
      <w:r w:rsidRPr="000D36D8">
        <w:t>Buvo paminėti tokie teiginiai: „</w:t>
      </w:r>
      <w:r>
        <w:t>Mokyklose dažniausiai dirba med. felčerio, slaugytojo išsilavinimą turintys specialistai. Biurų specialistams yra numatyti tobulinimo kursai, tačiau visuomenės sveikatos specialistų tobulinimo sistemos Lietuvoje dar nėra (šiuo metu vykdomas projektas, kurio metu sistema kuriama. Projektas bus baigtas 2012 m.)“; „...labai maža dalis darbuotojų, kurie yra „tikri“ visuomenės sveikatos specialistai, t.y. įgijo visuomenės sveikatos bakalauro ar visuomenės sveikatos vadybos išsilavinimą. Tuo laiku, kai aš dar dirbau buvo tik 2 tokie specialistai, o iš tiesų turi būti visi be išimties, ir jokių sveikatos edukologijos, pedagogikos ar dar kokios kitos specialybės neturėtų dirbti tokioje srityje. Mano manymu net ir kiekvienos tokios įstaigos vadovas turi turėti visuomenės sveikatos išsilavinimą, o ne kokį kitą“; „...</w:t>
      </w:r>
      <w:r w:rsidRPr="001D71BB">
        <w:t>visuomenės sveikatos priežiūros specialistai, dirbantys mokyklose turi būti tam kompetentingi, t.y., turėtų 4 metų edukacinių studijų</w:t>
      </w:r>
      <w:r>
        <w:t>“</w:t>
      </w:r>
      <w:r w:rsidRPr="001D71BB">
        <w:t>.</w:t>
      </w:r>
    </w:p>
    <w:p w:rsidR="00995BE0" w:rsidRPr="001D71BB" w:rsidRDefault="00995BE0" w:rsidP="00A3155B">
      <w:pPr>
        <w:spacing w:line="360" w:lineRule="auto"/>
        <w:ind w:firstLine="540"/>
        <w:jc w:val="both"/>
      </w:pPr>
      <w:r w:rsidRPr="001D71BB">
        <w:rPr>
          <w:b/>
          <w:i/>
          <w:u w:val="single"/>
        </w:rPr>
        <w:t>Nepakankamai sveikatos stiprinimų programų, skirtų būtent Šiaulių bendruomenei</w:t>
      </w:r>
      <w:r w:rsidRPr="001D71BB">
        <w:t>. Šalyje yra parengta Vaikų sveikatos stiprinimo 2008-2012 m. programa. Šiaulių visuomenės sveikatos biuras atlikdamas sveikatos būklės analizę bei gyvensenos tyrimus, iškelia sveikatos prioritetus, į kuriuos reikia reaguoti, kurti sveikatinimo programas, metodines rekomendacijas, tačiau šito vis dar trūksta, savaime suprantama daugelis dalykų atsiremia į nepakankamą finansavimą.</w:t>
      </w:r>
      <w:r>
        <w:t xml:space="preserve"> Kol kas biure dar nėra patvirtintos nė vienos prevencinės programos.</w:t>
      </w:r>
    </w:p>
    <w:p w:rsidR="00995BE0" w:rsidRPr="001D71BB" w:rsidRDefault="00995BE0" w:rsidP="00A3155B">
      <w:pPr>
        <w:autoSpaceDE w:val="0"/>
        <w:autoSpaceDN w:val="0"/>
        <w:adjustRightInd w:val="0"/>
        <w:spacing w:line="360" w:lineRule="auto"/>
        <w:ind w:firstLine="540"/>
        <w:jc w:val="both"/>
      </w:pPr>
      <w:r w:rsidRPr="001D71BB">
        <w:rPr>
          <w:b/>
          <w:i/>
          <w:u w:val="single"/>
        </w:rPr>
        <w:t>Silpnas tarpžinybinis bendradarbiavimas</w:t>
      </w:r>
      <w:r w:rsidRPr="001D71BB">
        <w:rPr>
          <w:i/>
          <w:u w:val="single"/>
        </w:rPr>
        <w:t>.</w:t>
      </w:r>
      <w:r w:rsidRPr="001D71BB">
        <w:t xml:space="preserve"> Prie Sveikatos apsaugos ministerijos egzistuoja daug įvairių tarnybų, į kurių funkcijas įeina ir sveikatos politikos koordinavimas. Toks dekoncentruotas SAM sveikatos politiką koordinuojančių institucijų valdymas išskaido ir taip ribotus gebėjimus ir pajėgumus sveikatos politikai formuoti. Be to, Sveikatos ministerijai pavaldžios sveikatos politiką koordinuojančios institucijos neturi galių savo pasiūlymus ir sprendimus pakelti į tarpžinybinį lygį, o būtent šiuo metu yra vienas iš didžiausių iššūkių sprendžiant sveikatos problemas.</w:t>
      </w:r>
    </w:p>
    <w:p w:rsidR="00995BE0" w:rsidRDefault="00995BE0" w:rsidP="00A3155B">
      <w:pPr>
        <w:autoSpaceDE w:val="0"/>
        <w:autoSpaceDN w:val="0"/>
        <w:adjustRightInd w:val="0"/>
        <w:spacing w:line="360" w:lineRule="auto"/>
        <w:ind w:firstLine="540"/>
        <w:jc w:val="both"/>
      </w:pPr>
      <w:r w:rsidRPr="001D71BB">
        <w:t xml:space="preserve">2005 metais buvo atliktas Lietuvos sveikatos programos tarpinis vertinimas, kuriame buvo pastebėta, kad išlieka nepakankamas įvairių sektorių tarpžinybinis bendradarbiavimas ir išskaidyta atsakomybė visuomenės sveikatos priežiūros srityje </w:t>
      </w:r>
      <w:r w:rsidRPr="000C7E14">
        <w:t>(Rapolevičiūtė, 2006</w:t>
      </w:r>
      <w:r w:rsidRPr="001D71BB">
        <w:t>).</w:t>
      </w:r>
    </w:p>
    <w:p w:rsidR="00995BE0" w:rsidRPr="001D71BB" w:rsidRDefault="00995BE0" w:rsidP="002034D5">
      <w:pPr>
        <w:spacing w:line="360" w:lineRule="auto"/>
        <w:ind w:firstLine="600"/>
        <w:jc w:val="both"/>
      </w:pPr>
      <w:r>
        <w:t xml:space="preserve">E2 teigė, kad viena iš silpnybių yra tai, kad </w:t>
      </w:r>
      <w:r w:rsidRPr="002034D5">
        <w:rPr>
          <w:b/>
          <w:i/>
          <w:u w:val="single"/>
        </w:rPr>
        <w:t xml:space="preserve">visuomenės sveikatos stebėsenos skyrius renka ne visus reikalingus sveikatos rodiklius, kurie pilnai atskleidžia Šiaulių miesto gyventojų </w:t>
      </w:r>
      <w:r w:rsidRPr="002034D5">
        <w:rPr>
          <w:b/>
          <w:i/>
          <w:u w:val="single"/>
        </w:rPr>
        <w:lastRenderedPageBreak/>
        <w:t>sveikatos būklę.</w:t>
      </w:r>
      <w:r>
        <w:t xml:space="preserve"> Jo manymu „</w:t>
      </w:r>
      <w:r w:rsidRPr="001D71BB">
        <w:t>Ne visi rodikliai, patvirtinti SAM, adekvačiai atspindi gyventojų šiuolaikinę sveikatą. Biuro tikslas yra stiprinti sveikatą, o kaip tą padaryti? Negalima pasakyti koks yra gyventojų fizinis aktyvumas ar pavyzdžiui kiek iš viso mieste yra skaitytų pranešimų sveikatinimo tema. Neparametriniai rodikliai, SAM manė, kad kitų nereikia, todėl jie ir nėra įtraukti į sąrašą</w:t>
      </w:r>
      <w:r>
        <w:t>“</w:t>
      </w:r>
      <w:r w:rsidRPr="001D71BB">
        <w:t>.</w:t>
      </w:r>
      <w:r>
        <w:t xml:space="preserve"> Papildomas</w:t>
      </w:r>
      <w:r w:rsidRPr="008F52C2">
        <w:t xml:space="preserve"> sąrašas išdėstytas 19 priede</w:t>
      </w:r>
      <w:r>
        <w:t>.</w:t>
      </w:r>
    </w:p>
    <w:p w:rsidR="00995BE0" w:rsidRPr="001D71BB" w:rsidRDefault="00995BE0" w:rsidP="00A3155B">
      <w:pPr>
        <w:autoSpaceDE w:val="0"/>
        <w:autoSpaceDN w:val="0"/>
        <w:adjustRightInd w:val="0"/>
        <w:spacing w:line="360" w:lineRule="auto"/>
        <w:ind w:firstLine="540"/>
        <w:jc w:val="both"/>
      </w:pPr>
      <w:r w:rsidRPr="001D71BB">
        <w:rPr>
          <w:b/>
          <w:i/>
          <w:u w:val="single"/>
        </w:rPr>
        <w:t>Nepakankamas pirminės sveikatos priežiūros finansavimas</w:t>
      </w:r>
      <w:r w:rsidRPr="001D71BB">
        <w:t>. Pagal sveikatos sistemos finansavimo santykinius rodiklius Lietuva atsilieka ne tik nuo Vakarų šalių, bet ir nuo Centrinės ir Rytų Europos šalių vidurkio.</w:t>
      </w:r>
    </w:p>
    <w:p w:rsidR="00995BE0" w:rsidRPr="001D71BB" w:rsidRDefault="00995BE0" w:rsidP="00A3155B">
      <w:pPr>
        <w:autoSpaceDE w:val="0"/>
        <w:autoSpaceDN w:val="0"/>
        <w:adjustRightInd w:val="0"/>
        <w:spacing w:line="360" w:lineRule="auto"/>
        <w:ind w:firstLine="540"/>
        <w:jc w:val="both"/>
      </w:pPr>
      <w:r>
        <w:t>Jau nuo pat pirminės sveikatos priežiūros strategijos priėmimo (1995 m.) finansavimas programoms įgyvendinti nebuvo pakankamas. Nacionalinė sveikatos taryba 2004 m. kovo 30 d. Nr. N-5 nutarime atkreipia dėmesį į nepakankamą pirminės sveikatos priežiūros finansavimą, kas sąlygoja prevencinio darbo, diagnostikos ir slaugos paslaugų stoką.</w:t>
      </w:r>
    </w:p>
    <w:p w:rsidR="00995BE0" w:rsidRPr="001D71BB" w:rsidRDefault="00995BE0" w:rsidP="00A3155B">
      <w:pPr>
        <w:suppressAutoHyphens/>
        <w:spacing w:line="360" w:lineRule="auto"/>
        <w:ind w:right="40" w:firstLine="567"/>
        <w:jc w:val="both"/>
      </w:pPr>
      <w:r w:rsidRPr="001D71BB">
        <w:t>Vadovaujantis Lietuvos Respublikos visuomenės sveikatos priežiūros įstatymo 6 straipsnio 4 dalimi, s</w:t>
      </w:r>
      <w:r w:rsidRPr="001D71BB">
        <w:rPr>
          <w:bCs/>
        </w:rPr>
        <w:t>avivaldybių</w:t>
      </w:r>
      <w:r w:rsidRPr="001D71BB">
        <w:t xml:space="preserve"> vykdoma </w:t>
      </w:r>
      <w:r w:rsidRPr="001D71BB">
        <w:rPr>
          <w:bCs/>
        </w:rPr>
        <w:t>visuomenės</w:t>
      </w:r>
      <w:r w:rsidRPr="001D71BB">
        <w:t xml:space="preserve"> </w:t>
      </w:r>
      <w:r w:rsidRPr="001D71BB">
        <w:rPr>
          <w:bCs/>
        </w:rPr>
        <w:t>sveikatos</w:t>
      </w:r>
      <w:r w:rsidRPr="001D71BB">
        <w:t xml:space="preserve"> priežiūra finansuojama iš valstybės biudžeto, savivaldybės biudžeto, savivaldybės </w:t>
      </w:r>
      <w:r w:rsidRPr="001D71BB">
        <w:rPr>
          <w:bCs/>
        </w:rPr>
        <w:t>visuomenės</w:t>
      </w:r>
      <w:r w:rsidRPr="001D71BB">
        <w:t xml:space="preserve"> </w:t>
      </w:r>
      <w:r w:rsidRPr="001D71BB">
        <w:rPr>
          <w:bCs/>
        </w:rPr>
        <w:t>sveikatos</w:t>
      </w:r>
      <w:r w:rsidRPr="001D71BB">
        <w:t xml:space="preserve"> rėmimo specialiosios programos, Privalomojo </w:t>
      </w:r>
      <w:r w:rsidRPr="001D71BB">
        <w:rPr>
          <w:bCs/>
        </w:rPr>
        <w:t>sveikatos</w:t>
      </w:r>
      <w:r w:rsidRPr="001D71BB">
        <w:t xml:space="preserve"> draudimo fondo bei kitų teisėtai įgytų lėšų. </w:t>
      </w:r>
    </w:p>
    <w:p w:rsidR="00995BE0" w:rsidRDefault="00995BE0" w:rsidP="00A3155B">
      <w:pPr>
        <w:suppressAutoHyphens/>
        <w:spacing w:line="360" w:lineRule="auto"/>
        <w:ind w:right="40" w:firstLine="567"/>
        <w:jc w:val="both"/>
      </w:pPr>
      <w:r w:rsidRPr="001D71BB">
        <w:t xml:space="preserve">Vadovaujantis Lietuvos Respublikos Vyriausybės 2007 m. lapkričio 13 d. nutarimu Nr. 1228, patvirtinta Valstybinė visuomenės sveikatos priežiūros plėtros savivaldybėse 2007–2010 metų programa. Šios programos 33.3. punktas nurodo, kad savivaldybės turi užtikrinti ne mažiau kaip trečdalį visuomenės sveikatos priežiūrai savivaldybėje per visuomenės sveikatos biurą skiriamo finansavimo. Nuo biurų įsteigimo (2007 m.) pradžios praėjus trims metams </w:t>
      </w:r>
      <w:r w:rsidRPr="001119DC">
        <w:t>vis dar yra neišspręstos pagrindinės problemos susijusios su visuomenės sveikatos funkcijų finansavimu savivaldybėse (12 priedas).</w:t>
      </w:r>
    </w:p>
    <w:p w:rsidR="00995BE0" w:rsidRDefault="00995BE0" w:rsidP="00277E70">
      <w:pPr>
        <w:autoSpaceDE w:val="0"/>
        <w:autoSpaceDN w:val="0"/>
        <w:adjustRightInd w:val="0"/>
        <w:spacing w:line="360" w:lineRule="auto"/>
        <w:ind w:firstLine="720"/>
        <w:jc w:val="both"/>
      </w:pPr>
      <w:r>
        <w:t>Šią problemą įvardino ir ekspertai. E1 išskyrė, kad reikia</w:t>
      </w:r>
      <w:r w:rsidRPr="001D71BB">
        <w:t xml:space="preserve"> padaryti deleguotą funkciją savivaldybei</w:t>
      </w:r>
      <w:r>
        <w:t xml:space="preserve"> finansuoti visuomenės sveikatos biurą tuomet </w:t>
      </w:r>
      <w:r w:rsidRPr="001D71BB">
        <w:t xml:space="preserve">pinigus </w:t>
      </w:r>
      <w:r>
        <w:t>biuras</w:t>
      </w:r>
      <w:r w:rsidRPr="001D71BB">
        <w:t xml:space="preserve"> gaut</w:t>
      </w:r>
      <w:r>
        <w:t xml:space="preserve">ų </w:t>
      </w:r>
      <w:r w:rsidRPr="001D71BB">
        <w:t xml:space="preserve">pradžioje metų, o ne </w:t>
      </w:r>
      <w:r>
        <w:t>metams įpusėjus</w:t>
      </w:r>
      <w:r w:rsidRPr="001D71BB">
        <w:t>.</w:t>
      </w:r>
      <w:r>
        <w:t xml:space="preserve"> E3 teigė, kad savivaldybė „ž</w:t>
      </w:r>
      <w:r w:rsidRPr="001D71BB">
        <w:t>iūri į biurus kaip į dar vieną, nereikalingą biudžetinę įstaigą, kuri ima žmonių pinigus, kuri nieko nedaro</w:t>
      </w:r>
      <w:r>
        <w:t>...“</w:t>
      </w:r>
      <w:r w:rsidRPr="0007289A">
        <w:t xml:space="preserve"> </w:t>
      </w:r>
      <w:r>
        <w:t>Taip pat pridūrė jog „n</w:t>
      </w:r>
      <w:r w:rsidRPr="001D71BB">
        <w:t>ėra išspręstas finansavimo klausimas, nuo pat įkūrimo ši problema egzistuoja. Savivaldybei yra ribota ši funkcija, jiems tarsi deleguota ši funkcija valstybės, tačiau nėra atskira eilute išskirta pinigų ir tas dalykas yra didžiausias trukdis, kuris neleidžia biurams plėtotis dėl tų lėšų</w:t>
      </w:r>
      <w:r>
        <w:t>...“;</w:t>
      </w:r>
      <w:r w:rsidRPr="0007289A">
        <w:t xml:space="preserve"> </w:t>
      </w:r>
      <w:r>
        <w:t>„...</w:t>
      </w:r>
      <w:r w:rsidRPr="001D71BB">
        <w:t>kol nėra tokio įstatymo ir savivaldos įstatyme pakeitimų padarytų ir visuose po to sekančiuose, kad valstybė skirtų lėšas biurams atskira eilute, t. y. kad savivaldybės atliktų visuomenės sveikatos funkciją savivaldybės, bet kad pinigai iš valstybės biudžeto tiksliškai ateitų biurams atskira eilute ir veiklai ir atlygiams</w:t>
      </w:r>
      <w:r>
        <w:t>“</w:t>
      </w:r>
      <w:r w:rsidRPr="001D71BB">
        <w:t>.</w:t>
      </w:r>
      <w:r>
        <w:t xml:space="preserve"> Pritarė ir E7 </w:t>
      </w:r>
      <w:r w:rsidRPr="00FD3FAF">
        <w:t>„Visuomenės sveikatos priežiūros sektorius nepakankamai finansuojamas. Nesutvarkytas iki galo ir Biurų finansavimo mechanizmas</w:t>
      </w:r>
      <w:r w:rsidRPr="00173727">
        <w:rPr>
          <w:i/>
        </w:rPr>
        <w:t>.</w:t>
      </w:r>
      <w:r>
        <w:t xml:space="preserve"> Iš SAM lėšos, skirtos visuomenės </w:t>
      </w:r>
      <w:r>
        <w:lastRenderedPageBreak/>
        <w:t>sveikatos paslaugų teikimui pasiekia Biurus dažniausiai vasaros pabaigoje, tuo nulemdami nuolatinį Biurų darbo disbalansą (neįmanoma planuoti paslaugų, nežinant gaunamo finansavimo)“.  Tačiau E5 suteikė optimistiškų vilčių, jog neilgai trukus ateis laikas, kai vis dėlto bus atskira eilutė visuomenės sveikatos biurų finansavimui. E8 pastebėjo, kad dėl finansavimo nukenčia ir darbas – „Kai nežinai kada ir kiek lėšų gausi – negali planuoti savo veiklų, o vėliau, paskubomis atlikti darbai, kad tik gautos lėšos būtų panaudotos – dažnai nėra rezultatyvūs, nukreipti ne į prioritetus, tikslines grupes ir pan.“</w:t>
      </w:r>
    </w:p>
    <w:p w:rsidR="00995BE0" w:rsidRPr="001D71BB" w:rsidRDefault="00995BE0" w:rsidP="00A3155B">
      <w:pPr>
        <w:autoSpaceDE w:val="0"/>
        <w:autoSpaceDN w:val="0"/>
        <w:adjustRightInd w:val="0"/>
        <w:spacing w:line="360" w:lineRule="auto"/>
        <w:ind w:firstLine="567"/>
        <w:jc w:val="both"/>
      </w:pPr>
      <w:r w:rsidRPr="001D71BB">
        <w:rPr>
          <w:b/>
          <w:i/>
          <w:u w:val="single"/>
        </w:rPr>
        <w:t>Nepakankamas kitų ministerijų ir institucijų įtraukimas į visuomenės sveikatos politikos formavimo ir įgyvendinimo procesą</w:t>
      </w:r>
      <w:r w:rsidRPr="001D71BB">
        <w:rPr>
          <w:i/>
          <w:u w:val="single"/>
        </w:rPr>
        <w:t>.</w:t>
      </w:r>
      <w:r w:rsidRPr="000C7E14">
        <w:rPr>
          <w:i/>
        </w:rPr>
        <w:t xml:space="preserve"> </w:t>
      </w:r>
      <w:r w:rsidRPr="001D71BB">
        <w:t>Įvairių ūkio sektorių plėtra nesuderinta su sveikos aplinkos išsaugojimo reikalavimais, o atskirais atvejais kitų ūkio sektorių priimami sprendimai uždeda papildomą naštą sveikatos apsaugos sektoriui. Sveikatos interesų integravimas į įvairias ūkio šakas, visų sektorių aktyvus įsitraukimas į sveikatinimo veiklą – vienas iš svarbiausių prioritetų. Tuo tikslu sveikatos sektorius turi suformuoti sveikatinimo veiklos uždavinius kitiems sektoriams ir koordinuoti jų įgyvendinimą.</w:t>
      </w:r>
    </w:p>
    <w:p w:rsidR="00995BE0" w:rsidRDefault="00995BE0" w:rsidP="00A3155B">
      <w:pPr>
        <w:autoSpaceDE w:val="0"/>
        <w:autoSpaceDN w:val="0"/>
        <w:adjustRightInd w:val="0"/>
        <w:spacing w:line="360" w:lineRule="auto"/>
        <w:ind w:firstLine="567"/>
        <w:jc w:val="both"/>
      </w:pPr>
      <w:r w:rsidRPr="001D71BB">
        <w:t>Investicija į sveikatą yra investicija į šalies pažangos dabartį ir ateitį. Kaip minėta, ši investicija nėra vien finansai, bet visų pirma šalies politinis įsipareigojimas visą valstybės socialinės struktūros sistemą, t. y. visų visuomenės socialinės-ekonominės veiklos sektorių veiklą orientuoti į sveikatos saugą, jos stiprinimą, ligų prevenciją. Tada sveikatos sektoriui atsiras daugiau galimybių atlikti savo tiesiogines pareigas bei prigimtines funkcijas (</w:t>
      </w:r>
      <w:r>
        <w:t>Jurgutis, 20</w:t>
      </w:r>
      <w:r w:rsidRPr="001F75CA">
        <w:t>09</w:t>
      </w:r>
      <w:r w:rsidRPr="001D71BB">
        <w:t>).</w:t>
      </w:r>
    </w:p>
    <w:p w:rsidR="00995BE0" w:rsidRDefault="00995BE0" w:rsidP="00EC56DE">
      <w:pPr>
        <w:spacing w:line="360" w:lineRule="auto"/>
        <w:ind w:firstLine="567"/>
        <w:jc w:val="both"/>
      </w:pPr>
      <w:r w:rsidRPr="001D71BB">
        <w:t>Tačiau ir toliau į visuomenės sveikatos politikos formavimo ir įgyvendinimo procesą nepakankamai įtraukiamos ministerijos ir kitos valstybės institucijos. Įvairių ūkio sektorių plėtra nesuderinta su sveikos aplinkos išsaugojimo reikalavimais, o atskirais atvejais kitų ūkio sektorių priimami sprendimai uždeda papildomą naštą sveikatos sektoriui. Vykstanti šalies socialinė ekonominė plėtra nemažina socialinių sveikatos netolygumų tarp miesto ir kaimo bei atskirų socialinių ir ekonominių gyventojų grupių. Ekonominės socialinės problemos turi neigiamos įtakos gimstamumo lygiui, psichikos sutrikimų ir savižudybių skaičiui. Stebima priklausomybės nuo alkoholio, tabako, narkotikų augimo tendencija, ypač tarp paauglių.</w:t>
      </w:r>
    </w:p>
    <w:p w:rsidR="00995BE0" w:rsidRDefault="00995BE0" w:rsidP="00047E8B">
      <w:pPr>
        <w:spacing w:line="360" w:lineRule="auto"/>
        <w:ind w:firstLine="709"/>
        <w:jc w:val="both"/>
      </w:pPr>
      <w:r>
        <w:t xml:space="preserve">Tyrimo metu ekspertai iškėlė dar vieną VS biuro silpnybę – </w:t>
      </w:r>
      <w:r w:rsidRPr="00AB1448">
        <w:rPr>
          <w:b/>
          <w:i/>
          <w:u w:val="single"/>
        </w:rPr>
        <w:t>savivaldybės ir kitų politikų nepakankamas dėmesys ir supratimas apie visuomenės sveikatą</w:t>
      </w:r>
      <w:r w:rsidRPr="00AB1448">
        <w:rPr>
          <w:b/>
          <w:u w:val="single"/>
        </w:rPr>
        <w:t>.</w:t>
      </w:r>
      <w:r>
        <w:t xml:space="preserve"> Ekspertų nuomone būtina politikus, savivaldybės narius labiau įtraukti į visuomenės sveikatos veiklą. E1 teigė, kad y</w:t>
      </w:r>
      <w:r w:rsidRPr="001D71BB">
        <w:t>patingai su biurų veikla turėtų būti supažindinti  politikai, kad juos pasikviestų ministerija ir išaiškintų visą biurų  veiklą, nes mes jiems ne rodiklis.</w:t>
      </w:r>
      <w:r w:rsidRPr="001F1341">
        <w:t xml:space="preserve"> </w:t>
      </w:r>
      <w:r>
        <w:t>E3 nurodė, kad „r</w:t>
      </w:r>
      <w:r w:rsidRPr="001D71BB">
        <w:t>etoj savivaldybėj požiūris yra teigi</w:t>
      </w:r>
      <w:r>
        <w:t>amas.</w:t>
      </w:r>
      <w:r w:rsidRPr="001D71BB">
        <w:t xml:space="preserve"> </w:t>
      </w:r>
      <w:r>
        <w:t>Nėra taip, k</w:t>
      </w:r>
      <w:r w:rsidRPr="001D71BB">
        <w:t>ad savivaldybė, politikai žiūrėtų į visuomenės sveikatos biurus kaip į tikrai žmonių sveikatos saugojimo garantą</w:t>
      </w:r>
      <w:r>
        <w:t>,</w:t>
      </w:r>
      <w:r w:rsidRPr="0015681D">
        <w:t xml:space="preserve"> </w:t>
      </w:r>
      <w:r w:rsidRPr="001D71BB">
        <w:t>jie nori rezultato šiandien ir dabar ir suvokimas, kad rezultatai atsiranda vėliau, nesupranta.</w:t>
      </w:r>
      <w:r w:rsidRPr="0015681D">
        <w:t xml:space="preserve"> </w:t>
      </w:r>
      <w:r w:rsidRPr="001D71BB">
        <w:t xml:space="preserve">Didžioji dalis mūsų politikų nesuvokia visos visuomenės sveikatos </w:t>
      </w:r>
      <w:r w:rsidRPr="001D71BB">
        <w:lastRenderedPageBreak/>
        <w:t>esmės, kas įtakoja visuomenės sveikatą ir kas turėtų ką daryti, kad ta sveikata gerėtų. Yra keli momentai į kuriuos jie neatsižvelgia: jie galvoja, kad VSB yra vienas atsakingas už sveikatą, o ne tai, jog visuomenės sveikata yra organizacinė, įvairiausių institucijų bendradarbiavimo ir strateginio mąstymo priemonės visos tos, kurios padeda gerinti sveikatą, t.y. ir aplinkos sveikata, gyventojų sveikata, psichologinis gerbūvio, socialinė aplinka, taip kad apie sveikatą mes galime kalbėti visapusiškai tik iš tų trijų pozicijų</w:t>
      </w:r>
      <w:r>
        <w:t>“. Politikus reikia</w:t>
      </w:r>
      <w:r w:rsidRPr="001D71BB">
        <w:t xml:space="preserve"> įtraukti į biuro gyvenimą, nes </w:t>
      </w:r>
      <w:r>
        <w:t>nuo jų sprendimų daug priklauso teigė E2. Šiam požiūriui pritarė ir E7: „Visuomenės sveikatos priežiūros sektoriui (ypač profilaktikos srityje) stinga politinės paramos, jo svarba neįvertinta ne tik valstybiniu mastu, bet ir SAM viduje, o ypač – savivaldybėse“.</w:t>
      </w:r>
    </w:p>
    <w:p w:rsidR="00995BE0" w:rsidRPr="001D71BB" w:rsidRDefault="00995BE0" w:rsidP="001C23E8">
      <w:pPr>
        <w:spacing w:line="360" w:lineRule="auto"/>
        <w:jc w:val="center"/>
        <w:rPr>
          <w:b/>
        </w:rPr>
      </w:pPr>
      <w:r w:rsidRPr="001D71BB">
        <w:rPr>
          <w:b/>
        </w:rPr>
        <w:t>GALIMYBĖS</w:t>
      </w:r>
    </w:p>
    <w:p w:rsidR="00995BE0" w:rsidRDefault="00995BE0" w:rsidP="00A521A2">
      <w:pPr>
        <w:spacing w:line="360" w:lineRule="auto"/>
        <w:ind w:firstLine="567"/>
        <w:jc w:val="both"/>
        <w:rPr>
          <w:i/>
          <w:u w:val="single"/>
        </w:rPr>
      </w:pPr>
      <w:r w:rsidRPr="001D71BB">
        <w:rPr>
          <w:b/>
          <w:i/>
          <w:u w:val="single"/>
        </w:rPr>
        <w:t>Formuoti sveikatos politiką, atsižvelgiant į ES, PSO gerąją patirtį ir rekomendacijas</w:t>
      </w:r>
      <w:r w:rsidRPr="001D71BB">
        <w:rPr>
          <w:i/>
          <w:u w:val="single"/>
        </w:rPr>
        <w:t xml:space="preserve">. </w:t>
      </w:r>
    </w:p>
    <w:p w:rsidR="00995BE0" w:rsidRPr="001D71BB" w:rsidRDefault="00995BE0" w:rsidP="0042407B">
      <w:pPr>
        <w:spacing w:line="360" w:lineRule="auto"/>
        <w:ind w:firstLine="567"/>
        <w:jc w:val="both"/>
      </w:pPr>
      <w:r w:rsidRPr="001D71BB">
        <w:t>Pirminė sveikatos priežiūra PSO politikos prioritetu tapo 1978 m., kai buvo priimta Almatos deklaracija bei strateginis dokumentas „Sveikata visiems 2000“. Praėjus daugeliui metų nuo šio dokumento priėmimo tema tebėra aktuali. Daugelis sveikatos politikos ekspertų ir vertintojų visuomenėje sveikatos bendruomenėje mano, jog sveikatos sistemos orientacija į pirminę sveikatos priežiūrą ir sveikatos gerinimą.</w:t>
      </w:r>
    </w:p>
    <w:p w:rsidR="00995BE0" w:rsidRPr="001D71BB" w:rsidRDefault="00995BE0" w:rsidP="00A3155B">
      <w:pPr>
        <w:spacing w:line="360" w:lineRule="auto"/>
        <w:jc w:val="both"/>
      </w:pPr>
      <w:r w:rsidRPr="001D71BB">
        <w:t>Daugelio šalių patirtis rodo, kad BPG yra pajėgus užtikrinti (Jankauskienė, 2007):</w:t>
      </w:r>
    </w:p>
    <w:p w:rsidR="00995BE0" w:rsidRPr="001D71BB" w:rsidRDefault="00995BE0" w:rsidP="00A3155B">
      <w:pPr>
        <w:numPr>
          <w:ilvl w:val="0"/>
          <w:numId w:val="15"/>
        </w:numPr>
        <w:spacing w:line="360" w:lineRule="auto"/>
        <w:jc w:val="both"/>
      </w:pPr>
      <w:r w:rsidRPr="001D71BB">
        <w:t>Prieinamą ir priimtiną pirminę sveikatos priežiūrą visuomenei;</w:t>
      </w:r>
    </w:p>
    <w:p w:rsidR="00995BE0" w:rsidRPr="001D71BB" w:rsidRDefault="00995BE0" w:rsidP="00A3155B">
      <w:pPr>
        <w:numPr>
          <w:ilvl w:val="0"/>
          <w:numId w:val="15"/>
        </w:numPr>
        <w:spacing w:line="360" w:lineRule="auto"/>
        <w:jc w:val="both"/>
      </w:pPr>
      <w:r w:rsidRPr="001D71BB">
        <w:t>Teisingą ir racionalų sveikatos priežiūros išteklių paskirstymą;</w:t>
      </w:r>
    </w:p>
    <w:p w:rsidR="00995BE0" w:rsidRPr="001D71BB" w:rsidRDefault="00995BE0" w:rsidP="00A3155B">
      <w:pPr>
        <w:numPr>
          <w:ilvl w:val="0"/>
          <w:numId w:val="15"/>
        </w:numPr>
        <w:spacing w:line="360" w:lineRule="auto"/>
        <w:jc w:val="both"/>
      </w:pPr>
      <w:r w:rsidRPr="001D71BB">
        <w:t>Integruotą ir koordinuotą visapusiškos gydomosios, paliatyvios ir profilaktinės pirminės sveikatos priežiūros plėtrą;</w:t>
      </w:r>
    </w:p>
    <w:p w:rsidR="00995BE0" w:rsidRPr="001D71BB" w:rsidRDefault="00995BE0" w:rsidP="00A3155B">
      <w:pPr>
        <w:numPr>
          <w:ilvl w:val="0"/>
          <w:numId w:val="15"/>
        </w:numPr>
        <w:spacing w:line="360" w:lineRule="auto"/>
        <w:jc w:val="both"/>
      </w:pPr>
      <w:r w:rsidRPr="001D71BB">
        <w:t>Racionalų antrinės ir tretinės sveikatos priežiūros technologijų ir priemonių naudojimą;</w:t>
      </w:r>
    </w:p>
    <w:p w:rsidR="00995BE0" w:rsidRPr="001D71BB" w:rsidRDefault="00995BE0" w:rsidP="00A3155B">
      <w:pPr>
        <w:numPr>
          <w:ilvl w:val="0"/>
          <w:numId w:val="15"/>
        </w:numPr>
        <w:spacing w:line="360" w:lineRule="auto"/>
        <w:jc w:val="both"/>
      </w:pPr>
      <w:r w:rsidRPr="001D71BB">
        <w:t>Geresnę finansų naudojimo kokybę.</w:t>
      </w:r>
    </w:p>
    <w:p w:rsidR="00995BE0" w:rsidRPr="001D71BB" w:rsidRDefault="00995BE0" w:rsidP="0042407B">
      <w:pPr>
        <w:spacing w:line="360" w:lineRule="auto"/>
        <w:ind w:firstLine="567"/>
        <w:jc w:val="both"/>
      </w:pPr>
      <w:r w:rsidRPr="001D71BB">
        <w:t>PSP organizavimas įvairiose šalyse skiriasi ir nei vienos šalies sukurtas PSP modelis gali būti tinkamiausias pritaikyti kitoms šalims. Tai priklauso nuo kiekvienos šalies kultūrinių, istorinių, ekonominių ir kitų ypatumų. Tačiau daugelio šalių pavyzdžiai rodo, kad šeimos gydytojo institucija, kurio veikla integruota su socialines paslaugas teikiančiais specialistais, slaugytojais, visuomenės sveikatos specialistais yra vienas geriausių sveikatos sistemos organizavimo strategijų.</w:t>
      </w:r>
    </w:p>
    <w:p w:rsidR="00995BE0" w:rsidRPr="001D71BB" w:rsidRDefault="00995BE0" w:rsidP="00A3155B">
      <w:pPr>
        <w:autoSpaceDE w:val="0"/>
        <w:autoSpaceDN w:val="0"/>
        <w:adjustRightInd w:val="0"/>
        <w:spacing w:line="360" w:lineRule="auto"/>
        <w:ind w:firstLine="540"/>
        <w:jc w:val="both"/>
      </w:pPr>
      <w:r w:rsidRPr="001D71BB">
        <w:t xml:space="preserve">Apibendrindama šalių narių sveikatos reformų patirtį per 30 metų, nuo Alma Atos deklaracijos paskelbimo 1978 m., PSO pabrėžė, kad reformų metu dažnai daromos klaidos, nukrypstama nuo šios deklaracijos principų. Klaidos yra skausmingos, jos akivaizdžiai rodo, kad pirminei sveikatos priežiūrai reikia daugiausia dėmesio (Primary Health Care – </w:t>
      </w:r>
      <w:r>
        <w:t>Now more than ever</w:t>
      </w:r>
      <w:r w:rsidRPr="001D71BB">
        <w:t xml:space="preserve">, 2008). 2008 m. PSO ataskaitoje „Pirminė sveikatos priežiūra – dabar labiau nei bet kada“ šalys kviečiamos dar daugiau dėmesio skirti pirminei sveikatos priežiūrai. Šalys, kurių sveikatos priežiūros ambulatorinėje grandyje dominuoja prieinamumas pas gydytojus specialistus ir nėra </w:t>
      </w:r>
      <w:r w:rsidRPr="001D71BB">
        <w:lastRenderedPageBreak/>
        <w:t>įtvirtintas šeimos gydytojo, kaip sveikatos priežiūros koordinatoriaus, vaidmuo, susiduria su nepakeliamomis išlaidomis sveikatos priežiūrai, didėjančiais sveikatos skirtumais tarp įvairių socialinių grupių ir augančiu gyventojų nepasitenkinimu sveikatos priežiūros sistema</w:t>
      </w:r>
      <w:r>
        <w:t xml:space="preserve"> </w:t>
      </w:r>
      <w:r w:rsidRPr="001D71BB">
        <w:t>(</w:t>
      </w:r>
      <w:r w:rsidRPr="001F75CA">
        <w:t>Jurgutis, 2009)</w:t>
      </w:r>
      <w:r w:rsidRPr="001F75CA">
        <w:rPr>
          <w:rFonts w:ascii="MyriadPro-Regular" w:hAnsi="MyriadPro-Regular" w:cs="MyriadPro-Regular"/>
          <w:sz w:val="20"/>
          <w:szCs w:val="20"/>
        </w:rPr>
        <w:t>.</w:t>
      </w:r>
      <w:r w:rsidRPr="001D71BB">
        <w:t xml:space="preserve"> </w:t>
      </w:r>
    </w:p>
    <w:p w:rsidR="00995BE0" w:rsidRPr="001D71BB" w:rsidRDefault="00995BE0" w:rsidP="00466E08">
      <w:pPr>
        <w:pStyle w:val="Default"/>
        <w:spacing w:line="360" w:lineRule="auto"/>
        <w:ind w:firstLine="720"/>
        <w:jc w:val="both"/>
        <w:rPr>
          <w:color w:val="auto"/>
        </w:rPr>
      </w:pPr>
      <w:r w:rsidRPr="001D71BB">
        <w:rPr>
          <w:color w:val="auto"/>
        </w:rPr>
        <w:t>Europos valstybių patirtis parodė, jog sveikatos apsaugos sistemoje, įdiegus PSP modelį, gaunamas milžiniškas ekonominis efektas. Tačiau išlaidų sveikatos priežiūrai mažinimas nėra vienintelis reformų tikslas. Kita svarbi priežastis, lemianti PSP prioritetą - tai jos prieinamumas gyventojams, neatsižvelgiant į pajamas ir socialinę padėtį. Trečioji – žmonės BPG teikiama pagalba labiau patenkinti, nei specialistų. Ketvirtoji, BPG institucijos prioritetą lemianti priežastis –</w:t>
      </w:r>
      <w:r>
        <w:rPr>
          <w:color w:val="auto"/>
        </w:rPr>
        <w:t xml:space="preserve"> </w:t>
      </w:r>
      <w:r w:rsidRPr="001D71BB">
        <w:rPr>
          <w:color w:val="auto"/>
        </w:rPr>
        <w:t>BPG geriausiai atlieka lėtinėmis ligomis sergančių pacientų stebėjimą, profilaktiką, nuolatinę sveikatos priežiūrą (</w:t>
      </w:r>
      <w:r w:rsidRPr="00000E55">
        <w:rPr>
          <w:color w:val="auto"/>
        </w:rPr>
        <w:t>L</w:t>
      </w:r>
      <w:r w:rsidRPr="00000E55">
        <w:t xml:space="preserve">ietuvos </w:t>
      </w:r>
      <w:r w:rsidRPr="00000E55">
        <w:rPr>
          <w:color w:val="auto"/>
        </w:rPr>
        <w:t>R</w:t>
      </w:r>
      <w:r w:rsidRPr="00000E55">
        <w:t>espublikos sveikatos apsaugos ministro</w:t>
      </w:r>
      <w:r w:rsidRPr="00000E55">
        <w:rPr>
          <w:color w:val="auto"/>
        </w:rPr>
        <w:t xml:space="preserve"> </w:t>
      </w:r>
      <w:r w:rsidRPr="00466E08">
        <w:rPr>
          <w:color w:val="auto"/>
        </w:rPr>
        <w:t>įsakymas Nr.</w:t>
      </w:r>
      <w:r>
        <w:rPr>
          <w:color w:val="auto"/>
        </w:rPr>
        <w:t xml:space="preserve"> 593, 2000</w:t>
      </w:r>
      <w:r w:rsidRPr="00466E08">
        <w:rPr>
          <w:color w:val="auto"/>
        </w:rPr>
        <w:t>).</w:t>
      </w:r>
    </w:p>
    <w:p w:rsidR="00995BE0" w:rsidRPr="001D71BB" w:rsidRDefault="00995BE0" w:rsidP="00A3155B">
      <w:pPr>
        <w:autoSpaceDE w:val="0"/>
        <w:autoSpaceDN w:val="0"/>
        <w:adjustRightInd w:val="0"/>
        <w:spacing w:line="360" w:lineRule="auto"/>
        <w:ind w:firstLine="540"/>
        <w:jc w:val="both"/>
      </w:pPr>
      <w:r w:rsidRPr="001D71BB">
        <w:rPr>
          <w:b/>
          <w:i/>
          <w:u w:val="single"/>
        </w:rPr>
        <w:t>Formuoti teigiamą požiūris į sveiką gyvenseną, sveikatos išsaugojimą ir stiprinimą</w:t>
      </w:r>
      <w:r w:rsidRPr="001D71BB">
        <w:t>. Biomedicininį, orientuotą į diagnozę, požiūrį turi keisti visapusiškas, holistinis požiūris, kurio esmė – atsižvelgti ir į socialinius, psichologinius paciento sveikatos problemos aspektus (</w:t>
      </w:r>
      <w:r w:rsidRPr="009E69F0">
        <w:t>Kraniauskas, 2009).</w:t>
      </w:r>
    </w:p>
    <w:p w:rsidR="00995BE0" w:rsidRPr="001D71BB" w:rsidRDefault="00995BE0" w:rsidP="00A3155B">
      <w:pPr>
        <w:spacing w:line="360" w:lineRule="auto"/>
        <w:ind w:firstLine="567"/>
        <w:jc w:val="both"/>
      </w:pPr>
      <w:r w:rsidRPr="001D71BB">
        <w:t>Gerai veikiant pirminės sveikatos priežiūros sistemai, pirminio lygio institucijose išsprendžiama iki 90 proc. visų sveikatos sutrikimų (Liublianos chartija</w:t>
      </w:r>
      <w:r>
        <w:t>, 1996</w:t>
      </w:r>
      <w:r w:rsidRPr="001D71BB">
        <w:t>; McWhinney</w:t>
      </w:r>
      <w:r>
        <w:t>,</w:t>
      </w:r>
      <w:r w:rsidRPr="001D71BB">
        <w:t xml:space="preserve"> 1997). Pirminė sveikatos priežiūra yra ta grandis, kuri per bendruomenę, šeimą pasiekia individą, tiesiogiai su juo bendradarbiaudama atlieka esminį profilaktikos darbą, tęstinę sveikatos priežiūrą. Ji formuoja žmonių nuomonę apie visą sveikatos apsaugos sistemą, galų gale ji turi esminę įtaką formuojant šalies žmonių požiūrį į savo sveikatą (Grabauskas ir kt., 2004).</w:t>
      </w:r>
    </w:p>
    <w:p w:rsidR="00995BE0" w:rsidRPr="001D71BB" w:rsidRDefault="00995BE0" w:rsidP="00A3155B">
      <w:pPr>
        <w:autoSpaceDE w:val="0"/>
        <w:autoSpaceDN w:val="0"/>
        <w:adjustRightInd w:val="0"/>
        <w:spacing w:line="360" w:lineRule="auto"/>
        <w:ind w:firstLine="540"/>
        <w:jc w:val="both"/>
      </w:pPr>
      <w:r w:rsidRPr="001D71BB">
        <w:t xml:space="preserve">Tarptautiniais tyrimais įrodyta, kad pirminė sveikatos priežiūra yra labai svarbi norint racionaliau paskirstyti augančias sveikatos priežiūros išlaidas ir įveikti ryškėjančius sveikatos skirtumus tarp </w:t>
      </w:r>
      <w:r>
        <w:t>įvairių socialinių grupių</w:t>
      </w:r>
      <w:r w:rsidRPr="001D71BB">
        <w:t xml:space="preserve"> (Primary Health Care – Now more than ever</w:t>
      </w:r>
      <w:r>
        <w:t>, 2008</w:t>
      </w:r>
      <w:r w:rsidRPr="001D71BB">
        <w:t>; Franks, Fiscella</w:t>
      </w:r>
      <w:r>
        <w:t>,</w:t>
      </w:r>
      <w:r w:rsidRPr="001D71BB">
        <w:t xml:space="preserve"> 1998).</w:t>
      </w:r>
    </w:p>
    <w:p w:rsidR="00995BE0" w:rsidRPr="001D71BB" w:rsidRDefault="00995BE0" w:rsidP="00A3155B">
      <w:pPr>
        <w:autoSpaceDE w:val="0"/>
        <w:autoSpaceDN w:val="0"/>
        <w:adjustRightInd w:val="0"/>
        <w:spacing w:line="360" w:lineRule="auto"/>
        <w:ind w:firstLine="540"/>
        <w:jc w:val="both"/>
        <w:rPr>
          <w:rFonts w:ascii="MyriadPro-Regular" w:hAnsi="MyriadPro-Regular" w:cs="MyriadPro-Regular"/>
          <w:sz w:val="20"/>
          <w:szCs w:val="20"/>
        </w:rPr>
      </w:pPr>
      <w:r w:rsidRPr="001D71BB">
        <w:t xml:space="preserve">Paradoksalu, bet paskutinių metų moksliniai tyrimai, atlikti išsivysčiusiose šalyse, įrodo, kad gydytojų specialistų skaičiaus augimas tiesiogiai koreliuoja su augančiomis išlaidomis sveikatos apsaugai, bet ryšio su gerėjančiais pagrindiniais visuomenės sveikatos rodikliais nenustatyta. Bendrosios praktikos (šeimos gydytojų) prieinamumo gerėjimas yra tiesiogiai susijęs su gerėjančiais visuomenės sveikatos rodikliais, tokiais kaip vaikų mirtingumas ir suaugusiųjų mirtingumas visose amžiaus grupėse dėl visų priežasčių, išskyrus išorines mirties priežastis </w:t>
      </w:r>
      <w:r w:rsidRPr="009E69F0">
        <w:t>(Jurgutis, 2009)</w:t>
      </w:r>
      <w:r w:rsidRPr="009E69F0">
        <w:rPr>
          <w:rFonts w:ascii="MyriadPro-Regular" w:hAnsi="MyriadPro-Regular" w:cs="MyriadPro-Regular"/>
          <w:sz w:val="20"/>
          <w:szCs w:val="20"/>
        </w:rPr>
        <w:t>.</w:t>
      </w:r>
    </w:p>
    <w:p w:rsidR="00995BE0" w:rsidRPr="001D71BB" w:rsidRDefault="00995BE0" w:rsidP="00317F9F">
      <w:pPr>
        <w:spacing w:line="360" w:lineRule="auto"/>
        <w:ind w:right="40" w:firstLine="567"/>
        <w:jc w:val="both"/>
      </w:pPr>
      <w:r w:rsidRPr="001D71BB">
        <w:t xml:space="preserve">Savivaldybių visuomenės sveikatos biurai kartu su Asociacija, įvertindami trijų metų savivaldybių visuomenės sveikatos biurų veiklos patirtį, </w:t>
      </w:r>
      <w:r w:rsidRPr="00A04E94">
        <w:t>pastebi kad g</w:t>
      </w:r>
      <w:r w:rsidRPr="001D71BB">
        <w:t>yventojų informuotumas sveikatos klausimais gerėja;</w:t>
      </w:r>
      <w:r>
        <w:t xml:space="preserve"> s</w:t>
      </w:r>
      <w:r w:rsidRPr="001D71BB">
        <w:t>tiprinama mokyklų sveikatos priežiūra ir sveikatos stiprinimo veikla;</w:t>
      </w:r>
      <w:r>
        <w:t xml:space="preserve"> </w:t>
      </w:r>
      <w:r>
        <w:lastRenderedPageBreak/>
        <w:t>s</w:t>
      </w:r>
      <w:r w:rsidRPr="001D71BB">
        <w:t>avivaldybėse nuolat atkreipiamas dėmesys į gyventojų sveikatos problemas;</w:t>
      </w:r>
      <w:r>
        <w:t xml:space="preserve"> s</w:t>
      </w:r>
      <w:r w:rsidRPr="001D71BB">
        <w:t>veikatos stiprinimo veiklos savivaldybėse nukreiptos į aktualiausias savivaldybių sveikatos problemų sprendimus;</w:t>
      </w:r>
      <w:r>
        <w:t xml:space="preserve"> n</w:t>
      </w:r>
      <w:r w:rsidRPr="001D71BB">
        <w:t>uolat keliama Biurų visuomenės sveikatos specialistų ir mokyklų visuomenės sveikatos priežiūros specialistų kvalifikacija per savivaldybių visuomenės sveikatos biurus;</w:t>
      </w:r>
      <w:r>
        <w:t xml:space="preserve"> v</w:t>
      </w:r>
      <w:r w:rsidRPr="001D71BB">
        <w:t>alstybinės sveikatos programos įgyvend</w:t>
      </w:r>
      <w:r>
        <w:t>inamos savivaldybėse per Biurus, v</w:t>
      </w:r>
      <w:r w:rsidRPr="001D71BB">
        <w:t>isuomenės sveikatos priežiūra savivaldybėse stiprėja.</w:t>
      </w:r>
    </w:p>
    <w:p w:rsidR="00995BE0" w:rsidRPr="001D71BB" w:rsidRDefault="00995BE0" w:rsidP="00896D58">
      <w:pPr>
        <w:spacing w:line="360" w:lineRule="auto"/>
        <w:ind w:firstLine="567"/>
        <w:jc w:val="both"/>
      </w:pPr>
      <w:r w:rsidRPr="001D71BB">
        <w:t xml:space="preserve">Šiaulių visuomenės sveikatos biuro specialistai turi puikių galimybių </w:t>
      </w:r>
      <w:r w:rsidRPr="001D71BB">
        <w:rPr>
          <w:b/>
          <w:i/>
          <w:u w:val="single"/>
        </w:rPr>
        <w:t>kelti savo kvalifikaciją</w:t>
      </w:r>
      <w:r w:rsidRPr="001D71BB">
        <w:rPr>
          <w:i/>
          <w:u w:val="single"/>
        </w:rPr>
        <w:t xml:space="preserve">, </w:t>
      </w:r>
      <w:r w:rsidRPr="001D71BB">
        <w:t>įstaigos biudžete numatyta tam tikra suma šioms išlaidoms finansuoti. Kvalifikuoti specialistai suteikia galimybę teikti efektyvius pasiūlymus organizuojant biuro veiklą, teikti kokybiškas paslaugas. 20</w:t>
      </w:r>
      <w:r>
        <w:t>10 m. gruodžio 31 d. duomenimis,</w:t>
      </w:r>
      <w:r w:rsidRPr="001D71BB">
        <w:t xml:space="preserve"> biure dirbo </w:t>
      </w:r>
      <w:r>
        <w:t>14</w:t>
      </w:r>
      <w:r w:rsidRPr="001D71BB">
        <w:t xml:space="preserve"> visuomenės sveikatos specialistai, įgiję aukštąjį universitetinį išsilavinimą. </w:t>
      </w:r>
    </w:p>
    <w:p w:rsidR="00995BE0" w:rsidRPr="001D71BB" w:rsidRDefault="00995BE0" w:rsidP="00896D58">
      <w:pPr>
        <w:pStyle w:val="Pagrindinistekstas"/>
        <w:spacing w:after="0" w:line="360" w:lineRule="auto"/>
        <w:ind w:firstLine="540"/>
        <w:jc w:val="both"/>
        <w:rPr>
          <w:lang w:val="lt-LT"/>
        </w:rPr>
      </w:pPr>
      <w:r w:rsidRPr="001D71BB">
        <w:rPr>
          <w:lang w:val="lt-LT"/>
        </w:rPr>
        <w:t>20</w:t>
      </w:r>
      <w:r>
        <w:rPr>
          <w:lang w:val="lt-LT"/>
        </w:rPr>
        <w:t>09</w:t>
      </w:r>
      <w:r w:rsidRPr="001D71BB">
        <w:rPr>
          <w:lang w:val="lt-LT"/>
        </w:rPr>
        <w:t xml:space="preserve"> m. darbuotojų kvalifikacijai kelti buvo skirta </w:t>
      </w:r>
      <w:r>
        <w:rPr>
          <w:lang w:val="lt-LT"/>
        </w:rPr>
        <w:t>13</w:t>
      </w:r>
      <w:r w:rsidRPr="001D71BB">
        <w:rPr>
          <w:lang w:val="lt-LT"/>
        </w:rPr>
        <w:t xml:space="preserve"> tūkst. Lt, 20</w:t>
      </w:r>
      <w:r>
        <w:rPr>
          <w:lang w:val="lt-LT"/>
        </w:rPr>
        <w:t>10</w:t>
      </w:r>
      <w:r w:rsidRPr="001D71BB">
        <w:rPr>
          <w:lang w:val="lt-LT"/>
        </w:rPr>
        <w:t xml:space="preserve"> m. </w:t>
      </w:r>
      <w:r w:rsidRPr="009E4336">
        <w:rPr>
          <w:lang w:val="lt-LT"/>
        </w:rPr>
        <w:t xml:space="preserve">– </w:t>
      </w:r>
      <w:r>
        <w:rPr>
          <w:lang w:val="lt-LT"/>
        </w:rPr>
        <w:t>5,6 tūkst. Nuo 2011 m. Šiaulių visuomenės sveikatos biuro specialistai turi puikią galimybę dalyvauti kvalifikacijos kėlimo kursuose, kuriuos remia ES. Kadangi finansavimas yra pakankamas, yra galimybė samdyti kompetentingus lektorius, kurie geba suteikti ne tik teorinių žinių, bet ir praktinių įgūdžių.</w:t>
      </w:r>
    </w:p>
    <w:p w:rsidR="00995BE0" w:rsidRPr="001D71BB" w:rsidRDefault="00995BE0" w:rsidP="00896D58">
      <w:pPr>
        <w:pStyle w:val="Pagrindinistekstas"/>
        <w:spacing w:after="0" w:line="360" w:lineRule="auto"/>
        <w:ind w:firstLine="540"/>
        <w:jc w:val="both"/>
        <w:rPr>
          <w:lang w:val="lt-LT"/>
        </w:rPr>
      </w:pPr>
      <w:r w:rsidRPr="001D71BB">
        <w:rPr>
          <w:lang w:val="lt-LT"/>
        </w:rPr>
        <w:t>Ateityje paslaugų vertinimas ir darbuotojų kvalifikacijos tobulinimas bus susiję su kur kas platesne sritimi nei tik su medicinos technologijomis. Svarbu tai, kad sveikatos priežiūros paslaugų vadovai taps vis labiau neatsiejama tęstinio organizacijos mokymo dalimi, t.y. organizacijos gebėjimais išsaugoti arba gerinti veiklos rezultatus priklausys nuo įgytos patirties. Ši veikla susijusi su žinių įgijimu, įgūdžių ugdymu, naujais atradimais bei inovacijomis, naujais žmonių santykiais, pasidalijimu žiniomis, jų skleidimu kitiems bei jų pritaikymu (Jankauskienė, 2007).</w:t>
      </w:r>
    </w:p>
    <w:p w:rsidR="00995BE0" w:rsidRPr="001D71BB" w:rsidRDefault="00995BE0" w:rsidP="00987BBB">
      <w:pPr>
        <w:spacing w:line="360" w:lineRule="auto"/>
        <w:ind w:firstLine="567"/>
        <w:jc w:val="both"/>
        <w:rPr>
          <w:bCs/>
        </w:rPr>
      </w:pPr>
      <w:r w:rsidRPr="001D71BB">
        <w:rPr>
          <w:b/>
          <w:i/>
          <w:u w:val="single"/>
        </w:rPr>
        <w:t>Siekti, kad kuo daugiau ugdymo įstaigų būtų pripažintos sveikatą stiprinančiomis mokyklomis</w:t>
      </w:r>
      <w:r w:rsidRPr="001D71BB">
        <w:t>.</w:t>
      </w:r>
      <w:r>
        <w:t xml:space="preserve"> </w:t>
      </w:r>
      <w:r w:rsidRPr="001D71BB">
        <w:t>Vaikystė ir paauglystė - tai gyvenimo tarpsniai, kai formuojasi intelekto ir fiziniai gebėjimai, gyvenimo, taigi ir sveikatos, įgūdžiai. Švietimo įstaigos yra vienos iš svarbiausių institucijų, kuriose galima sėkmingai ugdyti ir stiprinti vaikų sveikatą.</w:t>
      </w:r>
    </w:p>
    <w:p w:rsidR="00995BE0" w:rsidRPr="001D71BB" w:rsidRDefault="00995BE0" w:rsidP="00A3155B">
      <w:pPr>
        <w:spacing w:line="360" w:lineRule="auto"/>
        <w:ind w:firstLine="540"/>
        <w:jc w:val="both"/>
        <w:rPr>
          <w:iCs/>
        </w:rPr>
      </w:pPr>
      <w:r w:rsidRPr="001D71BB">
        <w:rPr>
          <w:bCs/>
        </w:rPr>
        <w:t>Sveikatos stiprinimas mokykloje gerina jaunų žmonių gebėjimus imtis veiksmų ir generuoti pokyčius. Ši veikla suteikia galimybes sukurti aplinką, kurioje galima įprasminti savo siekius ir laimėjimus. Suteikimas jauniems žmonėms galimybių, susijusių su jų svajonėmis ir planais, įgalina juos pačius tvarkyti savo gyvenimą ir gyvenimo sąlygas“ (</w:t>
      </w:r>
      <w:r w:rsidRPr="009E69F0">
        <w:rPr>
          <w:iCs/>
        </w:rPr>
        <w:t>Egmond’o darbotvarkė, 2002</w:t>
      </w:r>
      <w:r w:rsidRPr="001D71BB">
        <w:rPr>
          <w:iCs/>
        </w:rPr>
        <w:t>).</w:t>
      </w:r>
    </w:p>
    <w:p w:rsidR="00995BE0" w:rsidRPr="001D71BB" w:rsidRDefault="00995BE0" w:rsidP="00A3155B">
      <w:pPr>
        <w:autoSpaceDE w:val="0"/>
        <w:autoSpaceDN w:val="0"/>
        <w:adjustRightInd w:val="0"/>
        <w:spacing w:line="360" w:lineRule="auto"/>
        <w:ind w:firstLine="540"/>
        <w:jc w:val="both"/>
        <w:rPr>
          <w:iCs/>
        </w:rPr>
      </w:pPr>
      <w:r w:rsidRPr="001D71BB">
        <w:rPr>
          <w:rFonts w:ascii="TimesNewRomanPSMT" w:cs="TimesNewRomanPSMT"/>
        </w:rPr>
        <w:t>Sveikat</w:t>
      </w:r>
      <w:r w:rsidRPr="001D71BB">
        <w:rPr>
          <w:rFonts w:ascii="TimesNewRomanPSMT" w:cs="TimesNewRomanPSMT"/>
        </w:rPr>
        <w:t>ą</w:t>
      </w:r>
      <w:r w:rsidRPr="001D71BB">
        <w:rPr>
          <w:rFonts w:ascii="TimesNewRomanPSMT" w:cs="TimesNewRomanPSMT"/>
        </w:rPr>
        <w:t xml:space="preserve"> stiprinan</w:t>
      </w:r>
      <w:r w:rsidRPr="001D71BB">
        <w:rPr>
          <w:rFonts w:ascii="TimesNewRomanPSMT" w:cs="TimesNewRomanPSMT"/>
        </w:rPr>
        <w:t>č</w:t>
      </w:r>
      <w:r w:rsidRPr="001D71BB">
        <w:rPr>
          <w:rFonts w:ascii="TimesNewRomanPSMT" w:cs="TimesNewRomanPSMT"/>
        </w:rPr>
        <w:t>i</w:t>
      </w:r>
      <w:r w:rsidRPr="001D71BB">
        <w:rPr>
          <w:rFonts w:ascii="TimesNewRomanPSMT" w:cs="TimesNewRomanPSMT"/>
        </w:rPr>
        <w:t>ų</w:t>
      </w:r>
      <w:r w:rsidRPr="001D71BB">
        <w:rPr>
          <w:rFonts w:ascii="TimesNewRomanPSMT" w:cs="TimesNewRomanPSMT"/>
        </w:rPr>
        <w:t xml:space="preserve"> mokykl</w:t>
      </w:r>
      <w:r w:rsidRPr="001D71BB">
        <w:rPr>
          <w:rFonts w:ascii="TimesNewRomanPSMT" w:cs="TimesNewRomanPSMT"/>
        </w:rPr>
        <w:t>ų</w:t>
      </w:r>
      <w:r w:rsidRPr="001D71BB">
        <w:rPr>
          <w:rFonts w:ascii="TimesNewRomanPSMT" w:cs="TimesNewRomanPSMT"/>
        </w:rPr>
        <w:t xml:space="preserve"> (SSM) tinklas Europoje prad</w:t>
      </w:r>
      <w:r w:rsidRPr="001D71BB">
        <w:rPr>
          <w:rFonts w:ascii="TimesNewRomanPSMT" w:cs="TimesNewRomanPSMT"/>
        </w:rPr>
        <w:t>ė</w:t>
      </w:r>
      <w:r w:rsidRPr="001D71BB">
        <w:rPr>
          <w:rFonts w:ascii="TimesNewRomanPSMT" w:cs="TimesNewRomanPSMT"/>
        </w:rPr>
        <w:t xml:space="preserve">tas kurti 1992 m. bendromis Europos Tarybos, Europos Bendrijos, Pasaulio sveikatos organizacijos Europos regiono biuro </w:t>
      </w:r>
      <w:r w:rsidRPr="001D71BB">
        <w:t>(PSO/EURO) pastangomis (</w:t>
      </w:r>
      <w:r>
        <w:t>Barnekow Rasmussen ir kt.</w:t>
      </w:r>
      <w:r w:rsidRPr="001D71BB">
        <w:t>, 1999). Šiandien jis plėtojamas 43 Europos šalyse. 1993 m. Lietuva buvo oficialiai priimta į Europos sveikatą stiprinančių mokyklų tinklą.</w:t>
      </w:r>
    </w:p>
    <w:p w:rsidR="00995BE0" w:rsidRPr="001D71BB" w:rsidRDefault="00995BE0" w:rsidP="00A3155B">
      <w:pPr>
        <w:autoSpaceDE w:val="0"/>
        <w:autoSpaceDN w:val="0"/>
        <w:adjustRightInd w:val="0"/>
        <w:spacing w:line="360" w:lineRule="auto"/>
        <w:ind w:firstLine="540"/>
        <w:jc w:val="both"/>
        <w:rPr>
          <w:rFonts w:ascii="TimesNewRomanPSMT" w:cs="TimesNewRomanPSMT"/>
        </w:rPr>
      </w:pPr>
      <w:r w:rsidRPr="001D71BB">
        <w:rPr>
          <w:rFonts w:ascii="TimesNewRomanPSMT" w:cs="TimesNewRomanPSMT"/>
        </w:rPr>
        <w:lastRenderedPageBreak/>
        <w:t>Pagrindinis sveikat</w:t>
      </w:r>
      <w:r w:rsidRPr="001D71BB">
        <w:rPr>
          <w:rFonts w:ascii="TimesNewRomanPSMT" w:cs="TimesNewRomanPSMT"/>
        </w:rPr>
        <w:t>ą</w:t>
      </w:r>
      <w:r w:rsidRPr="001D71BB">
        <w:rPr>
          <w:rFonts w:ascii="TimesNewRomanPSMT" w:cs="TimesNewRomanPSMT"/>
        </w:rPr>
        <w:t xml:space="preserve"> stiprinan</w:t>
      </w:r>
      <w:r w:rsidRPr="001D71BB">
        <w:rPr>
          <w:rFonts w:ascii="TimesNewRomanPSMT" w:cs="TimesNewRomanPSMT"/>
        </w:rPr>
        <w:t>č</w:t>
      </w:r>
      <w:r w:rsidRPr="001D71BB">
        <w:rPr>
          <w:rFonts w:ascii="TimesNewRomanPSMT" w:cs="TimesNewRomanPSMT"/>
        </w:rPr>
        <w:t xml:space="preserve">ios mokyklos (SSM) tikslas </w:t>
      </w:r>
      <w:r w:rsidRPr="001D71BB">
        <w:rPr>
          <w:rFonts w:ascii="TimesNewRomanPSMT" w:cs="TimesNewRomanPSMT"/>
        </w:rPr>
        <w:t>–</w:t>
      </w:r>
      <w:r w:rsidRPr="001D71BB">
        <w:rPr>
          <w:rFonts w:ascii="TimesNewRomanPSMT" w:cs="TimesNewRomanPSMT"/>
        </w:rPr>
        <w:t xml:space="preserve"> vis</w:t>
      </w:r>
      <w:r w:rsidRPr="001D71BB">
        <w:rPr>
          <w:rFonts w:ascii="TimesNewRomanPSMT" w:cs="TimesNewRomanPSMT"/>
        </w:rPr>
        <w:t>ų</w:t>
      </w:r>
      <w:r w:rsidRPr="001D71BB">
        <w:rPr>
          <w:rFonts w:ascii="TimesNewRomanPSMT" w:cs="TimesNewRomanPSMT"/>
        </w:rPr>
        <w:t xml:space="preserve"> mokyklos bendruomen</w:t>
      </w:r>
      <w:r w:rsidRPr="001D71BB">
        <w:rPr>
          <w:rFonts w:ascii="TimesNewRomanPSMT" w:cs="TimesNewRomanPSMT"/>
        </w:rPr>
        <w:t>ė</w:t>
      </w:r>
      <w:r w:rsidRPr="001D71BB">
        <w:rPr>
          <w:rFonts w:ascii="TimesNewRomanPSMT" w:cs="TimesNewRomanPSMT"/>
        </w:rPr>
        <w:t>s nari</w:t>
      </w:r>
      <w:r w:rsidRPr="001D71BB">
        <w:rPr>
          <w:rFonts w:ascii="TimesNewRomanPSMT" w:cs="TimesNewRomanPSMT"/>
        </w:rPr>
        <w:t>ų</w:t>
      </w:r>
      <w:r w:rsidRPr="001D71BB">
        <w:rPr>
          <w:rFonts w:ascii="TimesNewRomanPSMT" w:cs="TimesNewRomanPSMT"/>
        </w:rPr>
        <w:t xml:space="preserve"> sveikos gyvensenos </w:t>
      </w:r>
      <w:r w:rsidRPr="001D71BB">
        <w:rPr>
          <w:rFonts w:ascii="TimesNewRomanPSMT" w:cs="TimesNewRomanPSMT"/>
        </w:rPr>
        <w:t>į</w:t>
      </w:r>
      <w:r w:rsidRPr="001D71BB">
        <w:rPr>
          <w:rFonts w:ascii="TimesNewRomanPSMT" w:cs="TimesNewRomanPSMT"/>
        </w:rPr>
        <w:t>g</w:t>
      </w:r>
      <w:r w:rsidRPr="001D71BB">
        <w:rPr>
          <w:rFonts w:ascii="TimesNewRomanPSMT" w:cs="TimesNewRomanPSMT"/>
        </w:rPr>
        <w:t>ū</w:t>
      </w:r>
      <w:r w:rsidRPr="001D71BB">
        <w:rPr>
          <w:rFonts w:ascii="TimesNewRomanPSMT" w:cs="TimesNewRomanPSMT"/>
        </w:rPr>
        <w:t>d</w:t>
      </w:r>
      <w:r w:rsidRPr="001D71BB">
        <w:rPr>
          <w:rFonts w:ascii="TimesNewRomanPSMT" w:cs="TimesNewRomanPSMT"/>
        </w:rPr>
        <w:t>ž</w:t>
      </w:r>
      <w:r w:rsidRPr="001D71BB">
        <w:rPr>
          <w:rFonts w:ascii="TimesNewRomanPSMT" w:cs="TimesNewRomanPSMT"/>
        </w:rPr>
        <w:t>i</w:t>
      </w:r>
      <w:r w:rsidRPr="001D71BB">
        <w:rPr>
          <w:rFonts w:ascii="TimesNewRomanPSMT" w:cs="TimesNewRomanPSMT"/>
        </w:rPr>
        <w:t>ų</w:t>
      </w:r>
      <w:r w:rsidRPr="001D71BB">
        <w:rPr>
          <w:rFonts w:ascii="TimesNewRomanPSMT" w:cs="TimesNewRomanPSMT"/>
        </w:rPr>
        <w:t xml:space="preserve"> ugdymas, padedant mokiniams formuoti sveikos gyvensenos </w:t>
      </w:r>
      <w:r w:rsidRPr="001D71BB">
        <w:rPr>
          <w:rFonts w:ascii="TimesNewRomanPSMT" w:cs="TimesNewRomanPSMT"/>
        </w:rPr>
        <w:t>į</w:t>
      </w:r>
      <w:r w:rsidRPr="001D71BB">
        <w:rPr>
          <w:rFonts w:ascii="TimesNewRomanPSMT" w:cs="TimesNewRomanPSMT"/>
        </w:rPr>
        <w:t>g</w:t>
      </w:r>
      <w:r w:rsidRPr="001D71BB">
        <w:rPr>
          <w:rFonts w:ascii="TimesNewRomanPSMT" w:cs="TimesNewRomanPSMT"/>
        </w:rPr>
        <w:t>ū</w:t>
      </w:r>
      <w:r w:rsidRPr="001D71BB">
        <w:rPr>
          <w:rFonts w:ascii="TimesNewRomanPSMT" w:cs="TimesNewRomanPSMT"/>
        </w:rPr>
        <w:t>d</w:t>
      </w:r>
      <w:r w:rsidRPr="001D71BB">
        <w:rPr>
          <w:rFonts w:ascii="TimesNewRomanPSMT" w:cs="TimesNewRomanPSMT"/>
        </w:rPr>
        <w:t>ž</w:t>
      </w:r>
      <w:r w:rsidRPr="001D71BB">
        <w:rPr>
          <w:rFonts w:ascii="TimesNewRomanPSMT" w:cs="TimesNewRomanPSMT"/>
        </w:rPr>
        <w:t>ius bei sukuriant sveikatai palanki</w:t>
      </w:r>
      <w:r w:rsidRPr="001D71BB">
        <w:rPr>
          <w:rFonts w:ascii="TimesNewRomanPSMT" w:cs="TimesNewRomanPSMT"/>
        </w:rPr>
        <w:t>ą</w:t>
      </w:r>
      <w:r w:rsidRPr="001D71BB">
        <w:rPr>
          <w:rFonts w:ascii="TimesNewRomanPSMT" w:cs="TimesNewRomanPSMT"/>
        </w:rPr>
        <w:t xml:space="preserve"> fizin</w:t>
      </w:r>
      <w:r w:rsidRPr="001D71BB">
        <w:rPr>
          <w:rFonts w:ascii="TimesNewRomanPSMT" w:cs="TimesNewRomanPSMT"/>
        </w:rPr>
        <w:t>ę</w:t>
      </w:r>
      <w:r w:rsidRPr="001D71BB">
        <w:rPr>
          <w:rFonts w:ascii="TimesNewRomanPSMT" w:cs="TimesNewRomanPSMT"/>
        </w:rPr>
        <w:t xml:space="preserve"> ir psichosocialin</w:t>
      </w:r>
      <w:r w:rsidRPr="001D71BB">
        <w:rPr>
          <w:rFonts w:ascii="TimesNewRomanPSMT" w:cs="TimesNewRomanPSMT"/>
        </w:rPr>
        <w:t>ę</w:t>
      </w:r>
      <w:r w:rsidRPr="001D71BB">
        <w:rPr>
          <w:rFonts w:ascii="TimesNewRomanPSMT" w:cs="TimesNewRomanPSMT"/>
        </w:rPr>
        <w:t xml:space="preserve"> aplink</w:t>
      </w:r>
      <w:r w:rsidRPr="001D71BB">
        <w:rPr>
          <w:rFonts w:ascii="TimesNewRomanPSMT" w:cs="TimesNewRomanPSMT"/>
        </w:rPr>
        <w:t>ą</w:t>
      </w:r>
      <w:r w:rsidRPr="001D71BB">
        <w:rPr>
          <w:rFonts w:ascii="TimesNewRomanPSMT" w:cs="TimesNewRomanPSMT"/>
        </w:rPr>
        <w:t xml:space="preserve"> </w:t>
      </w:r>
      <w:r>
        <w:rPr>
          <w:rFonts w:ascii="TimesNewRomanPSMT" w:cs="TimesNewRomanPSMT"/>
        </w:rPr>
        <w:t>(ten pat</w:t>
      </w:r>
      <w:r w:rsidRPr="001D71BB">
        <w:rPr>
          <w:rFonts w:ascii="TimesNewRomanPSMT" w:cs="TimesNewRomanPSMT"/>
        </w:rPr>
        <w:t>).</w:t>
      </w:r>
    </w:p>
    <w:p w:rsidR="00995BE0" w:rsidRPr="001D71BB" w:rsidRDefault="00995BE0" w:rsidP="00A3155B">
      <w:pPr>
        <w:autoSpaceDE w:val="0"/>
        <w:autoSpaceDN w:val="0"/>
        <w:adjustRightInd w:val="0"/>
        <w:spacing w:line="360" w:lineRule="auto"/>
        <w:ind w:firstLine="567"/>
        <w:jc w:val="both"/>
      </w:pPr>
      <w:r w:rsidRPr="001D71BB">
        <w:t>Ypač svarbu sukurti mokykloje gerą psichologinį klimatą. Mokykloje turėtų vyrauti geri santykiai: jaučiamas pasitikėjimas ir paramos atmosfera; problemos pastebimos ir sprendžiamos; mokiniai ir darbuotojai jaučiasi gerbiami, pripažįstami ir vertinami jų sugebėjimai; aiškios taisyklės, atsakomybė; paskatinimas, o ne bausmė yra įprastas dalykas; mokiniai konsultuojami jiems rūpimais klausimais; jausmai išreiškiami ir atvirai išsiaiškinama; tėvai visuomet laukiami (Jaunimo sveikatos stiprinimas Europoje, 2000).</w:t>
      </w:r>
    </w:p>
    <w:p w:rsidR="00995BE0" w:rsidRPr="001D71BB" w:rsidRDefault="00995BE0" w:rsidP="00A04E94">
      <w:pPr>
        <w:autoSpaceDE w:val="0"/>
        <w:autoSpaceDN w:val="0"/>
        <w:adjustRightInd w:val="0"/>
        <w:spacing w:line="360" w:lineRule="auto"/>
        <w:ind w:firstLine="567"/>
        <w:jc w:val="both"/>
      </w:pPr>
      <w:r w:rsidRPr="001D71BB">
        <w:t>Pirmojoje tarptautinėje sveikatą stiprinančių mokyklų konferencijoje, kuri vyko 1997 m. Salonikuose, Graikijoje, įvairių sričių specialistai iš 43 Europos šalių sutarė dėl esminių sveikatą stiprinančios mokyklos principų</w:t>
      </w:r>
      <w:r>
        <w:t>, kurie būtų taikomi praktikoje</w:t>
      </w:r>
      <w:r w:rsidRPr="001D71BB">
        <w:t xml:space="preserve"> (</w:t>
      </w:r>
      <w:bookmarkStart w:id="56" w:name="OLE_LINK3"/>
      <w:bookmarkStart w:id="57" w:name="OLE_LINK4"/>
      <w:r w:rsidRPr="00DB1BF9">
        <w:t>Pirmoji Europos sveikatą stiprinančių mokyklų konferencija, 1997</w:t>
      </w:r>
      <w:bookmarkEnd w:id="56"/>
      <w:bookmarkEnd w:id="57"/>
      <w:r w:rsidRPr="00DB1BF9">
        <w:t>).</w:t>
      </w:r>
    </w:p>
    <w:p w:rsidR="00995BE0" w:rsidRPr="001D71BB" w:rsidRDefault="00995BE0" w:rsidP="00A3155B">
      <w:pPr>
        <w:autoSpaceDE w:val="0"/>
        <w:autoSpaceDN w:val="0"/>
        <w:adjustRightInd w:val="0"/>
        <w:spacing w:line="360" w:lineRule="auto"/>
        <w:ind w:firstLine="540"/>
        <w:jc w:val="both"/>
      </w:pPr>
      <w:r w:rsidRPr="00DB1BF9">
        <w:t>Sveikatą stiprinančiose mokyklose vyrauja kompleksinė tarpsektorinė veikla, apimanti ugdymo procesus, tai ko mokoma pamokose ir organizuojant popamokinę, projektinę ar kitą veiklą, saugios ir sveikos</w:t>
      </w:r>
      <w:r w:rsidRPr="001D71BB">
        <w:rPr>
          <w:rFonts w:ascii="TimesNewRomanPSMT" w:cs="TimesNewRomanPSMT"/>
        </w:rPr>
        <w:t xml:space="preserve"> mokymosi aplinkos k</w:t>
      </w:r>
      <w:r w:rsidRPr="001D71BB">
        <w:rPr>
          <w:rFonts w:ascii="TimesNewRomanPSMT" w:cs="TimesNewRomanPSMT"/>
        </w:rPr>
        <w:t>ū</w:t>
      </w:r>
      <w:r w:rsidRPr="001D71BB">
        <w:rPr>
          <w:rFonts w:ascii="TimesNewRomanPSMT" w:cs="TimesNewRomanPSMT"/>
        </w:rPr>
        <w:t>rim</w:t>
      </w:r>
      <w:r w:rsidRPr="001D71BB">
        <w:rPr>
          <w:rFonts w:ascii="TimesNewRomanPSMT" w:cs="TimesNewRomanPSMT"/>
        </w:rPr>
        <w:t>ą</w:t>
      </w:r>
      <w:r w:rsidRPr="001D71BB">
        <w:rPr>
          <w:rFonts w:ascii="TimesNewRomanPSMT" w:cs="TimesNewRomanPSMT"/>
        </w:rPr>
        <w:t>, bendradarbiavimo ir partneryst</w:t>
      </w:r>
      <w:r w:rsidRPr="001D71BB">
        <w:rPr>
          <w:rFonts w:ascii="TimesNewRomanPSMT" w:cs="TimesNewRomanPSMT"/>
        </w:rPr>
        <w:t>ė</w:t>
      </w:r>
      <w:r w:rsidRPr="001D71BB">
        <w:rPr>
          <w:rFonts w:ascii="TimesNewRomanPSMT" w:cs="TimesNewRomanPSMT"/>
        </w:rPr>
        <w:t>s pl</w:t>
      </w:r>
      <w:r w:rsidRPr="001D71BB">
        <w:rPr>
          <w:rFonts w:ascii="TimesNewRomanPSMT" w:cs="TimesNewRomanPSMT"/>
        </w:rPr>
        <w:t>ė</w:t>
      </w:r>
      <w:r w:rsidRPr="001D71BB">
        <w:rPr>
          <w:rFonts w:ascii="TimesNewRomanPSMT" w:cs="TimesNewRomanPSMT"/>
        </w:rPr>
        <w:t>tojim</w:t>
      </w:r>
      <w:r w:rsidRPr="001D71BB">
        <w:rPr>
          <w:rFonts w:ascii="TimesNewRomanPSMT" w:cs="TimesNewRomanPSMT"/>
        </w:rPr>
        <w:t>ą</w:t>
      </w:r>
      <w:r w:rsidRPr="001D71BB">
        <w:rPr>
          <w:rFonts w:ascii="TimesNewRomanPSMT" w:cs="TimesNewRomanPSMT"/>
        </w:rPr>
        <w:t xml:space="preserve"> tiek tarp mokyklos bendruomen</w:t>
      </w:r>
      <w:r w:rsidRPr="001D71BB">
        <w:rPr>
          <w:rFonts w:ascii="TimesNewRomanPSMT" w:cs="TimesNewRomanPSMT"/>
        </w:rPr>
        <w:t>ė</w:t>
      </w:r>
      <w:r w:rsidRPr="001D71BB">
        <w:rPr>
          <w:rFonts w:ascii="TimesNewRomanPSMT" w:cs="TimesNewRomanPSMT"/>
        </w:rPr>
        <w:t>s nari</w:t>
      </w:r>
      <w:r w:rsidRPr="001D71BB">
        <w:rPr>
          <w:rFonts w:ascii="TimesNewRomanPSMT" w:cs="TimesNewRomanPSMT"/>
        </w:rPr>
        <w:t>ų</w:t>
      </w:r>
      <w:r w:rsidRPr="001D71BB">
        <w:rPr>
          <w:rFonts w:ascii="TimesNewRomanPSMT" w:cs="TimesNewRomanPSMT"/>
        </w:rPr>
        <w:t xml:space="preserve">, tiek ir bendraujant su socialiniais partneriais </w:t>
      </w:r>
      <w:r>
        <w:t xml:space="preserve">(18 </w:t>
      </w:r>
      <w:r w:rsidRPr="001D71BB">
        <w:t>pav.) (Jociūtė ir kt., 2008).</w:t>
      </w:r>
    </w:p>
    <w:p w:rsidR="00995BE0" w:rsidRPr="001D71BB" w:rsidRDefault="00995BE0" w:rsidP="00A3155B">
      <w:pPr>
        <w:autoSpaceDE w:val="0"/>
        <w:autoSpaceDN w:val="0"/>
        <w:adjustRightInd w:val="0"/>
        <w:spacing w:line="360" w:lineRule="auto"/>
        <w:ind w:firstLine="540"/>
        <w:jc w:val="both"/>
      </w:pPr>
    </w:p>
    <w:p w:rsidR="00995BE0" w:rsidRPr="001D71BB" w:rsidRDefault="00CB16CF" w:rsidP="00A3155B">
      <w:pPr>
        <w:autoSpaceDE w:val="0"/>
        <w:autoSpaceDN w:val="0"/>
        <w:adjustRightInd w:val="0"/>
        <w:spacing w:line="360" w:lineRule="auto"/>
        <w:jc w:val="both"/>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7" type="#_x0000_t47" style="position:absolute;left:0;text-align:left;margin-left:-23.2pt;margin-top:211.55pt;width:77.75pt;height:37.2pt;z-index:251611136" adj="33046,697,23267,5226,35116,-3716,36963,-1132" fillcolor="#f79646" stroked="f" strokeweight="0">
            <v:fill color2="#df6a09" focusposition=".5,.5" focussize="" focus="100%" type="gradientRadial"/>
            <v:shadow on="t" type="perspective" color="#974706" offset="1pt" offset2="-3pt"/>
            <v:textbox style="mso-next-textbox:#_x0000_s1047">
              <w:txbxContent>
                <w:p w:rsidR="00995BE0" w:rsidRPr="00DB1BF9" w:rsidRDefault="00995BE0">
                  <w:pPr>
                    <w:rPr>
                      <w:b/>
                      <w:sz w:val="22"/>
                      <w:szCs w:val="22"/>
                    </w:rPr>
                  </w:pPr>
                  <w:r w:rsidRPr="00DB1BF9">
                    <w:rPr>
                      <w:b/>
                      <w:sz w:val="22"/>
                      <w:szCs w:val="22"/>
                    </w:rPr>
                    <w:t>FIZINĖ APLINKA</w:t>
                  </w:r>
                </w:p>
              </w:txbxContent>
            </v:textbox>
            <o:callout v:ext="edit" minusx="t"/>
          </v:shape>
        </w:pict>
      </w:r>
      <w:r>
        <w:rPr>
          <w:noProof/>
        </w:rPr>
        <w:pict>
          <v:shape id="_x0000_s1048" type="#_x0000_t47" style="position:absolute;left:0;text-align:left;margin-left:372.8pt;margin-top:174pt;width:95.4pt;height:37.55pt;z-index:251612160" adj="-8706,49240,-1358,5177,-4891,88989,-3385,91548" fillcolor="#9bbb59" stroked="f" strokeweight="0">
            <v:fill color2="#74903b" focusposition=".5,.5" focussize="" focus="100%" type="gradientRadial"/>
            <v:shadow on="t" type="perspective" color="#4e6128" offset="1pt" offset2="-3pt"/>
            <v:textbox style="mso-next-textbox:#_x0000_s1048">
              <w:txbxContent>
                <w:p w:rsidR="00995BE0" w:rsidRPr="00DB1BF9" w:rsidRDefault="00995BE0">
                  <w:pPr>
                    <w:rPr>
                      <w:b/>
                      <w:color w:val="FFFFFF"/>
                      <w:sz w:val="22"/>
                      <w:szCs w:val="22"/>
                    </w:rPr>
                  </w:pPr>
                  <w:r w:rsidRPr="00DB1BF9">
                    <w:rPr>
                      <w:b/>
                      <w:color w:val="FFFFFF"/>
                      <w:sz w:val="22"/>
                      <w:szCs w:val="22"/>
                    </w:rPr>
                    <w:t>MOKYKLOJE</w:t>
                  </w:r>
                </w:p>
              </w:txbxContent>
            </v:textbox>
            <o:callout v:ext="edit" minusy="t"/>
          </v:shape>
        </w:pict>
      </w:r>
      <w:r>
        <w:rPr>
          <w:noProof/>
        </w:rPr>
        <w:pict>
          <v:shape id="_x0000_s1049" type="#_x0000_t47" style="position:absolute;left:0;text-align:left;margin-left:341.5pt;margin-top:116.1pt;width:90.5pt;height:48pt;z-index:251613184" adj="26708,-3398,23032,,44358,-26573,45945,-24570" fillcolor="#9bbb59" stroked="f" strokeweight="0">
            <v:fill color2="#74903b" focusposition=".5,.5" focussize="" focus="100%" type="gradientRadial"/>
            <v:shadow on="t" type="perspective" color="#4e6128" offset="1pt" offset2="-3pt"/>
            <v:textbox style="mso-next-textbox:#_x0000_s1049">
              <w:txbxContent>
                <w:p w:rsidR="00995BE0" w:rsidRPr="00DB1BF9" w:rsidRDefault="00995BE0">
                  <w:pPr>
                    <w:rPr>
                      <w:b/>
                      <w:color w:val="FFFFFF"/>
                      <w:sz w:val="22"/>
                      <w:szCs w:val="22"/>
                    </w:rPr>
                  </w:pPr>
                  <w:r w:rsidRPr="00DB1BF9">
                    <w:rPr>
                      <w:b/>
                      <w:color w:val="FFFFFF"/>
                      <w:sz w:val="22"/>
                      <w:szCs w:val="22"/>
                    </w:rPr>
                    <w:t>UŽ MOKYKLOS RIBŲ</w:t>
                  </w:r>
                </w:p>
              </w:txbxContent>
            </v:textbox>
            <o:callout v:ext="edit" minusx="t"/>
          </v:shape>
        </w:pict>
      </w:r>
      <w:r>
        <w:rPr>
          <w:noProof/>
        </w:rPr>
        <w:pict>
          <v:shape id="_x0000_s1050" type="#_x0000_t47" style="position:absolute;left:0;text-align:left;margin-left:-36.85pt;margin-top:170.1pt;width:116.9pt;height:35.2pt;z-index:251610112" adj="25794,4817,22709,5523,22986,8315,24215,11045" fillcolor="#f79646" stroked="f" strokeweight="0">
            <v:fill color2="#df6a09" focusposition=".5,.5" focussize="" focus="100%" type="gradientRadial"/>
            <v:shadow on="t" type="perspective" color="#974706" offset="1pt" offset2="-3pt"/>
            <v:textbox style="mso-next-textbox:#_x0000_s1050">
              <w:txbxContent>
                <w:p w:rsidR="00995BE0" w:rsidRPr="00DB1BF9" w:rsidRDefault="00995BE0">
                  <w:pPr>
                    <w:rPr>
                      <w:b/>
                      <w:sz w:val="22"/>
                      <w:szCs w:val="22"/>
                    </w:rPr>
                  </w:pPr>
                  <w:r w:rsidRPr="00DB1BF9">
                    <w:rPr>
                      <w:b/>
                      <w:sz w:val="22"/>
                      <w:szCs w:val="22"/>
                    </w:rPr>
                    <w:t>PSICHOLOGINĖ APLINKA</w:t>
                  </w:r>
                </w:p>
              </w:txbxContent>
            </v:textbox>
            <o:callout v:ext="edit" minusx="t"/>
          </v:shape>
        </w:pict>
      </w:r>
      <w:r>
        <w:rPr>
          <w:noProof/>
        </w:rPr>
        <w:pict>
          <v:shape id="_x0000_s1051" type="#_x0000_t47" style="position:absolute;left:0;text-align:left;margin-left:67.5pt;margin-top:48pt;width:90.8pt;height:29.4pt;z-index:251608064" adj="31544,1139,23027,6612,64764,-7861,66346,-4592" fillcolor="#4bacc6" stroked="f" strokeweight="0">
            <v:fill color2="#308298" focusposition=".5,.5" focussize="" focus="100%" type="gradientRadial"/>
            <v:shadow on="t" type="perspective" color="#205867" offset="1pt" offset2="-3pt"/>
            <v:textbox style="mso-next-textbox:#_x0000_s1051">
              <w:txbxContent>
                <w:p w:rsidR="00995BE0" w:rsidRPr="00DB1BF9" w:rsidRDefault="00995BE0">
                  <w:pPr>
                    <w:rPr>
                      <w:b/>
                      <w:color w:val="FFFFFF"/>
                      <w:sz w:val="22"/>
                      <w:szCs w:val="22"/>
                    </w:rPr>
                  </w:pPr>
                  <w:r w:rsidRPr="00DB1BF9">
                    <w:rPr>
                      <w:b/>
                      <w:color w:val="FFFFFF"/>
                      <w:sz w:val="22"/>
                      <w:szCs w:val="22"/>
                    </w:rPr>
                    <w:t>PROGRAMA</w:t>
                  </w:r>
                </w:p>
              </w:txbxContent>
            </v:textbox>
            <o:callout v:ext="edit" minusx="t"/>
          </v:shape>
        </w:pict>
      </w:r>
      <w:r>
        <w:rPr>
          <w:noProof/>
        </w:rPr>
        <w:pict>
          <v:shape id="_x0000_s1052" type="#_x0000_t47" style="position:absolute;left:0;text-align:left;margin-left:62.85pt;margin-top:5.35pt;width:112.15pt;height:34.05pt;z-index:251609088" adj="23218,19602,22756,5709,21937,16779,23218,19602" fillcolor="#4bacc6" stroked="f" strokeweight="0">
            <v:fill color2="#308298" focusposition=".5,.5" focussize="" focus="100%" type="gradientRadial"/>
            <v:shadow on="t" type="perspective" color="#205867" offset="1pt" offset2="-3pt"/>
            <v:textbox style="mso-next-textbox:#_x0000_s1052">
              <w:txbxContent>
                <w:p w:rsidR="00995BE0" w:rsidRPr="00DB1BF9" w:rsidRDefault="00995BE0">
                  <w:pPr>
                    <w:rPr>
                      <w:b/>
                      <w:color w:val="FFFFFF"/>
                      <w:sz w:val="22"/>
                      <w:szCs w:val="22"/>
                    </w:rPr>
                  </w:pPr>
                  <w:r w:rsidRPr="00DB1BF9">
                    <w:rPr>
                      <w:b/>
                      <w:color w:val="FFFFFF"/>
                      <w:sz w:val="22"/>
                      <w:szCs w:val="22"/>
                    </w:rPr>
                    <w:t>NEFORMALUS ŠVIETIMAS</w:t>
                  </w:r>
                </w:p>
              </w:txbxContent>
            </v:textbox>
            <o:callout v:ext="edit" minusx="t" minusy="t"/>
          </v:shape>
        </w:pict>
      </w:r>
      <w:r w:rsidR="00A54FAC">
        <w:rPr>
          <w:noProof/>
        </w:rPr>
        <w:drawing>
          <wp:inline distT="0" distB="0" distL="0" distR="0">
            <wp:extent cx="5316855" cy="3083936"/>
            <wp:effectExtent l="0" t="114300" r="0" b="230764"/>
            <wp:docPr id="19" name="Paveikslėlis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95BE0" w:rsidRPr="0077780C" w:rsidRDefault="00995BE0" w:rsidP="0077780C">
      <w:pPr>
        <w:jc w:val="center"/>
        <w:rPr>
          <w:b/>
          <w:sz w:val="22"/>
          <w:szCs w:val="22"/>
        </w:rPr>
      </w:pPr>
      <w:r>
        <w:rPr>
          <w:b/>
          <w:sz w:val="22"/>
          <w:szCs w:val="22"/>
        </w:rPr>
        <w:t xml:space="preserve">18 </w:t>
      </w:r>
      <w:r w:rsidRPr="0077780C">
        <w:rPr>
          <w:b/>
          <w:sz w:val="22"/>
          <w:szCs w:val="22"/>
        </w:rPr>
        <w:t xml:space="preserve">pav. </w:t>
      </w:r>
      <w:r w:rsidRPr="0077780C">
        <w:rPr>
          <w:sz w:val="22"/>
          <w:szCs w:val="22"/>
        </w:rPr>
        <w:t>Sveikatą stiprinančios mokyklos koncepcija</w:t>
      </w:r>
    </w:p>
    <w:p w:rsidR="00995BE0" w:rsidRPr="001D71BB" w:rsidRDefault="00995BE0" w:rsidP="0077780C">
      <w:pPr>
        <w:jc w:val="center"/>
        <w:rPr>
          <w:sz w:val="20"/>
          <w:szCs w:val="20"/>
        </w:rPr>
      </w:pPr>
      <w:r w:rsidRPr="001D71BB">
        <w:rPr>
          <w:sz w:val="20"/>
          <w:szCs w:val="20"/>
        </w:rPr>
        <w:t xml:space="preserve">Šaltinis: </w:t>
      </w:r>
      <w:r w:rsidRPr="001D71BB">
        <w:rPr>
          <w:bCs/>
          <w:sz w:val="20"/>
          <w:szCs w:val="20"/>
        </w:rPr>
        <w:t>Jociūtė, A., Krupskienė, A., Sabaliauskienė, D., Paulauskienė, N. (2008) Sveikatos stiprinimas mokyklose. Metodinės rekomendacijos. Vilnius.</w:t>
      </w:r>
    </w:p>
    <w:p w:rsidR="00995BE0" w:rsidRPr="001D71BB" w:rsidRDefault="00995BE0" w:rsidP="00A3155B">
      <w:pPr>
        <w:autoSpaceDE w:val="0"/>
        <w:autoSpaceDN w:val="0"/>
        <w:adjustRightInd w:val="0"/>
        <w:spacing w:line="360" w:lineRule="auto"/>
      </w:pPr>
    </w:p>
    <w:p w:rsidR="00995BE0" w:rsidRPr="001D71BB" w:rsidRDefault="00995BE0" w:rsidP="00A3155B">
      <w:pPr>
        <w:autoSpaceDE w:val="0"/>
        <w:autoSpaceDN w:val="0"/>
        <w:adjustRightInd w:val="0"/>
        <w:spacing w:line="360" w:lineRule="auto"/>
        <w:ind w:firstLine="567"/>
        <w:jc w:val="both"/>
      </w:pPr>
      <w:r w:rsidRPr="001D71BB">
        <w:lastRenderedPageBreak/>
        <w:t>Visos šios sritys tarpusavyje susijusios. Pvz., kalbant apie fizinį aktyvumą mokykloje, nepakanka šią temą įtraukti į mokyklinę programą, reikia apimti ir kitus su mokyklos aplinka susijusius aspektus: siūlyti mokiniams į mokyklą važiuoti dviračiu ar eiti pėsčiomis, skatinti jų fizinį aktyvumą, pasirūpinti kelionės saugumu, numatyti vietas, kur saugiai būtų galima palikti dviračius ir pan. (Jociūtė ir kt., 2008).</w:t>
      </w:r>
    </w:p>
    <w:p w:rsidR="00995BE0" w:rsidRPr="001D71BB" w:rsidRDefault="00995BE0" w:rsidP="00D95452">
      <w:pPr>
        <w:spacing w:line="360" w:lineRule="auto"/>
        <w:ind w:firstLine="567"/>
        <w:jc w:val="both"/>
      </w:pPr>
      <w:r w:rsidRPr="001D71BB">
        <w:t>Sveikatos stiprinimo idėja remiasi: vertybėmis ir požiūriais, kurie grindžiami darbo organizavimu mokykloje bei personalo veikla; glaudžiais ryšiais su moksleivių tėvais; savivaldybės, visuomenės ir mokyklos bendradarbiavimu; palankia politine ir įstatymine situacija.</w:t>
      </w:r>
    </w:p>
    <w:p w:rsidR="00995BE0" w:rsidRPr="001D71BB" w:rsidRDefault="00995BE0" w:rsidP="00A3155B">
      <w:pPr>
        <w:autoSpaceDE w:val="0"/>
        <w:autoSpaceDN w:val="0"/>
        <w:adjustRightInd w:val="0"/>
        <w:spacing w:line="360" w:lineRule="auto"/>
        <w:ind w:firstLine="567"/>
        <w:jc w:val="both"/>
      </w:pPr>
      <w:r w:rsidRPr="001D71BB">
        <w:t>Visų pirma, sveikatos stiprinimas mokykloje ugdo jaunų žmonių gebėjimus imtis veiksmų ir generuoti pokyčius. Ši veikla suteikia galimybes sukurti aplinką, kurioje mokytojai, kiti bendruomenės nariai gali įprasminti savo siekius ir laimėjimus. Galimybių suteikimas jauniems žmonėms, kai tos galimybės susijusios su jų svajonėmis ir planais, įgalina juos pačius tvarkyti savo gyvenimą ir gyvenimo sąlygas (</w:t>
      </w:r>
      <w:r w:rsidRPr="00DB1BF9">
        <w:t>Pirmoji Europos sveikatą stiprinančių mokyklų konferencija, 1997</w:t>
      </w:r>
      <w:r w:rsidRPr="001D71BB">
        <w:t>).</w:t>
      </w:r>
    </w:p>
    <w:p w:rsidR="00995BE0" w:rsidRPr="001D71BB" w:rsidRDefault="00995BE0" w:rsidP="00A3155B">
      <w:pPr>
        <w:autoSpaceDE w:val="0"/>
        <w:autoSpaceDN w:val="0"/>
        <w:adjustRightInd w:val="0"/>
        <w:spacing w:line="360" w:lineRule="auto"/>
        <w:ind w:firstLine="540"/>
        <w:jc w:val="both"/>
      </w:pPr>
      <w:r w:rsidRPr="001D71BB">
        <w:t>Lietuvos Respublikos sveikatos apsaugos ministras ir Lietuvos Respublikos švietimo ir mokslo ministras 2007 m. rugpjūčio 16 d. įsakymu Nr. V-684/ISAK-1637 patvirtino Mokyklų pripažinimo sveikatą stiprinančiomis mokyklomis tvarkos aprašą. Šis dokumentas nustato pripažinimo sveikatą stiprinančiomis mokyklomis tvarką ikimokyklinio ugdymo, bendrojo lavinimo ir profesinėms mokykloms, norinčioms tapti sveikatą stiprinančiomis mokyklomis, ir mokykloms, esančioms sveikatą stiprinančių mokyklų tinkle bei siekiančioms pratęsti veiklos pažymėjimą.</w:t>
      </w:r>
    </w:p>
    <w:p w:rsidR="00995BE0" w:rsidRPr="001D71BB" w:rsidRDefault="00995BE0" w:rsidP="00A3155B">
      <w:pPr>
        <w:autoSpaceDE w:val="0"/>
        <w:autoSpaceDN w:val="0"/>
        <w:adjustRightInd w:val="0"/>
        <w:spacing w:line="360" w:lineRule="auto"/>
        <w:ind w:firstLine="540"/>
        <w:jc w:val="both"/>
      </w:pPr>
      <w:r w:rsidRPr="001D71BB">
        <w:t>Remiantis minėto dokumento nuostatomis, mokyklos, norinčios tapti sveikatą stiprinančiomis arba pratęsti veiklos pažymėjimą, turi parengti sveikatos stiprinimo veiklos mokykloje ilgalaikę programą. Programos tikslai ir uždaviniai priklauso nuo esamos situacijos analizės arba mokyklos sveikatos stiprinimo veiklos vertinimo.</w:t>
      </w:r>
    </w:p>
    <w:p w:rsidR="00995BE0" w:rsidRPr="001D71BB" w:rsidRDefault="00995BE0" w:rsidP="00A3155B">
      <w:pPr>
        <w:pStyle w:val="hyperlink"/>
        <w:spacing w:before="0" w:beforeAutospacing="0" w:after="0" w:afterAutospacing="0" w:line="360" w:lineRule="auto"/>
        <w:ind w:firstLine="567"/>
        <w:jc w:val="both"/>
        <w:rPr>
          <w:rFonts w:ascii="Tahoma" w:hAnsi="Tahoma" w:cs="Tahoma"/>
        </w:rPr>
      </w:pPr>
      <w:r w:rsidRPr="001D71BB">
        <w:t>Nustatomi dviejų lygių kriterijai ir veiklos sritys mokykloms, siekiančioms būti sveikatą stiprinančiomis mokyklomis. Pirmojo lygio kriterijai taikomi mokykloms, siekiančioms tapti pripažintomis sveikatą stiprinančiomis mokyklomis. Vertinamos šešios veiklos sritys. Kiekviena veiklos sritis vertinama pagal sveikatą stiprinančios mokyklos kriterijų vertinimo išvadą</w:t>
      </w:r>
      <w:r w:rsidRPr="001D71BB">
        <w:rPr>
          <w:b/>
          <w:bCs/>
        </w:rPr>
        <w:t xml:space="preserve"> </w:t>
      </w:r>
      <w:r w:rsidRPr="00A7019A">
        <w:t>(2 priedas</w:t>
      </w:r>
      <w:r w:rsidRPr="001D71BB">
        <w:t>). Antrojo lygio kriterijai taikomi mokykloms, iki 2007 m. įsigaliojus mokyklų pripažinimo sveikatą stiprinančiomis mokyklomis tvarkos aprašui, pripažintoms sveikatą stiprinančiomis mokyklomis, taip pat mokykloms, jei nuo jų pripažinimo sveikatą stiprinančiomis mokyklomis praėjo 5 metai (</w:t>
      </w:r>
      <w:r w:rsidRPr="00A7019A">
        <w:t>3</w:t>
      </w:r>
      <w:r w:rsidRPr="00D95452">
        <w:rPr>
          <w:highlight w:val="yellow"/>
        </w:rPr>
        <w:t xml:space="preserve"> </w:t>
      </w:r>
      <w:r w:rsidRPr="00A7019A">
        <w:t>priedas</w:t>
      </w:r>
      <w:r w:rsidRPr="001D71BB">
        <w:t>). Mokyklos vertinimą dėl pripažinimo sveikatą stiprinančia mokykla atlieka Lietuvos Respublikos sveikatos apsaugos ministro sudaryta Mokyklų pripažinimo sveikatą stiprinan</w:t>
      </w:r>
      <w:r>
        <w:t>čiomis mokyklomis komisija (</w:t>
      </w:r>
      <w:r w:rsidRPr="001D71BB">
        <w:t>LR</w:t>
      </w:r>
      <w:r>
        <w:t xml:space="preserve"> </w:t>
      </w:r>
      <w:r w:rsidRPr="001D71BB">
        <w:t>sveikatos apsaugos ministr</w:t>
      </w:r>
      <w:r>
        <w:t>o</w:t>
      </w:r>
      <w:r w:rsidRPr="001D71BB">
        <w:t xml:space="preserve"> ir LR</w:t>
      </w:r>
      <w:r>
        <w:t xml:space="preserve"> švietimo ir mokslo ministro</w:t>
      </w:r>
      <w:r w:rsidRPr="001D71BB">
        <w:t xml:space="preserve"> </w:t>
      </w:r>
      <w:r>
        <w:t>įsakymas,</w:t>
      </w:r>
      <w:r w:rsidRPr="001D71BB">
        <w:t xml:space="preserve"> 2007).</w:t>
      </w:r>
    </w:p>
    <w:p w:rsidR="00995BE0" w:rsidRPr="001D71BB" w:rsidRDefault="00995BE0" w:rsidP="00A3155B">
      <w:pPr>
        <w:spacing w:line="360" w:lineRule="auto"/>
        <w:ind w:firstLine="567"/>
        <w:jc w:val="both"/>
      </w:pPr>
      <w:r w:rsidRPr="001D71BB">
        <w:lastRenderedPageBreak/>
        <w:t>Visos vaikų ugdymo institucijos, siekdamos įgyvendinti projekte numatytus uždavinius bei rengdamos konkrečius veiklos planus, vadovaujasi 12 kriterijų</w:t>
      </w:r>
      <w:r>
        <w:t xml:space="preserve"> (</w:t>
      </w:r>
      <w:r w:rsidRPr="00A7019A">
        <w:t>13 priedas</w:t>
      </w:r>
      <w:r>
        <w:t>).</w:t>
      </w:r>
    </w:p>
    <w:p w:rsidR="00995BE0" w:rsidRPr="001D71BB" w:rsidRDefault="00995BE0" w:rsidP="00A3155B">
      <w:pPr>
        <w:spacing w:line="360" w:lineRule="auto"/>
        <w:ind w:firstLine="567"/>
        <w:jc w:val="both"/>
      </w:pPr>
      <w:r w:rsidRPr="003D263E">
        <w:t>Lietuvoje 2009 m. 85 mokyklos įvykdė Mokyklų pripažinimo sveikatą stiprinančiomis mokyklomis tvarkos aprašo reikalavimus: 22 pripažintos sveikatą stiprinančiomis mokyklomis, 63 pratęsė veiklą</w:t>
      </w:r>
      <w:r w:rsidRPr="001D71BB">
        <w:t xml:space="preserve"> (</w:t>
      </w:r>
      <w:r>
        <w:t>Svarbiausi faktai apie sveikatą stiprinančių mokyklų tinklą Europoje ir Lietuvoje, 2010</w:t>
      </w:r>
      <w:r w:rsidRPr="001D71BB">
        <w:t>).</w:t>
      </w:r>
      <w:r>
        <w:t xml:space="preserve"> </w:t>
      </w:r>
      <w:r w:rsidRPr="00A7019A">
        <w:t>20 priede</w:t>
      </w:r>
      <w:r>
        <w:t xml:space="preserve"> pavaizduotas sveikatą stiprinančių mokyklų tinklas Lietuvoje.</w:t>
      </w:r>
    </w:p>
    <w:p w:rsidR="00995BE0" w:rsidRPr="001D71BB" w:rsidRDefault="00995BE0" w:rsidP="00A3155B">
      <w:pPr>
        <w:autoSpaceDE w:val="0"/>
        <w:autoSpaceDN w:val="0"/>
        <w:adjustRightInd w:val="0"/>
        <w:spacing w:line="360" w:lineRule="auto"/>
        <w:ind w:firstLine="567"/>
        <w:jc w:val="both"/>
      </w:pPr>
      <w:r w:rsidRPr="001D71BB">
        <w:t>Lietuvoje buvo atliktas sveikatą stiprinančių mokyklų vertinimas (Jociūtė, 2002), kuris parodė, kad mokyklose, dalyvaujančiose tarptautiniame sveikatą stiprinančių mokyklų projekte, palyginti su mokyklomis, nedalyvaujančiomis minėtame projekte, sveikatos stiprinimas ir ugdymas labiau integruotas į bendrąją mokyklos ugdymo sistemą. Pastebima didesnė mokinių sveikos mitybos įpročių, asmens higienos įgūdžių formavimosi tendencija, daugiau jų dalyvauja papildomoje fizinėje veikloje. Sveikatą stiprinančiose mokyklose mokytojų supratimas apie sveikatos stiprinimą labiau atitiko holistinį. Tikslinė sveikatos stiprinimo ir ugdymo veikla didina vaikų ir mokytojų informuotumą sveikatos ir sveikos gyvensenos klausimais.</w:t>
      </w:r>
    </w:p>
    <w:p w:rsidR="00995BE0" w:rsidRPr="001D71BB" w:rsidRDefault="00995BE0" w:rsidP="00A3155B">
      <w:pPr>
        <w:autoSpaceDE w:val="0"/>
        <w:autoSpaceDN w:val="0"/>
        <w:adjustRightInd w:val="0"/>
        <w:spacing w:line="360" w:lineRule="auto"/>
        <w:ind w:firstLine="567"/>
        <w:jc w:val="both"/>
      </w:pPr>
      <w:r w:rsidRPr="001D71BB">
        <w:t xml:space="preserve">Atliktas tarptautinis SSM vertinimas parodė, kad Sveikatą stiprinančiose mokyklose vykdoma kompleksinė sveikatos stiprinimo veikla, apimanti kelių rizikos veiksnių prevenciją, yra veiksminga, ypač vykdant kryptingą sveikos mitybos, fizinio aktyvumo skatinimo, traumų prevencijos ir psichikos sveikatos stiprinimo srityse </w:t>
      </w:r>
      <w:r w:rsidRPr="00DF132E">
        <w:t>(Stewart-Brown, 2006</w:t>
      </w:r>
      <w:r w:rsidRPr="001D71BB">
        <w:t>).</w:t>
      </w:r>
    </w:p>
    <w:p w:rsidR="00995BE0" w:rsidRPr="001D71BB" w:rsidRDefault="00995BE0" w:rsidP="004A1F03">
      <w:pPr>
        <w:autoSpaceDE w:val="0"/>
        <w:autoSpaceDN w:val="0"/>
        <w:adjustRightInd w:val="0"/>
        <w:spacing w:line="360" w:lineRule="auto"/>
        <w:ind w:firstLine="567"/>
        <w:jc w:val="both"/>
      </w:pPr>
      <w:r w:rsidRPr="001D71BB">
        <w:t>Sveikatos stiprinimas mokykloje ugdo jaunų žmonių gebėjimus imtis veiksmų ir generuoti pokyčius. Ši veikla suteikia galimybes sukurti aplinką, kurioje mokytojai, kiti bendruomenės nariai gali įprasminti savo siekius ir laimėjimus. Galimybių suteikimas jauniems žmonėms, kai tos galimybės susijusios su jų svajonėmis ir planais, įgalina juos pačius tvarkyti savo gyvenimą ir gyvenimo sąlygas (</w:t>
      </w:r>
      <w:r w:rsidRPr="00065325">
        <w:t>Pirmoji Europos sveikatą stiprinančių mokyklų konferencija</w:t>
      </w:r>
      <w:r w:rsidRPr="009E69F0">
        <w:t>, 1997</w:t>
      </w:r>
      <w:r w:rsidRPr="001D71BB">
        <w:t>). SSM vykdoma sveikatos stiprinimo veikla yra suprantama žymiai plačiau nei sveikatinimas</w:t>
      </w:r>
      <w:r w:rsidRPr="00A7019A">
        <w:t>. 14 priede</w:t>
      </w:r>
      <w:r w:rsidRPr="001D71BB">
        <w:t xml:space="preserve"> pateikti tradicinės sveikatinimo veiklos ir sveikatos stiprinimo principais grindžiamos veiklos ypatumai.</w:t>
      </w:r>
      <w:r>
        <w:t xml:space="preserve"> </w:t>
      </w:r>
    </w:p>
    <w:p w:rsidR="00995BE0" w:rsidRPr="001D71BB" w:rsidRDefault="00995BE0" w:rsidP="00A3155B">
      <w:pPr>
        <w:spacing w:line="360" w:lineRule="auto"/>
        <w:ind w:firstLine="567"/>
        <w:jc w:val="both"/>
      </w:pPr>
      <w:r w:rsidRPr="001D71BB">
        <w:t xml:space="preserve"> Sveikatą stiprinanti mokykla yra investicija ir į mokymą, ir į sveikatą. Be to šis tinklas daro teigiamą poveikį visiems, kas moko, vadovauja, išlaiko ir remia mokyklas nei bend</w:t>
      </w:r>
      <w:r>
        <w:t>ruomenes</w:t>
      </w:r>
      <w:r w:rsidRPr="001D71BB">
        <w:t>.</w:t>
      </w:r>
    </w:p>
    <w:p w:rsidR="00995BE0" w:rsidRPr="001D71BB" w:rsidRDefault="00995BE0" w:rsidP="00A3155B">
      <w:pPr>
        <w:spacing w:line="360" w:lineRule="auto"/>
        <w:ind w:firstLine="567"/>
        <w:jc w:val="both"/>
      </w:pPr>
      <w:r w:rsidRPr="001D71BB">
        <w:rPr>
          <w:b/>
          <w:i/>
          <w:u w:val="single"/>
        </w:rPr>
        <w:t>Mokyklų visuomenės sveikatos priežiūros specialistai gali kurti ir vykdyti savo mokyklos ugdymo programas</w:t>
      </w:r>
      <w:r w:rsidRPr="001D71BB">
        <w:t>. Pagal sveikatos priežiūros mokykloje tvarkos aprašą, sveikatos priežiūra mokykloje vykdoma pagal mokyklos sveikatos priežiūros veiklos planą, kuris yra sudedamoji mokyklos metinės veiklos programos dalis. Veiklos plano projektą rengia mokyklos administracija kartu su specialistu, atsižvelgdama į mokyklos poreikius ir vykdomos visuomenės sveikatos priežiūros nacionalinis ir vietinius prioritetus (</w:t>
      </w:r>
      <w:r>
        <w:t>LR sveikatos apsaugos ministro ir LR švietimo ir mokslo ministro įsakymas, 2005</w:t>
      </w:r>
      <w:r w:rsidRPr="001D71BB">
        <w:t xml:space="preserve">). Taigi šiuo atveju visuomenės sveikatos specialisto įtaka, kokius </w:t>
      </w:r>
      <w:r w:rsidRPr="001D71BB">
        <w:lastRenderedPageBreak/>
        <w:t xml:space="preserve">ir kokiu būdu projektus įgyvendinti, pakankamai didelė, jis turi mokėti iškelti mokyklos prioritetus, taikyti jam priimtinus ugdymo metodus. </w:t>
      </w:r>
    </w:p>
    <w:p w:rsidR="00995BE0" w:rsidRPr="001D71BB" w:rsidRDefault="00995BE0" w:rsidP="004A1F03">
      <w:pPr>
        <w:spacing w:line="360" w:lineRule="auto"/>
        <w:jc w:val="center"/>
        <w:rPr>
          <w:b/>
        </w:rPr>
      </w:pPr>
      <w:r w:rsidRPr="001D71BB">
        <w:rPr>
          <w:b/>
        </w:rPr>
        <w:t>GRĖSMĖS</w:t>
      </w:r>
    </w:p>
    <w:p w:rsidR="00995BE0" w:rsidRPr="001D71BB" w:rsidRDefault="00995BE0" w:rsidP="00A3155B">
      <w:pPr>
        <w:autoSpaceDE w:val="0"/>
        <w:autoSpaceDN w:val="0"/>
        <w:adjustRightInd w:val="0"/>
        <w:spacing w:line="360" w:lineRule="auto"/>
        <w:ind w:firstLine="567"/>
        <w:jc w:val="both"/>
      </w:pPr>
      <w:r w:rsidRPr="001D71BB">
        <w:rPr>
          <w:b/>
          <w:i/>
          <w:u w:val="single"/>
        </w:rPr>
        <w:t>Kadangi visuomenės sveikata iki šiol netapo realiu valstybės prioritetu, kyla grėsmė gyventojų sergamumo didėjimui, ypatingai vaikų tarpe, mirtingumui, kurių priežastis galima pašalinti.</w:t>
      </w:r>
      <w:r w:rsidRPr="001D71BB">
        <w:t xml:space="preserve"> Kaip rodo patirtis, šiuo metu didesnis dėmesys skiriamas ligų gydymui, medicinos technologijoms, o ne sveiko gyvenimo būdo ir elgsenos formavimui. Lietuvoje vis dar vyrauja nuomonė, kad tik labai specializuotos diagnostikos ir gydymo paslaugos padeda efektyviai išspręsti atsiradusias problemas. Pacientai iki šios nepasitiki šeimos </w:t>
      </w:r>
      <w:r>
        <w:t>gydytojo institucija</w:t>
      </w:r>
      <w:r w:rsidRPr="001D71BB">
        <w:t>.</w:t>
      </w:r>
    </w:p>
    <w:p w:rsidR="00995BE0" w:rsidRPr="001D71BB" w:rsidRDefault="00995BE0" w:rsidP="00A3155B">
      <w:pPr>
        <w:autoSpaceDE w:val="0"/>
        <w:autoSpaceDN w:val="0"/>
        <w:adjustRightInd w:val="0"/>
        <w:spacing w:line="360" w:lineRule="auto"/>
        <w:ind w:firstLine="567"/>
        <w:jc w:val="both"/>
      </w:pPr>
      <w:r>
        <w:t xml:space="preserve">Pagrindinė Šiaulių miesto gyventojų mirtingumo priežastis – kraujotakos sistemos ligos. </w:t>
      </w:r>
      <w:r w:rsidRPr="001D71BB">
        <w:t xml:space="preserve">Pagrindiniai </w:t>
      </w:r>
      <w:r>
        <w:t xml:space="preserve">šių ligų </w:t>
      </w:r>
      <w:r w:rsidRPr="001D71BB">
        <w:t xml:space="preserve">rizikos veiksniai yra rūkymas, padidėjęs arterinis kraujo spaudimas, padidėjusi cholesterolio koncentracija kraujyje, netaisyklinga mityba bei mažas fizinis aktyvumas. Kiti rizikos veiksniai, turintys įtakos, širdies ir kraujagyslių ligoms vystytis, yra antsvoris, nutukimas, cukrinis diabetas, piktnaudžiavimas alkoholiu ir psichinis bei socialinis stresas. O tai reiškia, kad šios priežastys yra valdomos ir galima užkirsti kelią ne vienai mirčiai ar susirgimui. </w:t>
      </w:r>
      <w:r>
        <w:t>Tam tikslui ir dirba visuomenės sveikatos biuro specialistai.</w:t>
      </w:r>
    </w:p>
    <w:p w:rsidR="00995BE0" w:rsidRPr="001D71BB" w:rsidRDefault="00995BE0" w:rsidP="00A3155B">
      <w:pPr>
        <w:autoSpaceDE w:val="0"/>
        <w:autoSpaceDN w:val="0"/>
        <w:adjustRightInd w:val="0"/>
        <w:spacing w:line="360" w:lineRule="auto"/>
        <w:ind w:firstLine="540"/>
        <w:jc w:val="both"/>
      </w:pPr>
      <w:r w:rsidRPr="001D71BB">
        <w:t>Lietuvoje vykdoma širdies ir kraujagyslių ligų profilaktikos programa, kuri, be abejo, pasitarnaus aukštos rizikos pacientų priežiūros kokybei. Tačiau išvengiamo mirtingumo kaina būtų žymiai mažesnė, jei profilaktikos programa būtų labiau pritaikyta pirminės sveikatos priežiūros kokybei gerinti. PSO ragina lėtinių neinfekcinių ligų prevenciją ir kontrolę integruoti į programas, kurių tikslas – sustiprinti pirminę sveikatos priežiūrą ir padėti pirminės sveikatos priežiūros darbuotojams susidoroti su naujais iššūkiais didėjant lėtinių neinfekcinių ligų paplitimui (Primary Health Care – Now more than ever</w:t>
      </w:r>
      <w:r>
        <w:t>,</w:t>
      </w:r>
      <w:r w:rsidRPr="001D71BB">
        <w:t xml:space="preserve"> 2008).</w:t>
      </w:r>
    </w:p>
    <w:p w:rsidR="00995BE0" w:rsidRDefault="00995BE0" w:rsidP="00793AB8">
      <w:pPr>
        <w:pStyle w:val="prastasistinklapis"/>
        <w:spacing w:before="0" w:beforeAutospacing="0" w:after="0" w:afterAutospacing="0" w:line="360" w:lineRule="auto"/>
        <w:ind w:firstLine="567"/>
        <w:jc w:val="both"/>
      </w:pPr>
      <w:r>
        <w:t xml:space="preserve">Taip pat aktuali tiek Šiaulių, tiek ir Lietuvos sveikatos problema – piktybiniai navikai. Sergamumą ir mirtingumą nuo šių ligų taip pat galima užkirsti pirminėje sveikatos grandyje. </w:t>
      </w:r>
    </w:p>
    <w:p w:rsidR="00995BE0" w:rsidRPr="001D71BB" w:rsidRDefault="00995BE0" w:rsidP="00A3155B">
      <w:pPr>
        <w:pStyle w:val="Betarp"/>
        <w:spacing w:line="360" w:lineRule="auto"/>
        <w:ind w:firstLine="540"/>
        <w:jc w:val="both"/>
      </w:pPr>
      <w:r>
        <w:rPr>
          <w:rFonts w:ascii="Times New Roman" w:hAnsi="Times New Roman"/>
          <w:sz w:val="24"/>
          <w:szCs w:val="24"/>
        </w:rPr>
        <w:t>Būtina paminėti kitą, taip pat valdomą sveikatos problemą</w:t>
      </w:r>
      <w:r w:rsidRPr="001D71BB">
        <w:rPr>
          <w:rFonts w:ascii="Times New Roman" w:hAnsi="Times New Roman"/>
          <w:sz w:val="24"/>
          <w:szCs w:val="24"/>
        </w:rPr>
        <w:t xml:space="preserve"> – nelaimingi atsitikimai. Dėl įvairių nelaimingų atsitikimų, apsinuodijimų, traumų, patirto smurto, bandymų nusižudyti Lietuvoje į sveikatos priežiūros įstaigas kasmet kreipiasi apie 400 tūkstančių žmonių ir daugiau kaip 5000 miršta. Dėl nelaimingų atsitikimų ir traumų daugiausia miršta jauni žmonės (</w:t>
      </w:r>
      <w:r w:rsidRPr="00F6690C">
        <w:rPr>
          <w:rFonts w:ascii="Times New Roman" w:hAnsi="Times New Roman"/>
          <w:sz w:val="24"/>
          <w:szCs w:val="24"/>
        </w:rPr>
        <w:t>Nacionalinės sveikatos tarybos nutarimas Nr. N-2, 2007</w:t>
      </w:r>
      <w:r w:rsidRPr="001D71BB">
        <w:rPr>
          <w:rFonts w:ascii="Times New Roman" w:hAnsi="Times New Roman"/>
          <w:sz w:val="24"/>
          <w:szCs w:val="24"/>
        </w:rPr>
        <w:t>).</w:t>
      </w:r>
      <w:r>
        <w:rPr>
          <w:rFonts w:ascii="Times New Roman" w:hAnsi="Times New Roman"/>
          <w:sz w:val="24"/>
          <w:szCs w:val="24"/>
        </w:rPr>
        <w:t xml:space="preserve"> </w:t>
      </w:r>
      <w:r w:rsidRPr="001D71BB">
        <w:rPr>
          <w:rFonts w:ascii="Times New Roman" w:hAnsi="Times New Roman"/>
          <w:sz w:val="24"/>
          <w:szCs w:val="24"/>
        </w:rPr>
        <w:t xml:space="preserve">Lietuvos Statistikos Departamento duomenimis, 2008 m. vaikų iki 14 m. amžiaus pagrindinė mirties priežastis buvo išorinės (51,6 proc.), iš jų 14,9 proc. transporto įvykiai ir 12,8 proc. atsitiktiniai paskendimai. Lyginant visas amžiaus grupes bendrai, pirmąją vietą užima savižudybės bei transporto įvykiai. Vienas iš pagrindinių nelaimingų atsitikimų ir traumų priežastis yra piktnaudžiavimas alkoholiu. Gausus alkoholio vartojimas gali būti savižudiškas, o alkoholis vartojamas kaip nusižudymo  priemonė. </w:t>
      </w:r>
    </w:p>
    <w:p w:rsidR="00995BE0" w:rsidRPr="001D71BB" w:rsidRDefault="00995BE0" w:rsidP="00B773B7">
      <w:pPr>
        <w:spacing w:line="360" w:lineRule="auto"/>
        <w:ind w:firstLine="567"/>
        <w:jc w:val="both"/>
      </w:pPr>
      <w:r w:rsidRPr="001D71BB">
        <w:lastRenderedPageBreak/>
        <w:t>2007 m. standartizuotas mirtingumas dėl transporto įvykių Lietuvoje siekė 24,5/100 000 gyv., o senosiose ES valstybėse tris kartus mažesnis, t.y. 9,3/100 000 gyv. (PSO duomenų bazė). Lietuvos tyčinių susižalojimų rodiklis 2008 m. buvo aukščiausias Europoje ir siekė 30,7 atvejo 100 000 gyv. Europos Sąjungos šis rodiklis siekė 9,8/100 000 gyv. (2007 m.).</w:t>
      </w:r>
    </w:p>
    <w:p w:rsidR="00995BE0" w:rsidRPr="001D71BB" w:rsidRDefault="00995BE0" w:rsidP="00B773B7">
      <w:pPr>
        <w:autoSpaceDE w:val="0"/>
        <w:autoSpaceDN w:val="0"/>
        <w:adjustRightInd w:val="0"/>
        <w:spacing w:line="360" w:lineRule="auto"/>
        <w:ind w:firstLine="540"/>
        <w:jc w:val="both"/>
      </w:pPr>
      <w:r w:rsidRPr="005A7025">
        <w:t>Tinkamai taikomi esminiai pirminės sveikatos priežiūros principai, t. y. visapusiška šeimos gydytojo konsultacija, apimanti rizikos veiksnių išaiškinimą ir poveikį individo elgsenai, tęstinis ryšys su aptarnaujama bendruomene ir aktyvi sveikatos stiprinim</w:t>
      </w:r>
      <w:r>
        <w:t>o veikla bendruomenėje gali padėti mažinti</w:t>
      </w:r>
      <w:r w:rsidRPr="005A7025">
        <w:t xml:space="preserve"> bendrų LNL rizikos veiksnių paplitimą.</w:t>
      </w:r>
      <w:r>
        <w:t xml:space="preserve"> Tačiau šio bendravimo ir ryšio su bendruomene trūksta, be to vis dar nėra</w:t>
      </w:r>
      <w:r w:rsidRPr="005A7025">
        <w:t xml:space="preserve"> </w:t>
      </w:r>
      <w:r>
        <w:t>t</w:t>
      </w:r>
      <w:r w:rsidRPr="005A7025">
        <w:t>ęstini</w:t>
      </w:r>
      <w:r>
        <w:t>o</w:t>
      </w:r>
      <w:r w:rsidRPr="005A7025">
        <w:t xml:space="preserve"> ryš</w:t>
      </w:r>
      <w:r>
        <w:t>io</w:t>
      </w:r>
      <w:r w:rsidRPr="005A7025">
        <w:t xml:space="preserve"> su pacientais ir jų š</w:t>
      </w:r>
      <w:r>
        <w:t>eimos nariais, gerai organizuotų</w:t>
      </w:r>
      <w:r w:rsidRPr="005A7025">
        <w:t xml:space="preserve"> profilaktinių patikrų sistem</w:t>
      </w:r>
      <w:r>
        <w:t>os, kas</w:t>
      </w:r>
      <w:r w:rsidRPr="005A7025">
        <w:t xml:space="preserve"> lei</w:t>
      </w:r>
      <w:r>
        <w:t>stų</w:t>
      </w:r>
      <w:r w:rsidRPr="005A7025">
        <w:t xml:space="preserve"> veiksmingai taikyti visas L</w:t>
      </w:r>
      <w:r>
        <w:t>NL profilaktikos priemones.</w:t>
      </w:r>
    </w:p>
    <w:p w:rsidR="00995BE0" w:rsidRPr="001D71BB" w:rsidRDefault="00995BE0" w:rsidP="00A3155B">
      <w:pPr>
        <w:spacing w:line="360" w:lineRule="auto"/>
        <w:ind w:firstLine="567"/>
        <w:jc w:val="both"/>
      </w:pPr>
      <w:r w:rsidRPr="001D71BB">
        <w:rPr>
          <w:b/>
          <w:i/>
          <w:u w:val="single"/>
        </w:rPr>
        <w:t>Nepakankamas mokyklų vadovų požiūris į visuomenės sveikatos priežiūros specialistų veiklą nesudaro optimalių galimybių udgyti mokinių sveikatos sampratą</w:t>
      </w:r>
      <w:r w:rsidRPr="001D71BB">
        <w:t>. Sveikatos stiprinimas mokykloje turi būti sudedamoji ugdymo dalis. Tam būtinas glaudus bendradarbiavimas tarp švietimo ir sveikatos sričių specialistų, mokyklos sveikatos priežiūros specialistų, kitų mokyklos bendruomenės narių. Vykdant šią veiklą reikėtų atsižvelgti į tokus aspektus:</w:t>
      </w:r>
    </w:p>
    <w:p w:rsidR="00995BE0" w:rsidRPr="001D71BB" w:rsidRDefault="00995BE0" w:rsidP="00FF2975">
      <w:pPr>
        <w:numPr>
          <w:ilvl w:val="0"/>
          <w:numId w:val="14"/>
        </w:numPr>
        <w:autoSpaceDE w:val="0"/>
        <w:autoSpaceDN w:val="0"/>
        <w:adjustRightInd w:val="0"/>
        <w:spacing w:line="360" w:lineRule="auto"/>
        <w:ind w:left="0" w:firstLine="360"/>
        <w:jc w:val="both"/>
      </w:pPr>
      <w:r w:rsidRPr="001D71BB">
        <w:t>Sveikatos stiprinimo plėtotė mokykloje reikalauja dėmesio, laiko ir išteklių. Ji turi būti įtraukta į mokyklos strateginį planą ir jai skiriamas deramas dėmesys, o sveikatos stiprinimo klausimai integruoti į visą švietimo procesą.</w:t>
      </w:r>
    </w:p>
    <w:p w:rsidR="00995BE0" w:rsidRPr="001D71BB" w:rsidRDefault="00995BE0" w:rsidP="00FF2975">
      <w:pPr>
        <w:numPr>
          <w:ilvl w:val="0"/>
          <w:numId w:val="14"/>
        </w:numPr>
        <w:autoSpaceDE w:val="0"/>
        <w:autoSpaceDN w:val="0"/>
        <w:adjustRightInd w:val="0"/>
        <w:spacing w:line="360" w:lineRule="auto"/>
        <w:ind w:left="0" w:firstLine="360"/>
        <w:jc w:val="both"/>
      </w:pPr>
      <w:r w:rsidRPr="001D71BB">
        <w:t>Sveikatos stiprinimo politikoje pristatoma vizija, numatoma ateities situacija tiek mokykloje, tiek visuomenėje. Vizijų kūrimas yra bendruomenės diskusijų objektas, ir ji pati susitaria dėl to, kokius dalykus laiko svarbius ir kodėl.</w:t>
      </w:r>
    </w:p>
    <w:p w:rsidR="00995BE0" w:rsidRPr="001D71BB" w:rsidRDefault="00995BE0" w:rsidP="00A3155B">
      <w:pPr>
        <w:numPr>
          <w:ilvl w:val="0"/>
          <w:numId w:val="14"/>
        </w:numPr>
        <w:spacing w:line="360" w:lineRule="auto"/>
        <w:jc w:val="both"/>
      </w:pPr>
      <w:r w:rsidRPr="001D71BB">
        <w:t>Įvardijamos problemos ir numatomi būdai joms spręsti.</w:t>
      </w:r>
    </w:p>
    <w:p w:rsidR="00995BE0" w:rsidRPr="001D71BB" w:rsidRDefault="00995BE0" w:rsidP="00A3155B">
      <w:pPr>
        <w:autoSpaceDE w:val="0"/>
        <w:autoSpaceDN w:val="0"/>
        <w:adjustRightInd w:val="0"/>
        <w:spacing w:line="360" w:lineRule="auto"/>
        <w:ind w:firstLine="567"/>
        <w:jc w:val="both"/>
      </w:pPr>
      <w:r w:rsidRPr="001D71BB">
        <w:t>Įvardijant problemas galima atsakyti ir į kitus klausimus: kurios problemos yra svarbiausios, kokios jų atsiradimo priežastys ir kokie rizikos veiksniai jas nulemia. Žinant priežastis ir rizikos veiksnius, galima juos pašalinti, o neleidžiant atsirasti naujiems rizikos veiksniams, išvengiama problemų arba jos sumažinamos (Jociūtė, 2008).</w:t>
      </w:r>
    </w:p>
    <w:p w:rsidR="00995BE0" w:rsidRPr="001D71BB" w:rsidRDefault="00995BE0" w:rsidP="000F1102">
      <w:pPr>
        <w:autoSpaceDE w:val="0"/>
        <w:autoSpaceDN w:val="0"/>
        <w:adjustRightInd w:val="0"/>
        <w:spacing w:line="360" w:lineRule="auto"/>
        <w:ind w:firstLine="567"/>
        <w:jc w:val="both"/>
      </w:pPr>
      <w:r w:rsidRPr="001D71BB">
        <w:t>Sveikatos ugdymo programos įgyvendinimas konkrečioje ugdymo įstaigoje priklauso nuo mokyklos vadovų požiūrio į sveikatinimo veiklą. Deramai įgyvendinus sveikatos ugdymo programą tikėtina, kad vaikai pasirinktų sveikesnį gyvenimo būdą ir mokyklose sumažėtų mokinių sveikatos sutrikimų (Gudžinskienė, 2007</w:t>
      </w:r>
      <w:r>
        <w:t>a</w:t>
      </w:r>
      <w:r w:rsidRPr="001D71BB">
        <w:t>). 2007 m. vykdyto tyrimo metu, kurio tikslas buvo išanalizuoti Lietuvos mokyklų vadovų požiūrį į sveikatingumo ugdymo veiklą, nustatyta, kad 3 proc. respondentų, t.y. mokyklų vadovų požiūris į sveikatinimo veiklą buvo teigiamas. Gudžinskienė (2007</w:t>
      </w:r>
      <w:r>
        <w:t>b</w:t>
      </w:r>
      <w:r w:rsidRPr="001D71BB">
        <w:t>) išskiria tokius pagrindinius sveikatos programos turinio integravimo į ugdymo procesą trūkumus:</w:t>
      </w:r>
      <w:r>
        <w:t xml:space="preserve"> p</w:t>
      </w:r>
      <w:r w:rsidRPr="001D71BB">
        <w:t>edagogams dažnai trūksta spec. žinių sveikatos saugojimo bei stiprinimo klausimais;</w:t>
      </w:r>
      <w:r>
        <w:t xml:space="preserve"> d</w:t>
      </w:r>
      <w:r w:rsidRPr="001D71BB">
        <w:t>ažnai pedagogai nelaiko sveikatos ugdymo prioritetiniu dalyku;</w:t>
      </w:r>
      <w:r>
        <w:t xml:space="preserve"> p</w:t>
      </w:r>
      <w:r w:rsidRPr="001D71BB">
        <w:t xml:space="preserve">edagogams nelieka laiko </w:t>
      </w:r>
      <w:r w:rsidRPr="001D71BB">
        <w:lastRenderedPageBreak/>
        <w:t>pakalbėti sveikatos saugojimo ir stiprinimo klausimais;</w:t>
      </w:r>
      <w:r>
        <w:t xml:space="preserve"> v</w:t>
      </w:r>
      <w:r w:rsidRPr="001D71BB">
        <w:t>aikas, pateikęs klausimą pedagogui, susijusį su sveikatos saugojimu ir stiprinimu, ne visuomet gali gauti atsakymą;</w:t>
      </w:r>
      <w:r>
        <w:t xml:space="preserve"> s</w:t>
      </w:r>
      <w:r w:rsidRPr="001D71BB">
        <w:t>unku pasiekti kokybės, nes dalyko mokytojas pirmenybę teikia savo dalykui;</w:t>
      </w:r>
      <w:r>
        <w:t xml:space="preserve"> p</w:t>
      </w:r>
      <w:r w:rsidRPr="001D71BB">
        <w:t>edagogui kartais pritrūksta laiko išstudijuoti programą ir pasiruošti;</w:t>
      </w:r>
      <w:r>
        <w:t xml:space="preserve"> g</w:t>
      </w:r>
      <w:r w:rsidRPr="001D71BB">
        <w:t>ali nebūti bendradarbiavimo su kitų dalykų mokytojais ir kt.</w:t>
      </w:r>
    </w:p>
    <w:p w:rsidR="00995BE0" w:rsidRDefault="00995BE0" w:rsidP="00A3155B">
      <w:pPr>
        <w:spacing w:line="360" w:lineRule="auto"/>
        <w:ind w:firstLine="567"/>
        <w:jc w:val="both"/>
      </w:pPr>
      <w:r w:rsidRPr="001D71BB">
        <w:t>Be to mokyklose nėra atsk</w:t>
      </w:r>
      <w:r>
        <w:t>iros disciplinos, skirtos sveikatos mokymui. Investicijos į vaikų sveikatą yra esminė žmonijos bei ekonomikos plėtros sąlyga. Šiems tikslams pasiekti reikalingas glaudus įvairių sektorių – sveikatos, švietimo, socialinės apsaugos bei kitų – bendradarbiavimas (Mačiūnas ir kt., 2006a).</w:t>
      </w:r>
    </w:p>
    <w:p w:rsidR="00995BE0" w:rsidRDefault="00995BE0" w:rsidP="00A3155B">
      <w:pPr>
        <w:autoSpaceDE w:val="0"/>
        <w:autoSpaceDN w:val="0"/>
        <w:adjustRightInd w:val="0"/>
        <w:spacing w:line="360" w:lineRule="auto"/>
        <w:ind w:firstLine="567"/>
        <w:jc w:val="both"/>
      </w:pPr>
      <w:r w:rsidRPr="001D71BB">
        <w:t>Sveikatos stiprinimas mokykloje turi būti integruota ugdymo dalis. Tam būtinas glaudus bendradarbiavimas tarp švietimo ir sveikatos sričių specialistų, mokyklos sveikatos priežiūros specialistų, kitų mokyklos bendruomenės narių. Kiekvienos visuomenės svarbiausias uždavinys yra užtikrinti sveiką vaikų gyvenimo pradžią ir jo tolesnį vystymąsi sudarant tam palankią aplinką. Mokykla yra palanki vieta puoselėti vaikų sveikatą, formuoti gyvenimo įgūdžius, tarp jų sveikos gyvensenos, plėtoti veiklą atsižvelgiant į vaiko raidos ypatumus.</w:t>
      </w:r>
    </w:p>
    <w:p w:rsidR="00995BE0" w:rsidRDefault="00995BE0" w:rsidP="004A0DBF">
      <w:pPr>
        <w:spacing w:line="360" w:lineRule="auto"/>
        <w:ind w:firstLine="567"/>
        <w:jc w:val="both"/>
      </w:pPr>
      <w:r>
        <w:t>Integruoti sveikatos stiprinimo discipliną bendrojo lavinimo įstaigose siūlo ir tyrime dalyvavę ekspertai E2, E8 – į bendrojo ugdymo sistemą reikia integruoti bent vieną pamoką per savaitę skirtą sveikai gyvensenai. Šiauliai galėtų būtų kuo puikiausi iniciatoriai, tačiau taip pat žinau mokyklų nusistatymą šiuo klausimu, tad šį ėjimą padaryti nėra lengva.</w:t>
      </w:r>
    </w:p>
    <w:p w:rsidR="00995BE0" w:rsidRPr="001D71BB" w:rsidRDefault="00995BE0" w:rsidP="00A3155B">
      <w:pPr>
        <w:spacing w:line="360" w:lineRule="auto"/>
        <w:ind w:firstLine="567"/>
        <w:jc w:val="both"/>
      </w:pPr>
      <w:r w:rsidRPr="001D71BB">
        <w:rPr>
          <w:b/>
          <w:i/>
          <w:u w:val="single"/>
        </w:rPr>
        <w:t>Nepakankamas mokinių įtraukimas į sveikatinimo veiklą sudaro palankias sąlygas žalingų įpročių plitimui mokinių tarpe bei mokinių sergamumui.</w:t>
      </w:r>
      <w:r w:rsidRPr="001D71BB">
        <w:t xml:space="preserve"> Pastaraisiais metais Lietuvos mokslininkai Adaškevičienė, V., Baltrušaitienė, J., Ušparaitė, O., Žvirdauskas, D., Tarnauskas, K (2005) – atskleidė faktą, kad prevencinės veiklos organizavimas mokyklose siejamas tik su paskaitomis, renginiais, kad veikla yra vienkartinė, fragmentinė, kad nėra bendrų vertinimo kriterijų, leidžiančių nustatyti prevencijos veiksmingumą, kad ji vykdoma formaliai, nesisteminga.</w:t>
      </w:r>
    </w:p>
    <w:p w:rsidR="00995BE0" w:rsidRPr="001D71BB" w:rsidRDefault="00995BE0" w:rsidP="00A3155B">
      <w:pPr>
        <w:pStyle w:val="Style"/>
        <w:spacing w:line="360" w:lineRule="auto"/>
        <w:ind w:firstLine="426"/>
        <w:jc w:val="both"/>
        <w:rPr>
          <w:lang w:val="lt-LT"/>
        </w:rPr>
      </w:pPr>
      <w:r w:rsidRPr="001D71BB">
        <w:rPr>
          <w:lang w:val="lt-LT"/>
        </w:rPr>
        <w:t xml:space="preserve">A. Zaborskis ir L. Šumskas (2000) teigė, kad sveikatos ugdymas yra vienas svarbiausių mokyklos slaugos specialisto darbo, kuriame jis turėtų skatinti mokinius įsisavinti sveikos gyvensenos įgūdžius ir įpročius (asmens higiena, bendravimas su aplinkiniais, racionali mityba, ydingų įpročių vengimas, fizinis aktyvumas, saugus elgesys, mokėjimas išgyventi stresines situacijas), krypčių. Vykdyti išmintingai atlikti visas visuomenės sveikatos specialistui deleguotas funkcijas reikalingas nuolatinis naujų žinių įsisavinimas ir tobulėjimas. </w:t>
      </w:r>
    </w:p>
    <w:p w:rsidR="00995BE0" w:rsidRPr="001D71BB" w:rsidRDefault="00995BE0" w:rsidP="00FF2975">
      <w:pPr>
        <w:pStyle w:val="Bodytext"/>
        <w:spacing w:line="360" w:lineRule="auto"/>
        <w:ind w:firstLine="567"/>
        <w:rPr>
          <w:rFonts w:ascii="Times New Roman" w:hAnsi="Times New Roman"/>
          <w:sz w:val="24"/>
          <w:szCs w:val="24"/>
          <w:lang w:val="lt-LT"/>
        </w:rPr>
      </w:pPr>
      <w:r w:rsidRPr="001D71BB">
        <w:rPr>
          <w:rFonts w:ascii="Times New Roman" w:hAnsi="Times New Roman"/>
          <w:sz w:val="24"/>
          <w:szCs w:val="24"/>
          <w:lang w:val="lt-LT"/>
        </w:rPr>
        <w:t xml:space="preserve">Darbdavys turi užtikrinti, kad jo įstaigoje dirbančių vaikų ir jaunimo sveikatos priežiūros specialistų profesinė kvalifikacija atitiktų teisės aktų nustatytus reikalavimus ir darbuotojai teisės aktų nustatyta tvarka tobulintų savo profesinę kvalifikaciją bei turėtų tai įrodančius dokumentus. Tačiau A. Petrauskienė (2008) pažymi, kad realybėje yra atotrūkis tarp šiuolaikinės sveikatos ugdymo teorijos ir mokyklos mediko praktikos, sąlygotos sudėtingos mediko profesinio vaidmens </w:t>
      </w:r>
      <w:r w:rsidRPr="001D71BB">
        <w:rPr>
          <w:rFonts w:ascii="Times New Roman" w:hAnsi="Times New Roman"/>
          <w:sz w:val="24"/>
          <w:szCs w:val="24"/>
          <w:lang w:val="lt-LT"/>
        </w:rPr>
        <w:lastRenderedPageBreak/>
        <w:t>raidos, dešimtmečius vykdyto sveikatos ugdymo mokyklose, grindžiamo medicinos ir higienos mokslų tradicijomis, kurios dar ir šiandien daro įtaką mokinių sveikatos ugdymui ir mokyklų medikų profesiniam vystymuisi.</w:t>
      </w:r>
    </w:p>
    <w:p w:rsidR="00995BE0" w:rsidRPr="001D71BB" w:rsidRDefault="00995BE0" w:rsidP="000223AE">
      <w:pPr>
        <w:pStyle w:val="Bodytext"/>
        <w:spacing w:line="360" w:lineRule="auto"/>
        <w:ind w:firstLine="600"/>
        <w:rPr>
          <w:rFonts w:ascii="Times New Roman" w:hAnsi="Times New Roman"/>
          <w:sz w:val="24"/>
          <w:szCs w:val="24"/>
          <w:lang w:val="lt-LT"/>
        </w:rPr>
      </w:pPr>
      <w:r w:rsidRPr="001D71BB">
        <w:rPr>
          <w:rFonts w:ascii="Times New Roman" w:hAnsi="Times New Roman"/>
          <w:sz w:val="24"/>
          <w:szCs w:val="24"/>
          <w:lang w:val="lt-LT"/>
        </w:rPr>
        <w:t>Lietuvoje atlikti tarptautiniai mokinių tyrimai (ESPAD, HBSC) rodo, kad žalingi įpročiai plinta. Pastaruoju metu vis daugiau mokyklinio amžiaus jaunimo vartoja medžiagas, sukeliančias priklausomybę. Priklausomybę sukeliančių medžiagų spektras yra labai platus. Jos įvairiai veikia žmogaus organizmą, sukeldamos įvairius organų pakitimus, ligas, o kartais ir mirtį. Vienos iš jų plačiai paplitusios ir vartojamos legaliai. Tai alkoholis, nikotinas, esantis tabake. Kitai priklausomybę sukeliančių medžiagų grupei priklauso nelegaliai vartojami narkotikai.</w:t>
      </w:r>
    </w:p>
    <w:p w:rsidR="00995BE0" w:rsidRPr="001D71BB" w:rsidRDefault="00995BE0" w:rsidP="00A3155B">
      <w:pPr>
        <w:pStyle w:val="Bodytext"/>
        <w:spacing w:line="360" w:lineRule="auto"/>
        <w:ind w:firstLine="284"/>
        <w:rPr>
          <w:rFonts w:ascii="Times New Roman" w:hAnsi="Times New Roman"/>
          <w:sz w:val="24"/>
          <w:szCs w:val="24"/>
          <w:lang w:val="lt-LT"/>
        </w:rPr>
      </w:pPr>
      <w:r w:rsidRPr="001D71BB">
        <w:rPr>
          <w:rFonts w:ascii="Times New Roman" w:hAnsi="Times New Roman"/>
          <w:sz w:val="24"/>
          <w:szCs w:val="24"/>
          <w:lang w:val="lt-LT"/>
        </w:rPr>
        <w:t>Duomenys rodo, jog daugelis mokinių nepajėgia atsispirti socialiniam spaudimui, todėl būtina skatinti mokinių savarankiškumą, kritinį mąstymą, pasitikėjimą savimi bei padėti suprasti sveikos gyvensenos reikšmę gyvenime (Moksleivių sveikatos ugdymas ir stiprinimas: dabartis ir perspektyvos, 2001).</w:t>
      </w:r>
    </w:p>
    <w:p w:rsidR="00995BE0" w:rsidRPr="001D71BB" w:rsidRDefault="00995BE0" w:rsidP="00A3155B">
      <w:pPr>
        <w:spacing w:line="360" w:lineRule="auto"/>
        <w:ind w:firstLine="567"/>
        <w:jc w:val="both"/>
      </w:pPr>
      <w:r w:rsidRPr="001D71BB">
        <w:rPr>
          <w:b/>
          <w:i/>
          <w:u w:val="single"/>
        </w:rPr>
        <w:t>Ekonominės ir socialinės problemos turi neigiamos įtakos gyventojų sergamumui, priklausomybės ligų plitimui</w:t>
      </w:r>
      <w:r w:rsidRPr="001D71BB">
        <w:t>. Sveikata ir socialiniai veiksniai neatsiejami. Didžiausią įtaką sveikatai turi socialiniai veiksniai, susiję su profesija, atliekamu darbu, šeima, kultūra bei socialine ekonomine žmogaus padėtimi, socialiniais ryšiais visuomenėje. Sveikatą itin stipriai veikia ne tiek materialūs, kiek psichologiniai socialinės paramos elementai (Kalėdienė</w:t>
      </w:r>
      <w:r>
        <w:t xml:space="preserve"> ir kt.</w:t>
      </w:r>
      <w:r w:rsidRPr="001D71BB">
        <w:t>, 1999).</w:t>
      </w:r>
    </w:p>
    <w:p w:rsidR="00995BE0" w:rsidRPr="001D71BB" w:rsidRDefault="00995BE0" w:rsidP="00A3155B">
      <w:pPr>
        <w:spacing w:line="360" w:lineRule="auto"/>
        <w:ind w:firstLine="540"/>
        <w:jc w:val="both"/>
      </w:pPr>
      <w:r w:rsidRPr="001D71BB">
        <w:t>Pagrindiniai socialiniai – ekonominiai veiksniai, įtakojantys žmogaus padėtį visuomenėje yra išsilavinimas, profesinis darbas, pajamos. Ypač jautriai gyventojų sveikatą įtakoja pajamų kitimas.</w:t>
      </w:r>
    </w:p>
    <w:p w:rsidR="00995BE0" w:rsidRPr="001D71BB" w:rsidRDefault="00995BE0" w:rsidP="00A3155B">
      <w:pPr>
        <w:spacing w:line="360" w:lineRule="auto"/>
        <w:ind w:firstLine="540"/>
        <w:jc w:val="both"/>
      </w:pPr>
      <w:r w:rsidRPr="001D71BB">
        <w:t>Sveikatą lemiantis elgesys (rūkymas, fizinis aktyvumas, racionali mityba) labiau susijęs su išsilavinimo lygiu, kuris dažniausiai įgyjamas jaunystėje ir nuosekliai formuoja asmenybės bruožus (Kalėdienė</w:t>
      </w:r>
      <w:r>
        <w:t xml:space="preserve"> ir kt.</w:t>
      </w:r>
      <w:r w:rsidRPr="001D71BB">
        <w:t xml:space="preserve">, 1999). Todėl galima teigti, kad didelis gyventojų sergamumas ir mirtingumas įtakotas rizikinga elgsena susijęs su socialine – ekonomine padėtimi. </w:t>
      </w:r>
    </w:p>
    <w:p w:rsidR="00995BE0" w:rsidRPr="001D71BB" w:rsidRDefault="00995BE0" w:rsidP="00A3155B">
      <w:pPr>
        <w:spacing w:line="360" w:lineRule="auto"/>
        <w:ind w:firstLine="540"/>
        <w:jc w:val="both"/>
      </w:pPr>
      <w:r w:rsidRPr="001D71BB">
        <w:t xml:space="preserve">Socialinės – ekonominės situacijos pokyčiai, socialinių garantijų praradimas laikomi svarbiais padidintos savižudybių rizikos veiksniais. </w:t>
      </w:r>
      <w:r w:rsidRPr="001D71BB">
        <w:rPr>
          <w:bCs/>
        </w:rPr>
        <w:t xml:space="preserve">2008–2010 m. daugelis ilgalaikių iššūkių lieka panašūs į ankstesnių metų iššūkius: </w:t>
      </w:r>
      <w:r w:rsidRPr="001D71BB">
        <w:t>mažėjantis bendras darbo jėgos aktyvumo lygis, aukštas skurdo rizikos lygis, ypač tam tikrų gyventojų grupių (vaikų, vyresnių negu 65 metų amžiaus asmenų, kaimo gyventojų, darbo neturinčių asmenų); didelė (palyginti su ES vidurkiu) pajamų nelygybė, dideli regioniniai gyvenimo lygio, gyvenimo kokybės, socialinės padėties skirtumai, didėjantis poreikis socialinėms ir sveikatos priežiūros paslaugoms, nepakankamas šių paslaugų prieinamumas bei kokybė (N</w:t>
      </w:r>
      <w:r>
        <w:t>acionalinės sveikatos tarybos</w:t>
      </w:r>
      <w:r w:rsidRPr="001D71BB">
        <w:t xml:space="preserve"> nutarimas, 2009).</w:t>
      </w:r>
    </w:p>
    <w:p w:rsidR="00995BE0" w:rsidRPr="001D71BB" w:rsidRDefault="00995BE0" w:rsidP="00A3155B">
      <w:pPr>
        <w:pStyle w:val="Pagrindiniotekstotrauka"/>
        <w:spacing w:after="0" w:line="360" w:lineRule="auto"/>
        <w:ind w:left="0" w:firstLine="283"/>
        <w:jc w:val="both"/>
      </w:pPr>
      <w:r w:rsidRPr="001D71BB">
        <w:t>Socialinė ekonominė padėtis kompleksiškai veikia visą sveikatos raidą, ir, nagrinėjant atskirus šios padėties kriterijus, neišvengiamai prieinama prie bendros socialinės sistemos analizės (Kalėdienė</w:t>
      </w:r>
      <w:r>
        <w:t xml:space="preserve"> ir kt.</w:t>
      </w:r>
      <w:r w:rsidRPr="001D71BB">
        <w:t>, 1999).</w:t>
      </w:r>
    </w:p>
    <w:p w:rsidR="00995BE0" w:rsidRPr="001D71BB" w:rsidRDefault="00995BE0" w:rsidP="00CF602A">
      <w:pPr>
        <w:spacing w:line="360" w:lineRule="auto"/>
        <w:ind w:firstLine="567"/>
        <w:jc w:val="both"/>
      </w:pPr>
      <w:r w:rsidRPr="001D71BB">
        <w:rPr>
          <w:b/>
          <w:i/>
          <w:u w:val="single"/>
        </w:rPr>
        <w:lastRenderedPageBreak/>
        <w:t>Nepakankamas visuomenės sveikatos priežiūros specialistų ir tėvų bendradarbiavimas neužtikrina pilnaverčio vaikų sveikatos ugdymo</w:t>
      </w:r>
      <w:r w:rsidRPr="001D71BB">
        <w:rPr>
          <w:i/>
          <w:u w:val="single"/>
        </w:rPr>
        <w:t xml:space="preserve">. </w:t>
      </w:r>
      <w:r w:rsidRPr="001D71BB">
        <w:t>Šiuolaikinė visuomenės sveikatos priežiūra reikalauja įtraukti įvairių sričių specialistus ir bendruomenę. Organizuojant sveikatos priežiūrą mokykloje, būtina suprasti, kad sveikatos priežiūros specialistai, dirbantys mokykloje, turi dirbti ne tik su vaikais, bet ir su tėvais, ir su mokytojais. Būtina taikyti komandinį darbo principą ir pagalvoti dėl priemonių, skatinančių mokyklos bendruomenę (tėvus, mokytojus) įsitraukti į sveikatinimo veiklą (</w:t>
      </w:r>
      <w:r>
        <w:t xml:space="preserve">Mačiūnas ir kt., </w:t>
      </w:r>
      <w:r w:rsidRPr="00CF602A">
        <w:t>2006b</w:t>
      </w:r>
      <w:r w:rsidRPr="001D71BB">
        <w:t>)</w:t>
      </w:r>
      <w:r w:rsidRPr="001D71BB">
        <w:rPr>
          <w:i/>
        </w:rPr>
        <w:t>.</w:t>
      </w:r>
      <w:r>
        <w:rPr>
          <w:i/>
        </w:rPr>
        <w:t xml:space="preserve"> </w:t>
      </w:r>
      <w:r w:rsidRPr="001D71BB">
        <w:t xml:space="preserve">2006 m. </w:t>
      </w:r>
      <w:r w:rsidRPr="00CF602A">
        <w:t>vykdyto tyrimo metu nustatyta, kad didelė visuomenės sveikatos specialistų dalis nusivylusi bendradarbiavimu su mokinių tėvais (Mačiūnas ir kt.</w:t>
      </w:r>
      <w:r>
        <w:t>,</w:t>
      </w:r>
      <w:r w:rsidRPr="00CF602A">
        <w:t xml:space="preserve"> </w:t>
      </w:r>
      <w:r>
        <w:t>2010</w:t>
      </w:r>
      <w:r w:rsidRPr="00CF602A">
        <w:t>).</w:t>
      </w:r>
    </w:p>
    <w:p w:rsidR="00995BE0" w:rsidRPr="001D71BB" w:rsidRDefault="00995BE0" w:rsidP="00A3155B">
      <w:pPr>
        <w:autoSpaceDE w:val="0"/>
        <w:autoSpaceDN w:val="0"/>
        <w:adjustRightInd w:val="0"/>
        <w:spacing w:line="360" w:lineRule="auto"/>
        <w:ind w:firstLine="360"/>
        <w:jc w:val="both"/>
      </w:pPr>
      <w:r w:rsidRPr="001D71BB">
        <w:rPr>
          <w:b/>
          <w:i/>
          <w:u w:val="single"/>
        </w:rPr>
        <w:t>Didžioji dalis mokyklų visuomenės sveikatos priežiūros specialistų nėra baigę visuomenės sveikatos specialybės studijų, o tik išklausę kursus, todėl tikėtina, kad jiems trūksta žinių bei įgūdžių kai kuriais sveikatos klausimais</w:t>
      </w:r>
      <w:r w:rsidRPr="001D71BB">
        <w:rPr>
          <w:b/>
        </w:rPr>
        <w:t>.</w:t>
      </w:r>
      <w:r w:rsidRPr="001D71BB">
        <w:t xml:space="preserve"> 2007 m. rugpjūčio 1 d. Lietuvos Respublikos sveikatos apsaugos ministro įsakymu Nr. V-630 patvirtintas visuomenės sveikatos priežiūros specialisto, vykdančio sveikatos priežiūrą mokykloje, kvalifikacinių reikalavimų aprašas. Šis dokumentas išskiria, kad</w:t>
      </w:r>
      <w:r w:rsidRPr="001D71BB">
        <w:rPr>
          <w:sz w:val="22"/>
          <w:szCs w:val="22"/>
        </w:rPr>
        <w:t xml:space="preserve"> </w:t>
      </w:r>
      <w:r w:rsidRPr="001D71BB">
        <w:t>Savivaldybės visuomenės sveikatos biuro vaikų ir jaunimo sveikatos priežiūros specialistų profesinio tobulinimo kursų programa</w:t>
      </w:r>
      <w:r>
        <w:t xml:space="preserve"> s</w:t>
      </w:r>
      <w:r w:rsidRPr="001D71BB">
        <w:t xml:space="preserve">kirta savivaldybių visuomenės sveikatos biurų vaikų ir jaunimo sveikatos priežiūros specialistams, visuomenės sveikatos priežiūros specialistams, vykdantiems sveikatos priežiūrą mokyklose, siekiantiems įgyti teisę vykdyti vaikų ir jaunimo sveikatos priežiūros funkcijas savivaldybių visuomenės sveikatos biuruose ir mokyklose, jų darbdaviams ir institucijoms, Lietuvos Respublikos teisės aktų nustatyta tvarka įgijusioms teisę vykdyti neformalųjį švietimą ir siekiančioms vykdyti ar vykdančioms visuomenės sveikatos priežiūros specialistų profesinį tobulinimą. Taip pat iškeltas ir </w:t>
      </w:r>
      <w:r>
        <w:t>p</w:t>
      </w:r>
      <w:r w:rsidRPr="001D71BB">
        <w:t>rogramos tikslas – tobulinti savivaldybių visuomenės sveikatos biurų vaikų ir jaunimo sveikatos priežiūros specialistų, visuomenės sveikatos priežiūros specialistų, vykdančių sveikatos priežiūrą mokyklose, profesinę kvalifikaciją, siekiant įgyti teisę vykdyti vaikų ir jaunimo sveikatos priežiūros funkcijas savivaldybių visuomenės sveikatos biuruose ir mokyklose. Nustatyta, kad visuomenės sveikatos priežiūros tobulinimo kursų programa turi būti ne trumpesnė kaip 160 val. (teorija 45 proc., praktika 55 proc.).</w:t>
      </w:r>
    </w:p>
    <w:p w:rsidR="00995BE0" w:rsidRPr="001D71BB" w:rsidRDefault="00995BE0" w:rsidP="00A3155B">
      <w:pPr>
        <w:autoSpaceDE w:val="0"/>
        <w:autoSpaceDN w:val="0"/>
        <w:adjustRightInd w:val="0"/>
        <w:spacing w:line="360" w:lineRule="auto"/>
        <w:ind w:firstLine="360"/>
        <w:jc w:val="both"/>
      </w:pPr>
      <w:r w:rsidRPr="001D71BB">
        <w:t>Lietuvoje diskusija apie mokyklose dirbančių medikų kvalifikaciją bei funkcijas pradėta 2002 m. Konstatuota, kad mokykloms reikalingi naujos kokybės sveikatos priežiūros specialistai su atitinkama kompetencija ir funkcijomis. Priimtas 2003 m. Lietuvos Respublikos švietimo įstatymo pakeitimo įst</w:t>
      </w:r>
      <w:r>
        <w:t>atymas</w:t>
      </w:r>
      <w:r w:rsidRPr="001D71BB">
        <w:t xml:space="preserve"> iš esmės pakeitė vaikų sveikatos priežiūros mokyklose paslaugų pobūdį. Realiai visuomenės sveikatos priežiūros specialistų etatai mokyklose įvesti 2004 m., patvirtinus sveikatos priežiūros mokyklose finansavi</w:t>
      </w:r>
      <w:r>
        <w:t>mo tvarką</w:t>
      </w:r>
      <w:r w:rsidRPr="001D71BB">
        <w:t>.</w:t>
      </w:r>
    </w:p>
    <w:p w:rsidR="00995BE0" w:rsidRPr="0059346C" w:rsidRDefault="00995BE0" w:rsidP="00A3155B">
      <w:pPr>
        <w:autoSpaceDE w:val="0"/>
        <w:autoSpaceDN w:val="0"/>
        <w:adjustRightInd w:val="0"/>
        <w:spacing w:line="360" w:lineRule="auto"/>
        <w:ind w:firstLine="567"/>
        <w:jc w:val="both"/>
      </w:pPr>
      <w:r w:rsidRPr="0059346C">
        <w:t xml:space="preserve"> Iki 2006 m. sausio 1 d. sveikatos priežiūros specialistams, baigusiems ne visuomenės sveikatos studijas, buvo numatyta 40 val. privalomojo profesinio tobulinimosi trukmė. Yra </w:t>
      </w:r>
      <w:r w:rsidRPr="0059346C">
        <w:lastRenderedPageBreak/>
        <w:t xml:space="preserve">vykdytas ne vienas tyrimas, analizuojant visuomenės sveikatos specialistų, dirbančių mokykloje kompetencijas. Vilniaus universiteto Medicinos fakultetas ir Valstybinis aplinkos sveikatos centras 2002 m. pabaigoje pirmą kartą išsamiai įvertino bendruomenės slaugytojų, dirbančių mokyklose, veiklą (Mačiūnas ir kt., 2005). Tyrimo duomenimis, daugiausia savo darbo laiko šie specialistai skyrė pirmosios pagalbos teikimui ir profilaktiniams mokinių sveikatos tikrinimams, t.y. toms veiklos sritims, kurioms jie turi geriausia teorinį ir praktinį pasirengimą. Tyrimas atskleidė opiausias specialistu, vykdančių mokinių sveikatos priežiūrą, veiklos problemas: daugeliui dirbančių mokyklose bendruomenės slaugytojų trūko teorinių žinių programinio planavimo, mokinių kūno kultūros ir protinio darbo higienos srityje, sveikatinimo veiklos stebėjimo ir vertinimo srityse. Kas antras specialistas teigė esantis nepasirengęs talkinti mokytojams mokinių rengimo šeimai, aplinkos reglamentavimo, gyvenimo bei mokymosi sąlygų srityse. </w:t>
      </w:r>
    </w:p>
    <w:p w:rsidR="00995BE0" w:rsidRPr="0059346C" w:rsidRDefault="00995BE0" w:rsidP="00A3155B">
      <w:pPr>
        <w:autoSpaceDE w:val="0"/>
        <w:autoSpaceDN w:val="0"/>
        <w:adjustRightInd w:val="0"/>
        <w:spacing w:line="360" w:lineRule="auto"/>
        <w:ind w:firstLine="567"/>
        <w:jc w:val="both"/>
      </w:pPr>
      <w:r w:rsidRPr="0059346C">
        <w:t xml:space="preserve">Pakitus sveikatos priežiūros mokykloje organizavimo pobūdžiui ir teisiniam reglamentavimui, mokyklose dirbantys </w:t>
      </w:r>
      <w:r>
        <w:t>VS</w:t>
      </w:r>
      <w:r w:rsidRPr="0059346C">
        <w:t xml:space="preserve"> priežiūros specialistai nuo 2004 m. turėjo perorientuoti savo veikla, didžiąją laiko dali skiriant visuomenės sveikatos priežiūros sferos veikl</w:t>
      </w:r>
      <w:r>
        <w:t>ai (Mačiūnas ir kt., 2010</w:t>
      </w:r>
      <w:r w:rsidRPr="0059346C">
        <w:t>).</w:t>
      </w:r>
    </w:p>
    <w:p w:rsidR="00995BE0" w:rsidRPr="0059346C" w:rsidRDefault="00995BE0" w:rsidP="00A3155B">
      <w:pPr>
        <w:autoSpaceDE w:val="0"/>
        <w:autoSpaceDN w:val="0"/>
        <w:adjustRightInd w:val="0"/>
        <w:spacing w:line="360" w:lineRule="auto"/>
        <w:ind w:firstLine="567"/>
        <w:jc w:val="both"/>
      </w:pPr>
      <w:r w:rsidRPr="0059346C">
        <w:t xml:space="preserve">2006 m. Valstybinis aplinkos centras, padedant visuomenės sveikatos centrams apskrityje, organizavo mokyklų </w:t>
      </w:r>
      <w:r>
        <w:t>VS</w:t>
      </w:r>
      <w:r w:rsidRPr="0059346C">
        <w:t xml:space="preserve"> specialistų veiklos kokybinį vertinimą. Tyrimo duomenimis, </w:t>
      </w:r>
      <w:r>
        <w:t>VS</w:t>
      </w:r>
      <w:r w:rsidRPr="0059346C">
        <w:t xml:space="preserve"> specialistams trūko žinių bei įgūdžių valgiaraščių ir tvarkaraščių sudarymo, programinio planavimo, protinio darbo higienos, kūno kultūros pamokų organizavimo bei sveikatinimo veiklos stebėjimo klausimais. Trečdalis </w:t>
      </w:r>
      <w:r>
        <w:t>VS</w:t>
      </w:r>
      <w:r w:rsidRPr="0059346C">
        <w:t xml:space="preserve"> priežiūros specialistų nemokėjo naudotis internetu.</w:t>
      </w:r>
    </w:p>
    <w:p w:rsidR="00995BE0" w:rsidRPr="0059346C" w:rsidRDefault="00995BE0" w:rsidP="00A3155B">
      <w:pPr>
        <w:autoSpaceDE w:val="0"/>
        <w:autoSpaceDN w:val="0"/>
        <w:adjustRightInd w:val="0"/>
        <w:spacing w:line="360" w:lineRule="auto"/>
        <w:ind w:firstLine="567"/>
        <w:jc w:val="both"/>
      </w:pPr>
      <w:r w:rsidRPr="0059346C">
        <w:t>2007 m. tyrimo metu (Gudžinskienė, 2007</w:t>
      </w:r>
      <w:r>
        <w:t>a</w:t>
      </w:r>
      <w:r w:rsidRPr="0059346C">
        <w:t>) 41 proc. mokyklų vadovų teigė, kad kompetentingų specialistų vis dėlto nėra pakankamai. Taigi specialistas, kuris užima darbo vietą, yra, tačiau sveikatinimo ugdomajai veiklai neturi reikiamų kompetencijų arba jų turi per ma</w:t>
      </w:r>
      <w:r>
        <w:t>ž</w:t>
      </w:r>
      <w:r w:rsidRPr="0059346C">
        <w:t>ai, todėl ir nesiima tos veiklos, nors pareigybiniame apraše tokia veikla numatyta.</w:t>
      </w:r>
    </w:p>
    <w:p w:rsidR="00995BE0" w:rsidRPr="001D71BB" w:rsidRDefault="00995BE0" w:rsidP="00A3155B">
      <w:pPr>
        <w:spacing w:line="360" w:lineRule="auto"/>
        <w:ind w:firstLine="567"/>
        <w:jc w:val="both"/>
      </w:pPr>
      <w:r w:rsidRPr="001D71BB">
        <w:t>Daktaro disertacijoje Alina Petrauskienė analizuodama mokyklų medikų kompetencijas išskiria, kad ,,specialistas turi mokėti kalbėti prieš auditoriją, konsultuoti individualiai, gauti ir perduoti informaciją žodinėmis ir nežodinėmis priemonėmis, gebėti efektyviai naudotis informacinėmis technologijomis. Reikšmingi sveikatos ugdytojo gebėjimai yra užsienio kalbų mokėjimas, kritinis mąstymas, analizavimas, vertinimas, tyrimų atlikimas, rezultatų apibendrinimas ir pristatymas“ (Aukštakalnytė, 1999).</w:t>
      </w:r>
    </w:p>
    <w:p w:rsidR="00995BE0" w:rsidRDefault="00995BE0" w:rsidP="00A3155B">
      <w:pPr>
        <w:autoSpaceDE w:val="0"/>
        <w:autoSpaceDN w:val="0"/>
        <w:adjustRightInd w:val="0"/>
        <w:spacing w:line="360" w:lineRule="auto"/>
        <w:ind w:firstLine="360"/>
        <w:jc w:val="both"/>
      </w:pPr>
      <w:r w:rsidRPr="001D71BB">
        <w:t>Sveikatos ugdymas yra sudėtingas pedagoginis ir psichologinis procesas, reikalaujantis ne tik mokslo žinių, bet ir profesinio meistriškumo. Mokyklose sveikatos ugdymo funkciją iš esmės atlieka visuomenės sveikatos priežiūros specialistas, todėl jam labai svarbu įgyti sveikatos ugdymui reikiamas kompetencijas ir siekti sveikatos ugdytojo vaidmens mokyklose ir visuomenėje įtvirtinimo.</w:t>
      </w:r>
    </w:p>
    <w:p w:rsidR="00995BE0" w:rsidRPr="000F1102" w:rsidRDefault="00995BE0" w:rsidP="00B500B9">
      <w:pPr>
        <w:pStyle w:val="Antrat2"/>
        <w:rPr>
          <w:sz w:val="28"/>
          <w:szCs w:val="28"/>
          <w:lang w:val="lt-LT"/>
        </w:rPr>
      </w:pPr>
      <w:bookmarkStart w:id="58" w:name="_Toc293248634"/>
      <w:r w:rsidRPr="000F1102">
        <w:rPr>
          <w:sz w:val="28"/>
          <w:szCs w:val="28"/>
          <w:lang w:val="lt-LT"/>
        </w:rPr>
        <w:lastRenderedPageBreak/>
        <w:t>2.</w:t>
      </w:r>
      <w:r>
        <w:rPr>
          <w:sz w:val="28"/>
          <w:szCs w:val="28"/>
          <w:lang w:val="lt-LT"/>
        </w:rPr>
        <w:t>3</w:t>
      </w:r>
      <w:r w:rsidRPr="000F1102">
        <w:rPr>
          <w:sz w:val="28"/>
          <w:szCs w:val="28"/>
          <w:lang w:val="lt-LT"/>
        </w:rPr>
        <w:t xml:space="preserve"> Šiaulių miesto</w:t>
      </w:r>
      <w:r>
        <w:rPr>
          <w:sz w:val="28"/>
          <w:szCs w:val="28"/>
          <w:lang w:val="lt-LT"/>
        </w:rPr>
        <w:t xml:space="preserve"> savivaldybės</w:t>
      </w:r>
      <w:r w:rsidRPr="000F1102">
        <w:rPr>
          <w:sz w:val="28"/>
          <w:szCs w:val="28"/>
          <w:lang w:val="lt-LT"/>
        </w:rPr>
        <w:t xml:space="preserve"> visuomenės sveikatos biuro strateginių prioritetų </w:t>
      </w:r>
      <w:r>
        <w:rPr>
          <w:sz w:val="28"/>
          <w:szCs w:val="28"/>
          <w:lang w:val="lt-LT"/>
        </w:rPr>
        <w:t>pagrindimas</w:t>
      </w:r>
      <w:bookmarkEnd w:id="58"/>
    </w:p>
    <w:p w:rsidR="00995BE0" w:rsidRDefault="00995BE0" w:rsidP="002E7EFC">
      <w:pPr>
        <w:spacing w:line="360" w:lineRule="auto"/>
        <w:ind w:firstLine="480"/>
        <w:jc w:val="both"/>
        <w:rPr>
          <w:lang w:eastAsia="ar-SA"/>
        </w:rPr>
      </w:pPr>
      <w:r>
        <w:rPr>
          <w:lang w:eastAsia="ar-SA"/>
        </w:rPr>
        <w:t xml:space="preserve">Ankstesnėse šio darbo skyriuose atliktose ir pateiktose analizėse buvo bandoma nustatyti realią esamą Šiaulių miesto gyventojų situacinę būklę bei pokyčius, išryškinti pagrindines problemas, vyraujančius rizikos veiksnius, kurie turi didesnę ar mažesnę įtaką sveikatai. Labai dažnai mūsų sveikatą veikia keli rizikos veiksniai, o neretai kai kurių net nepriskiriame prie tokių. </w:t>
      </w:r>
    </w:p>
    <w:p w:rsidR="00995BE0" w:rsidRPr="00906DAD" w:rsidRDefault="00995BE0" w:rsidP="00101DFE">
      <w:pPr>
        <w:tabs>
          <w:tab w:val="left" w:pos="397"/>
        </w:tabs>
        <w:spacing w:line="360" w:lineRule="auto"/>
        <w:ind w:firstLine="600"/>
        <w:jc w:val="both"/>
      </w:pPr>
      <w:r w:rsidRPr="00906DAD">
        <w:t xml:space="preserve">Vadovaujantis ekspertų nuostatomis, kaip vienintelį prioritetą, kurį daugelis jų konkrečiai apibrėžė yra vaikų sveikata (jis bus aptartas vėliau). Kitus prioritetus jų nuomone turėtų parodyti stebėsenos analizė (E3, E4, E7, E8). Ekspertai nurodė, kad viena iš pagrindinių savivaldybių </w:t>
      </w:r>
      <w:r>
        <w:t>VS</w:t>
      </w:r>
      <w:r w:rsidRPr="00906DAD">
        <w:t xml:space="preserve"> priežiūros funkcijų yra visuomenės sveikatos stebėsena, kurią vykdant gaunama išsami informaciją apie gyventojų sveikatos būklę ir ją lemiančius rizikos veiksnius, ir tuo pagrindu galima nusistatyti visuomenės sveikatos problemas ir visuomenės sveikatos stiprinimo prioritetus, kokios sveikatinimo programos gali būti finansuojamos papildomai. Taigi apibendrinant Šiaulių miesto gyventojų sveikatos būklę, pagrindines sergamumo/mirtingumo priežastis, socialinius ekonominius veiksnius neigiamai veikiančius sveikatą, galima išskirti 4 pagrindinius sveikatos prioritetu</w:t>
      </w:r>
      <w:r>
        <w:t>s</w:t>
      </w:r>
      <w:r w:rsidRPr="00906DAD">
        <w:t xml:space="preserve">. </w:t>
      </w:r>
    </w:p>
    <w:p w:rsidR="00995BE0" w:rsidRDefault="00995BE0" w:rsidP="00414616">
      <w:pPr>
        <w:pStyle w:val="Antrat3"/>
      </w:pPr>
      <w:bookmarkStart w:id="59" w:name="_Toc293248635"/>
      <w:r>
        <w:t>2.3</w:t>
      </w:r>
      <w:r w:rsidRPr="00201FEA">
        <w:t>.</w:t>
      </w:r>
      <w:r>
        <w:t>1</w:t>
      </w:r>
      <w:r w:rsidRPr="00201FEA">
        <w:t xml:space="preserve"> </w:t>
      </w:r>
      <w:r>
        <w:t>Pirmasis prioritetas: lėtinių neinfekcinių ligų prevencija</w:t>
      </w:r>
      <w:bookmarkEnd w:id="59"/>
    </w:p>
    <w:p w:rsidR="00995BE0" w:rsidRDefault="00995BE0" w:rsidP="00414616">
      <w:pPr>
        <w:autoSpaceDE w:val="0"/>
        <w:autoSpaceDN w:val="0"/>
        <w:adjustRightInd w:val="0"/>
        <w:spacing w:line="360" w:lineRule="auto"/>
        <w:ind w:firstLine="600"/>
        <w:jc w:val="both"/>
        <w:rPr>
          <w:rFonts w:ascii="TimesNewRomanPSMT" w:hAnsi="TimesNewRomanPSMT" w:cs="TimesNewRomanPSMT"/>
        </w:rPr>
      </w:pPr>
      <w:r>
        <w:rPr>
          <w:rFonts w:ascii="TimesNewRomanPSMT" w:hAnsi="TimesNewRomanPSMT" w:cs="TimesNewRomanPSMT"/>
        </w:rPr>
        <w:t>Vienu iš aktualiausi</w:t>
      </w:r>
      <w:r>
        <w:rPr>
          <w:rFonts w:ascii="TimesNewRomanPSMT Baltic" w:hAnsi="TimesNewRomanPSMT Baltic" w:cs="TimesNewRomanPSMT Baltic"/>
        </w:rPr>
        <w:t>ų</w:t>
      </w:r>
      <w:r>
        <w:rPr>
          <w:rFonts w:ascii="TimesNewRomanPSMT" w:hAnsi="TimesNewRomanPSMT" w:cs="TimesNewRomanPSMT"/>
        </w:rPr>
        <w:t xml:space="preserve"> Lietuvos sveikatos apsaugos sistemos uždavini</w:t>
      </w:r>
      <w:r>
        <w:rPr>
          <w:rFonts w:ascii="TimesNewRomanPSMT Baltic" w:hAnsi="TimesNewRomanPSMT Baltic" w:cs="TimesNewRomanPSMT Baltic"/>
        </w:rPr>
        <w:t>ų</w:t>
      </w:r>
      <w:r>
        <w:rPr>
          <w:rFonts w:ascii="TimesNewRomanPSMT" w:hAnsi="TimesNewRomanPSMT" w:cs="TimesNewRomanPSMT"/>
        </w:rPr>
        <w:t xml:space="preserve"> yra l</w:t>
      </w:r>
      <w:r>
        <w:rPr>
          <w:rFonts w:ascii="TimesNewRomanPSMT Baltic" w:hAnsi="TimesNewRomanPSMT Baltic" w:cs="TimesNewRomanPSMT Baltic"/>
        </w:rPr>
        <w:t>ė</w:t>
      </w:r>
      <w:r>
        <w:rPr>
          <w:rFonts w:ascii="TimesNewRomanPSMT" w:hAnsi="TimesNewRomanPSMT" w:cs="TimesNewRomanPSMT"/>
        </w:rPr>
        <w:t>tin</w:t>
      </w:r>
      <w:r>
        <w:rPr>
          <w:rFonts w:ascii="TimesNewRomanPSMT Baltic" w:hAnsi="TimesNewRomanPSMT Baltic" w:cs="TimesNewRomanPSMT Baltic"/>
        </w:rPr>
        <w:t>ė</w:t>
      </w:r>
      <w:r>
        <w:rPr>
          <w:rFonts w:ascii="TimesNewRomanPSMT" w:hAnsi="TimesNewRomanPSMT" w:cs="TimesNewRomanPSMT"/>
        </w:rPr>
        <w:t>s neinfekcin</w:t>
      </w:r>
      <w:r>
        <w:rPr>
          <w:rFonts w:ascii="TimesNewRomanPSMT Baltic" w:hAnsi="TimesNewRomanPSMT Baltic" w:cs="TimesNewRomanPSMT Baltic"/>
        </w:rPr>
        <w:t>ė</w:t>
      </w:r>
      <w:r>
        <w:rPr>
          <w:rFonts w:ascii="TimesNewRomanPSMT" w:hAnsi="TimesNewRomanPSMT" w:cs="TimesNewRomanPSMT"/>
        </w:rPr>
        <w:t xml:space="preserve">s ligos. Tai iliustruoja </w:t>
      </w:r>
      <w:r>
        <w:rPr>
          <w:rFonts w:ascii="TimesNewRomanPSMT Baltic" w:hAnsi="TimesNewRomanPSMT Baltic" w:cs="TimesNewRomanPSMT Baltic"/>
        </w:rPr>
        <w:t xml:space="preserve">jau anksčiau aptarta </w:t>
      </w:r>
      <w:r>
        <w:rPr>
          <w:rFonts w:ascii="TimesNewRomanPSMT" w:hAnsi="TimesNewRomanPSMT" w:cs="TimesNewRomanPSMT"/>
        </w:rPr>
        <w:t>Lietuvos gyventoj</w:t>
      </w:r>
      <w:r>
        <w:rPr>
          <w:rFonts w:ascii="TimesNewRomanPSMT Baltic" w:hAnsi="TimesNewRomanPSMT Baltic" w:cs="TimesNewRomanPSMT Baltic"/>
        </w:rPr>
        <w:t>ų</w:t>
      </w:r>
      <w:r>
        <w:rPr>
          <w:rFonts w:ascii="TimesNewRomanPSMT" w:hAnsi="TimesNewRomanPSMT" w:cs="TimesNewRomanPSMT"/>
        </w:rPr>
        <w:t xml:space="preserve"> mirtingumo strukt</w:t>
      </w:r>
      <w:r>
        <w:rPr>
          <w:rFonts w:ascii="TimesNewRomanPSMT Baltic" w:hAnsi="TimesNewRomanPSMT Baltic" w:cs="TimesNewRomanPSMT Baltic"/>
        </w:rPr>
        <w:t>ū</w:t>
      </w:r>
      <w:r>
        <w:rPr>
          <w:rFonts w:ascii="TimesNewRomanPSMT" w:hAnsi="TimesNewRomanPSMT" w:cs="TimesNewRomanPSMT"/>
        </w:rPr>
        <w:t>ra, kai vyrauja širdies ir kraujagysli</w:t>
      </w:r>
      <w:r>
        <w:rPr>
          <w:rFonts w:ascii="TimesNewRomanPSMT Baltic" w:hAnsi="TimesNewRomanPSMT Baltic" w:cs="TimesNewRomanPSMT Baltic"/>
        </w:rPr>
        <w:t>ų</w:t>
      </w:r>
      <w:r>
        <w:rPr>
          <w:rFonts w:ascii="TimesNewRomanPSMT" w:hAnsi="TimesNewRomanPSMT" w:cs="TimesNewRomanPSMT"/>
        </w:rPr>
        <w:t xml:space="preserve"> ligos, piktybiniai na</w:t>
      </w:r>
      <w:r>
        <w:rPr>
          <w:rFonts w:ascii="TimesNewRomanPSMT CE" w:hAnsi="TimesNewRomanPSMT CE" w:cs="TimesNewRomanPSMT CE"/>
        </w:rPr>
        <w:t>vikai bei išorinės mirties priežastys. Visgi Lietuvoje jau ne vieną dešimtmetį mirtingumo struktūroje dominuoja kraujotakos sistemos ligos. Tai ypač aktuali tiek nacionaliniu, tiek ir vietiniu lygiu. Beveik tre</w:t>
      </w:r>
      <w:r>
        <w:rPr>
          <w:rFonts w:ascii="TimesNewRomanPSMT Baltic" w:hAnsi="TimesNewRomanPSMT Baltic" w:cs="TimesNewRomanPSMT Baltic"/>
        </w:rPr>
        <w:t>č</w:t>
      </w:r>
      <w:r>
        <w:rPr>
          <w:rFonts w:ascii="TimesNewRomanPSMT" w:hAnsi="TimesNewRomanPSMT" w:cs="TimesNewRomanPSMT"/>
        </w:rPr>
        <w:t>daliui ligoni</w:t>
      </w:r>
      <w:r>
        <w:rPr>
          <w:rFonts w:ascii="TimesNewRomanPSMT Baltic" w:hAnsi="TimesNewRomanPSMT Baltic" w:cs="TimesNewRomanPSMT Baltic"/>
        </w:rPr>
        <w:t>ų</w:t>
      </w:r>
      <w:r>
        <w:rPr>
          <w:rFonts w:ascii="TimesNewRomanPSMT" w:hAnsi="TimesNewRomanPSMT" w:cs="TimesNewRomanPSMT"/>
        </w:rPr>
        <w:t xml:space="preserve"> širdies ir kraujagysli</w:t>
      </w:r>
      <w:r>
        <w:rPr>
          <w:rFonts w:ascii="TimesNewRomanPSMT Baltic" w:hAnsi="TimesNewRomanPSMT Baltic" w:cs="TimesNewRomanPSMT Baltic"/>
        </w:rPr>
        <w:t>ų</w:t>
      </w:r>
      <w:r>
        <w:rPr>
          <w:rFonts w:ascii="TimesNewRomanPSMT" w:hAnsi="TimesNewRomanPSMT" w:cs="TimesNewRomanPSMT"/>
        </w:rPr>
        <w:t xml:space="preserve"> ligos buvo pirm</w:t>
      </w:r>
      <w:r>
        <w:rPr>
          <w:rFonts w:ascii="TimesNewRomanPSMT Baltic" w:hAnsi="TimesNewRomanPSMT Baltic" w:cs="TimesNewRomanPSMT Baltic"/>
        </w:rPr>
        <w:t>ą</w:t>
      </w:r>
      <w:r>
        <w:rPr>
          <w:rFonts w:ascii="TimesNewRomanPSMT" w:hAnsi="TimesNewRomanPSMT" w:cs="TimesNewRomanPSMT"/>
        </w:rPr>
        <w:t xml:space="preserve"> kart</w:t>
      </w:r>
      <w:r>
        <w:rPr>
          <w:rFonts w:ascii="TimesNewRomanPSMT Baltic" w:hAnsi="TimesNewRomanPSMT Baltic" w:cs="TimesNewRomanPSMT Baltic"/>
        </w:rPr>
        <w:t>ą</w:t>
      </w:r>
      <w:r>
        <w:rPr>
          <w:rFonts w:ascii="TimesNewRomanPSMT" w:hAnsi="TimesNewRomanPSMT" w:cs="TimesNewRomanPSMT"/>
        </w:rPr>
        <w:t xml:space="preserve"> nustatyto ne</w:t>
      </w:r>
      <w:r>
        <w:rPr>
          <w:rFonts w:ascii="TimesNewRomanPSMT Baltic" w:hAnsi="TimesNewRomanPSMT Baltic" w:cs="TimesNewRomanPSMT Baltic"/>
        </w:rPr>
        <w:t>į</w:t>
      </w:r>
      <w:r>
        <w:rPr>
          <w:rFonts w:ascii="TimesNewRomanPSMT" w:hAnsi="TimesNewRomanPSMT" w:cs="TimesNewRomanPSMT"/>
        </w:rPr>
        <w:t>galumo priežastis (</w:t>
      </w:r>
      <w:r w:rsidRPr="00B55B99">
        <w:t>LR Švietimo ir mokslo ministro įsakymas, Nr. 75-3851</w:t>
      </w:r>
      <w:r>
        <w:rPr>
          <w:rFonts w:ascii="TimesNewRomanPSMT" w:hAnsi="TimesNewRomanPSMT" w:cs="TimesNewRomanPSMT"/>
        </w:rPr>
        <w:t xml:space="preserve">, 2010). </w:t>
      </w:r>
    </w:p>
    <w:p w:rsidR="00995BE0" w:rsidRDefault="00995BE0" w:rsidP="00414616">
      <w:pPr>
        <w:spacing w:line="360" w:lineRule="auto"/>
        <w:ind w:firstLine="480"/>
        <w:jc w:val="both"/>
      </w:pPr>
      <w:r>
        <w:t xml:space="preserve">Priežastis, dėl kurios, svarstant Lietuvos sveikatos politikos perspektyvą, būtina ypatingą dėmesį skirti lėtinių neinfekcinių ligų (LNL) prevencijai yra labai paprasta. Neinvestuojant į LNL prevenciją, t.y. nesiekiant sumažinti rizikos sirgti šiomis ligomis, jau ir taip didelė ekonominė žala, kurią patiria valstybė dėl brangiai kainuojančių diagnostikos bei gydymo priemonių, dėl prarastų gyvenimo metų nepagaminto nacionalinio produkto, dėl vykstančių demografinių procesų toliau neišvengiamai augs (Chronic disease: an economic perspective, 2006). PSO duomenimis, pagrindinių LNL, tokių kaip kraujotakos sistemos, vėžio, cukrinio diabeto, lėtinių plaučių ligų išsivystymą iš esmės nulemia gyvensenos sąlygoti 7 rizikos veiksniai: tabakas, hipertenzija, hipercholesterolemija, alkoholis, antsvoris, nepakankamas vaisių ir daržovių vartojimas, fizinės veiklos stoka (World Health Report, 2003). Remdamasi Lietuvoje atliktų mokslinių tyrimų duomenimis PSO apskaičiavo, jog 33 proc. šalies gyventojų mirčių susiję su hipertenzija, 23,2 proc. </w:t>
      </w:r>
      <w:r>
        <w:lastRenderedPageBreak/>
        <w:t>– hipercholesterolemija, 17,8 proc. – tabaku, 12,0 proc. – nepakankamu vaisių ir daržovių vartojimu, 10,7 – alkoholiu, 10,5 proc. – antsvoriu, 9,1 proc. – fizinės veiklos stoka (European Health Report 2005, 2005).</w:t>
      </w:r>
    </w:p>
    <w:p w:rsidR="00995BE0" w:rsidRDefault="00995BE0" w:rsidP="00414616">
      <w:pPr>
        <w:autoSpaceDE w:val="0"/>
        <w:autoSpaceDN w:val="0"/>
        <w:adjustRightInd w:val="0"/>
        <w:spacing w:line="360" w:lineRule="auto"/>
        <w:ind w:firstLine="600"/>
        <w:jc w:val="both"/>
      </w:pPr>
      <w:r>
        <w:rPr>
          <w:rFonts w:ascii="TimesNewRomanPSMT" w:hAnsi="TimesNewRomanPSMT" w:cs="TimesNewRomanPSMT"/>
        </w:rPr>
        <w:t>Šios problemos aktualum</w:t>
      </w:r>
      <w:r>
        <w:rPr>
          <w:rFonts w:ascii="TimesNewRomanPSMT Baltic" w:hAnsi="TimesNewRomanPSMT Baltic" w:cs="TimesNewRomanPSMT Baltic"/>
        </w:rPr>
        <w:t>ą</w:t>
      </w:r>
      <w:r>
        <w:rPr>
          <w:rFonts w:ascii="TimesNewRomanPSMT" w:hAnsi="TimesNewRomanPSMT" w:cs="TimesNewRomanPSMT"/>
        </w:rPr>
        <w:t xml:space="preserve"> Lietuvoje atskleidžia ir daug didesni mirtingumo nuo ši</w:t>
      </w:r>
      <w:r>
        <w:rPr>
          <w:rFonts w:ascii="TimesNewRomanPSMT Baltic" w:hAnsi="TimesNewRomanPSMT Baltic" w:cs="TimesNewRomanPSMT Baltic"/>
        </w:rPr>
        <w:t>ų</w:t>
      </w:r>
      <w:r>
        <w:rPr>
          <w:rFonts w:ascii="TimesNewRomanPSMT" w:hAnsi="TimesNewRomanPSMT" w:cs="TimesNewRomanPSMT"/>
        </w:rPr>
        <w:t xml:space="preserve"> lig</w:t>
      </w:r>
      <w:r>
        <w:rPr>
          <w:rFonts w:ascii="TimesNewRomanPSMT Baltic" w:hAnsi="TimesNewRomanPSMT Baltic" w:cs="TimesNewRomanPSMT Baltic"/>
        </w:rPr>
        <w:t>ų</w:t>
      </w:r>
      <w:r>
        <w:rPr>
          <w:rFonts w:ascii="TimesNewRomanPSMT" w:hAnsi="TimesNewRomanPSMT" w:cs="TimesNewRomanPSMT"/>
        </w:rPr>
        <w:t xml:space="preserve"> rodikliai palyginimai su Europos S</w:t>
      </w:r>
      <w:r>
        <w:rPr>
          <w:rFonts w:ascii="TimesNewRomanPSMT Baltic" w:hAnsi="TimesNewRomanPSMT Baltic" w:cs="TimesNewRomanPSMT Baltic"/>
        </w:rPr>
        <w:t>ą</w:t>
      </w:r>
      <w:r>
        <w:rPr>
          <w:rFonts w:ascii="TimesNewRomanPSMT" w:hAnsi="TimesNewRomanPSMT" w:cs="TimesNewRomanPSMT"/>
        </w:rPr>
        <w:t>jungos šalimis senbuv</w:t>
      </w:r>
      <w:r>
        <w:rPr>
          <w:rFonts w:ascii="TimesNewRomanPSMT Baltic" w:hAnsi="TimesNewRomanPSMT Baltic" w:cs="TimesNewRomanPSMT Baltic"/>
        </w:rPr>
        <w:t>ė</w:t>
      </w:r>
      <w:r>
        <w:rPr>
          <w:rFonts w:ascii="TimesNewRomanPSMT" w:hAnsi="TimesNewRomanPSMT" w:cs="TimesNewRomanPSMT"/>
        </w:rPr>
        <w:t xml:space="preserve">mis. </w:t>
      </w:r>
      <w:r w:rsidRPr="001D71BB">
        <w:t xml:space="preserve">Lietuvoje nuo ŠKL miršta beveik dvigubai daugiau gyventojų negu vidutiniškai ES šalyse senbuvėse. Šis rodiklis yra ypač didelis vyresnių nei 64 m. asmenų amžiaus grupėje, kurioje net pusė jų </w:t>
      </w:r>
      <w:r>
        <w:t>mirties priežastimi yra ŠKL</w:t>
      </w:r>
      <w:r w:rsidRPr="001D71BB">
        <w:t xml:space="preserve">. </w:t>
      </w:r>
    </w:p>
    <w:p w:rsidR="00995BE0" w:rsidRPr="00B55B99" w:rsidRDefault="00995BE0" w:rsidP="00414616">
      <w:pPr>
        <w:spacing w:line="360" w:lineRule="auto"/>
        <w:ind w:right="-82" w:firstLine="567"/>
        <w:jc w:val="right"/>
        <w:rPr>
          <w:b/>
        </w:rPr>
      </w:pPr>
      <w:r w:rsidRPr="00DF132E">
        <w:rPr>
          <w:b/>
        </w:rPr>
        <w:t>8</w:t>
      </w:r>
      <w:r w:rsidRPr="00B55B99">
        <w:rPr>
          <w:b/>
        </w:rPr>
        <w:t xml:space="preserve"> lentelė</w:t>
      </w:r>
    </w:p>
    <w:p w:rsidR="00995BE0" w:rsidRPr="00B55B99" w:rsidRDefault="00995BE0" w:rsidP="00414616">
      <w:pPr>
        <w:spacing w:line="360" w:lineRule="auto"/>
        <w:ind w:right="-82" w:firstLine="567"/>
        <w:jc w:val="center"/>
        <w:rPr>
          <w:b/>
          <w:sz w:val="22"/>
          <w:szCs w:val="22"/>
        </w:rPr>
      </w:pPr>
      <w:r w:rsidRPr="00B55B99">
        <w:rPr>
          <w:b/>
          <w:sz w:val="22"/>
          <w:szCs w:val="22"/>
        </w:rPr>
        <w:t>Standartizuoti mirtingumo rodikliai pagal pagrindines priežastis 2007 m. (PSO DB)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850"/>
        <w:gridCol w:w="709"/>
        <w:gridCol w:w="709"/>
        <w:gridCol w:w="709"/>
        <w:gridCol w:w="850"/>
        <w:gridCol w:w="992"/>
        <w:gridCol w:w="851"/>
        <w:gridCol w:w="992"/>
        <w:gridCol w:w="851"/>
        <w:gridCol w:w="850"/>
      </w:tblGrid>
      <w:tr w:rsidR="00995BE0" w:rsidRPr="001D71BB" w:rsidTr="005C5FC9">
        <w:trPr>
          <w:jc w:val="center"/>
        </w:trPr>
        <w:tc>
          <w:tcPr>
            <w:tcW w:w="959" w:type="dxa"/>
          </w:tcPr>
          <w:p w:rsidR="00995BE0" w:rsidRPr="0077780C" w:rsidRDefault="00995BE0" w:rsidP="005C5FC9">
            <w:pPr>
              <w:spacing w:line="360" w:lineRule="auto"/>
              <w:ind w:right="-82"/>
              <w:jc w:val="both"/>
              <w:rPr>
                <w:sz w:val="20"/>
                <w:szCs w:val="20"/>
              </w:rPr>
            </w:pPr>
            <w:r w:rsidRPr="0077780C">
              <w:rPr>
                <w:sz w:val="20"/>
                <w:szCs w:val="20"/>
              </w:rPr>
              <w:t>Šalys</w:t>
            </w:r>
          </w:p>
        </w:tc>
        <w:tc>
          <w:tcPr>
            <w:tcW w:w="1559" w:type="dxa"/>
            <w:gridSpan w:val="2"/>
          </w:tcPr>
          <w:p w:rsidR="00995BE0" w:rsidRPr="0077780C" w:rsidRDefault="00995BE0" w:rsidP="005C5FC9">
            <w:pPr>
              <w:ind w:right="-82"/>
              <w:jc w:val="both"/>
              <w:rPr>
                <w:sz w:val="20"/>
                <w:szCs w:val="20"/>
              </w:rPr>
            </w:pPr>
            <w:r w:rsidRPr="0077780C">
              <w:rPr>
                <w:sz w:val="20"/>
                <w:szCs w:val="20"/>
              </w:rPr>
              <w:t>Kraujotakos sistemos ligos</w:t>
            </w:r>
          </w:p>
        </w:tc>
        <w:tc>
          <w:tcPr>
            <w:tcW w:w="1418" w:type="dxa"/>
            <w:gridSpan w:val="2"/>
          </w:tcPr>
          <w:p w:rsidR="00995BE0" w:rsidRPr="0077780C" w:rsidRDefault="00995BE0" w:rsidP="005C5FC9">
            <w:pPr>
              <w:ind w:right="-82"/>
              <w:jc w:val="both"/>
              <w:rPr>
                <w:sz w:val="20"/>
                <w:szCs w:val="20"/>
              </w:rPr>
            </w:pPr>
            <w:r w:rsidRPr="0077780C">
              <w:rPr>
                <w:sz w:val="20"/>
                <w:szCs w:val="20"/>
              </w:rPr>
              <w:t>Piktybiniai navikai</w:t>
            </w:r>
          </w:p>
        </w:tc>
        <w:tc>
          <w:tcPr>
            <w:tcW w:w="1842" w:type="dxa"/>
            <w:gridSpan w:val="2"/>
          </w:tcPr>
          <w:p w:rsidR="00995BE0" w:rsidRPr="0077780C" w:rsidRDefault="00995BE0" w:rsidP="005C5FC9">
            <w:pPr>
              <w:ind w:right="-82"/>
              <w:jc w:val="both"/>
              <w:rPr>
                <w:sz w:val="20"/>
                <w:szCs w:val="20"/>
              </w:rPr>
            </w:pPr>
            <w:r w:rsidRPr="0077780C">
              <w:rPr>
                <w:sz w:val="20"/>
                <w:szCs w:val="20"/>
              </w:rPr>
              <w:t>Išorinės mirties priežastys</w:t>
            </w:r>
          </w:p>
        </w:tc>
        <w:tc>
          <w:tcPr>
            <w:tcW w:w="1843" w:type="dxa"/>
            <w:gridSpan w:val="2"/>
          </w:tcPr>
          <w:p w:rsidR="00995BE0" w:rsidRPr="0077780C" w:rsidRDefault="00995BE0" w:rsidP="005C5FC9">
            <w:pPr>
              <w:ind w:right="-82"/>
              <w:jc w:val="both"/>
              <w:rPr>
                <w:sz w:val="20"/>
                <w:szCs w:val="20"/>
              </w:rPr>
            </w:pPr>
            <w:r w:rsidRPr="0077780C">
              <w:rPr>
                <w:sz w:val="20"/>
                <w:szCs w:val="20"/>
              </w:rPr>
              <w:t>Kvėpavimo sistemos ligos</w:t>
            </w:r>
          </w:p>
        </w:tc>
        <w:tc>
          <w:tcPr>
            <w:tcW w:w="1701" w:type="dxa"/>
            <w:gridSpan w:val="2"/>
          </w:tcPr>
          <w:p w:rsidR="00995BE0" w:rsidRPr="0077780C" w:rsidRDefault="00995BE0" w:rsidP="005C5FC9">
            <w:pPr>
              <w:ind w:right="-82"/>
              <w:jc w:val="both"/>
              <w:rPr>
                <w:sz w:val="20"/>
                <w:szCs w:val="20"/>
              </w:rPr>
            </w:pPr>
            <w:r w:rsidRPr="0077780C">
              <w:rPr>
                <w:sz w:val="20"/>
                <w:szCs w:val="20"/>
              </w:rPr>
              <w:t>Virškinimo sistemos ligos</w:t>
            </w:r>
          </w:p>
        </w:tc>
      </w:tr>
      <w:tr w:rsidR="00995BE0" w:rsidRPr="001D71BB" w:rsidTr="005C5FC9">
        <w:trPr>
          <w:jc w:val="center"/>
        </w:trPr>
        <w:tc>
          <w:tcPr>
            <w:tcW w:w="959" w:type="dxa"/>
          </w:tcPr>
          <w:p w:rsidR="00995BE0" w:rsidRPr="0077780C" w:rsidRDefault="00995BE0" w:rsidP="005C5FC9">
            <w:pPr>
              <w:spacing w:line="360" w:lineRule="auto"/>
              <w:ind w:right="-82"/>
              <w:jc w:val="both"/>
              <w:rPr>
                <w:sz w:val="20"/>
                <w:szCs w:val="20"/>
              </w:rPr>
            </w:pPr>
          </w:p>
        </w:tc>
        <w:tc>
          <w:tcPr>
            <w:tcW w:w="8363" w:type="dxa"/>
            <w:gridSpan w:val="10"/>
            <w:tcBorders>
              <w:right w:val="single" w:sz="4" w:space="0" w:color="auto"/>
            </w:tcBorders>
          </w:tcPr>
          <w:p w:rsidR="00995BE0" w:rsidRPr="0077780C" w:rsidRDefault="00995BE0" w:rsidP="005C5FC9">
            <w:pPr>
              <w:spacing w:line="360" w:lineRule="auto"/>
              <w:ind w:right="-82"/>
              <w:jc w:val="both"/>
              <w:rPr>
                <w:sz w:val="20"/>
                <w:szCs w:val="20"/>
              </w:rPr>
            </w:pPr>
            <w:r w:rsidRPr="0077780C">
              <w:rPr>
                <w:sz w:val="20"/>
                <w:szCs w:val="20"/>
              </w:rPr>
              <w:t>Mirusiųjų skaičius 100 000 gyventojų</w:t>
            </w:r>
          </w:p>
        </w:tc>
      </w:tr>
      <w:tr w:rsidR="00995BE0" w:rsidRPr="001D71BB" w:rsidTr="005C5FC9">
        <w:trPr>
          <w:jc w:val="center"/>
        </w:trPr>
        <w:tc>
          <w:tcPr>
            <w:tcW w:w="959" w:type="dxa"/>
          </w:tcPr>
          <w:p w:rsidR="00995BE0" w:rsidRPr="0077780C" w:rsidRDefault="00995BE0" w:rsidP="005C5FC9">
            <w:pPr>
              <w:spacing w:line="360" w:lineRule="auto"/>
              <w:ind w:right="-82"/>
              <w:jc w:val="both"/>
              <w:rPr>
                <w:sz w:val="20"/>
                <w:szCs w:val="20"/>
              </w:rPr>
            </w:pPr>
          </w:p>
        </w:tc>
        <w:tc>
          <w:tcPr>
            <w:tcW w:w="850" w:type="dxa"/>
          </w:tcPr>
          <w:p w:rsidR="00995BE0" w:rsidRPr="0077780C" w:rsidRDefault="00995BE0" w:rsidP="005C5FC9">
            <w:pPr>
              <w:spacing w:line="360" w:lineRule="auto"/>
              <w:ind w:right="-82"/>
              <w:jc w:val="both"/>
              <w:rPr>
                <w:sz w:val="20"/>
                <w:szCs w:val="20"/>
              </w:rPr>
            </w:pPr>
            <w:r w:rsidRPr="0077780C">
              <w:rPr>
                <w:sz w:val="20"/>
                <w:szCs w:val="20"/>
              </w:rPr>
              <w:t>Vyrai</w:t>
            </w:r>
          </w:p>
        </w:tc>
        <w:tc>
          <w:tcPr>
            <w:tcW w:w="709" w:type="dxa"/>
          </w:tcPr>
          <w:p w:rsidR="00995BE0" w:rsidRPr="0077780C" w:rsidRDefault="00995BE0" w:rsidP="005C5FC9">
            <w:pPr>
              <w:spacing w:line="360" w:lineRule="auto"/>
              <w:ind w:right="-82"/>
              <w:jc w:val="both"/>
              <w:rPr>
                <w:sz w:val="20"/>
                <w:szCs w:val="20"/>
              </w:rPr>
            </w:pPr>
            <w:r w:rsidRPr="0077780C">
              <w:rPr>
                <w:sz w:val="20"/>
                <w:szCs w:val="20"/>
              </w:rPr>
              <w:t>Mot.</w:t>
            </w:r>
          </w:p>
        </w:tc>
        <w:tc>
          <w:tcPr>
            <w:tcW w:w="709" w:type="dxa"/>
            <w:tcBorders>
              <w:right w:val="single" w:sz="4" w:space="0" w:color="auto"/>
            </w:tcBorders>
          </w:tcPr>
          <w:p w:rsidR="00995BE0" w:rsidRPr="0077780C" w:rsidRDefault="00995BE0" w:rsidP="005C5FC9">
            <w:pPr>
              <w:spacing w:line="360" w:lineRule="auto"/>
              <w:ind w:left="-108" w:right="-82"/>
              <w:jc w:val="both"/>
              <w:rPr>
                <w:sz w:val="20"/>
                <w:szCs w:val="20"/>
              </w:rPr>
            </w:pPr>
            <w:r w:rsidRPr="0077780C">
              <w:rPr>
                <w:sz w:val="20"/>
                <w:szCs w:val="20"/>
              </w:rPr>
              <w:t>Vyrai</w:t>
            </w:r>
          </w:p>
        </w:tc>
        <w:tc>
          <w:tcPr>
            <w:tcW w:w="709" w:type="dxa"/>
            <w:tcBorders>
              <w:left w:val="single" w:sz="4" w:space="0" w:color="auto"/>
            </w:tcBorders>
          </w:tcPr>
          <w:p w:rsidR="00995BE0" w:rsidRPr="0077780C" w:rsidRDefault="00995BE0" w:rsidP="005C5FC9">
            <w:pPr>
              <w:spacing w:line="360" w:lineRule="auto"/>
              <w:ind w:left="-108" w:right="-82"/>
              <w:jc w:val="both"/>
              <w:rPr>
                <w:sz w:val="20"/>
                <w:szCs w:val="20"/>
              </w:rPr>
            </w:pPr>
            <w:r w:rsidRPr="0077780C">
              <w:rPr>
                <w:sz w:val="20"/>
                <w:szCs w:val="20"/>
              </w:rPr>
              <w:t>Mot.</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Vyrai</w:t>
            </w:r>
          </w:p>
        </w:tc>
        <w:tc>
          <w:tcPr>
            <w:tcW w:w="992" w:type="dxa"/>
          </w:tcPr>
          <w:p w:rsidR="00995BE0" w:rsidRPr="0077780C" w:rsidRDefault="00995BE0" w:rsidP="005C5FC9">
            <w:pPr>
              <w:spacing w:line="360" w:lineRule="auto"/>
              <w:ind w:right="-82"/>
              <w:jc w:val="both"/>
              <w:rPr>
                <w:sz w:val="20"/>
                <w:szCs w:val="20"/>
              </w:rPr>
            </w:pPr>
            <w:r w:rsidRPr="0077780C">
              <w:rPr>
                <w:sz w:val="20"/>
                <w:szCs w:val="20"/>
              </w:rPr>
              <w:t>Mot.</w:t>
            </w:r>
          </w:p>
        </w:tc>
        <w:tc>
          <w:tcPr>
            <w:tcW w:w="851" w:type="dxa"/>
          </w:tcPr>
          <w:p w:rsidR="00995BE0" w:rsidRPr="0077780C" w:rsidRDefault="00995BE0" w:rsidP="005C5FC9">
            <w:pPr>
              <w:spacing w:line="360" w:lineRule="auto"/>
              <w:ind w:right="-82"/>
              <w:jc w:val="both"/>
              <w:rPr>
                <w:sz w:val="20"/>
                <w:szCs w:val="20"/>
              </w:rPr>
            </w:pPr>
            <w:r w:rsidRPr="0077780C">
              <w:rPr>
                <w:sz w:val="20"/>
                <w:szCs w:val="20"/>
              </w:rPr>
              <w:t>Vyrai</w:t>
            </w:r>
          </w:p>
        </w:tc>
        <w:tc>
          <w:tcPr>
            <w:tcW w:w="992" w:type="dxa"/>
          </w:tcPr>
          <w:p w:rsidR="00995BE0" w:rsidRPr="0077780C" w:rsidRDefault="00995BE0" w:rsidP="005C5FC9">
            <w:pPr>
              <w:spacing w:line="360" w:lineRule="auto"/>
              <w:ind w:right="-82"/>
              <w:jc w:val="both"/>
              <w:rPr>
                <w:sz w:val="20"/>
                <w:szCs w:val="20"/>
              </w:rPr>
            </w:pPr>
            <w:r w:rsidRPr="0077780C">
              <w:rPr>
                <w:sz w:val="20"/>
                <w:szCs w:val="20"/>
              </w:rPr>
              <w:t>Mot.</w:t>
            </w:r>
          </w:p>
        </w:tc>
        <w:tc>
          <w:tcPr>
            <w:tcW w:w="851" w:type="dxa"/>
          </w:tcPr>
          <w:p w:rsidR="00995BE0" w:rsidRPr="0077780C" w:rsidRDefault="00995BE0" w:rsidP="005C5FC9">
            <w:pPr>
              <w:spacing w:line="360" w:lineRule="auto"/>
              <w:ind w:right="-82"/>
              <w:jc w:val="both"/>
              <w:rPr>
                <w:sz w:val="20"/>
                <w:szCs w:val="20"/>
              </w:rPr>
            </w:pPr>
            <w:r w:rsidRPr="0077780C">
              <w:rPr>
                <w:sz w:val="20"/>
                <w:szCs w:val="20"/>
              </w:rPr>
              <w:t>Vyrai</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Mot.</w:t>
            </w:r>
          </w:p>
        </w:tc>
      </w:tr>
      <w:tr w:rsidR="00995BE0" w:rsidRPr="001D71BB" w:rsidTr="005C5FC9">
        <w:trPr>
          <w:jc w:val="center"/>
        </w:trPr>
        <w:tc>
          <w:tcPr>
            <w:tcW w:w="959" w:type="dxa"/>
          </w:tcPr>
          <w:p w:rsidR="00995BE0" w:rsidRPr="0077780C" w:rsidRDefault="00995BE0" w:rsidP="005C5FC9">
            <w:pPr>
              <w:spacing w:line="360" w:lineRule="auto"/>
              <w:ind w:right="-82"/>
              <w:jc w:val="both"/>
              <w:rPr>
                <w:sz w:val="20"/>
                <w:szCs w:val="20"/>
              </w:rPr>
            </w:pPr>
            <w:r w:rsidRPr="0077780C">
              <w:rPr>
                <w:sz w:val="20"/>
                <w:szCs w:val="20"/>
              </w:rPr>
              <w:t>Lietuva</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744,9</w:t>
            </w:r>
          </w:p>
        </w:tc>
        <w:tc>
          <w:tcPr>
            <w:tcW w:w="709" w:type="dxa"/>
          </w:tcPr>
          <w:p w:rsidR="00995BE0" w:rsidRPr="0077780C" w:rsidRDefault="00995BE0" w:rsidP="005C5FC9">
            <w:pPr>
              <w:spacing w:line="360" w:lineRule="auto"/>
              <w:ind w:right="-82"/>
              <w:jc w:val="both"/>
              <w:rPr>
                <w:sz w:val="20"/>
                <w:szCs w:val="20"/>
              </w:rPr>
            </w:pPr>
            <w:r w:rsidRPr="0077780C">
              <w:rPr>
                <w:sz w:val="20"/>
                <w:szCs w:val="20"/>
              </w:rPr>
              <w:t>419,6</w:t>
            </w:r>
          </w:p>
        </w:tc>
        <w:tc>
          <w:tcPr>
            <w:tcW w:w="709" w:type="dxa"/>
            <w:tcBorders>
              <w:right w:val="single" w:sz="4" w:space="0" w:color="auto"/>
            </w:tcBorders>
          </w:tcPr>
          <w:p w:rsidR="00995BE0" w:rsidRPr="0077780C" w:rsidRDefault="00995BE0" w:rsidP="005C5FC9">
            <w:pPr>
              <w:spacing w:line="360" w:lineRule="auto"/>
              <w:ind w:right="-82"/>
              <w:jc w:val="both"/>
              <w:rPr>
                <w:sz w:val="20"/>
                <w:szCs w:val="20"/>
              </w:rPr>
            </w:pPr>
            <w:r w:rsidRPr="0077780C">
              <w:rPr>
                <w:sz w:val="20"/>
                <w:szCs w:val="20"/>
              </w:rPr>
              <w:t>305,6</w:t>
            </w:r>
          </w:p>
        </w:tc>
        <w:tc>
          <w:tcPr>
            <w:tcW w:w="709" w:type="dxa"/>
            <w:tcBorders>
              <w:left w:val="single" w:sz="4" w:space="0" w:color="auto"/>
            </w:tcBorders>
          </w:tcPr>
          <w:p w:rsidR="00995BE0" w:rsidRPr="0077780C" w:rsidRDefault="00995BE0" w:rsidP="005C5FC9">
            <w:pPr>
              <w:spacing w:line="360" w:lineRule="auto"/>
              <w:ind w:right="-82"/>
              <w:jc w:val="both"/>
              <w:rPr>
                <w:sz w:val="20"/>
                <w:szCs w:val="20"/>
              </w:rPr>
            </w:pPr>
            <w:r w:rsidRPr="0077780C">
              <w:rPr>
                <w:sz w:val="20"/>
                <w:szCs w:val="20"/>
              </w:rPr>
              <w:t>133,3</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254,7</w:t>
            </w:r>
          </w:p>
        </w:tc>
        <w:tc>
          <w:tcPr>
            <w:tcW w:w="992" w:type="dxa"/>
          </w:tcPr>
          <w:p w:rsidR="00995BE0" w:rsidRPr="0077780C" w:rsidRDefault="00995BE0" w:rsidP="005C5FC9">
            <w:pPr>
              <w:spacing w:line="360" w:lineRule="auto"/>
              <w:ind w:right="-82"/>
              <w:jc w:val="both"/>
              <w:rPr>
                <w:sz w:val="20"/>
                <w:szCs w:val="20"/>
              </w:rPr>
            </w:pPr>
            <w:r w:rsidRPr="0077780C">
              <w:rPr>
                <w:sz w:val="20"/>
                <w:szCs w:val="20"/>
              </w:rPr>
              <w:t>55,5</w:t>
            </w:r>
          </w:p>
        </w:tc>
        <w:tc>
          <w:tcPr>
            <w:tcW w:w="851" w:type="dxa"/>
          </w:tcPr>
          <w:p w:rsidR="00995BE0" w:rsidRPr="0077780C" w:rsidRDefault="00995BE0" w:rsidP="005C5FC9">
            <w:pPr>
              <w:spacing w:line="360" w:lineRule="auto"/>
              <w:ind w:right="-82"/>
              <w:jc w:val="both"/>
              <w:rPr>
                <w:sz w:val="20"/>
                <w:szCs w:val="20"/>
              </w:rPr>
            </w:pPr>
            <w:r w:rsidRPr="0077780C">
              <w:rPr>
                <w:sz w:val="20"/>
                <w:szCs w:val="20"/>
              </w:rPr>
              <w:t>91,6</w:t>
            </w:r>
          </w:p>
        </w:tc>
        <w:tc>
          <w:tcPr>
            <w:tcW w:w="992" w:type="dxa"/>
          </w:tcPr>
          <w:p w:rsidR="00995BE0" w:rsidRPr="0077780C" w:rsidRDefault="00995BE0" w:rsidP="005C5FC9">
            <w:pPr>
              <w:spacing w:line="360" w:lineRule="auto"/>
              <w:ind w:right="-82"/>
              <w:jc w:val="both"/>
              <w:rPr>
                <w:sz w:val="20"/>
                <w:szCs w:val="20"/>
              </w:rPr>
            </w:pPr>
            <w:r w:rsidRPr="0077780C">
              <w:rPr>
                <w:sz w:val="20"/>
                <w:szCs w:val="20"/>
              </w:rPr>
              <w:t>19,4</w:t>
            </w:r>
          </w:p>
        </w:tc>
        <w:tc>
          <w:tcPr>
            <w:tcW w:w="851" w:type="dxa"/>
          </w:tcPr>
          <w:p w:rsidR="00995BE0" w:rsidRPr="0077780C" w:rsidRDefault="00995BE0" w:rsidP="005C5FC9">
            <w:pPr>
              <w:spacing w:line="360" w:lineRule="auto"/>
              <w:ind w:right="-82"/>
              <w:jc w:val="both"/>
              <w:rPr>
                <w:sz w:val="20"/>
                <w:szCs w:val="20"/>
              </w:rPr>
            </w:pPr>
            <w:r w:rsidRPr="0077780C">
              <w:rPr>
                <w:sz w:val="20"/>
                <w:szCs w:val="20"/>
              </w:rPr>
              <w:t>104,4</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46,6</w:t>
            </w:r>
          </w:p>
        </w:tc>
      </w:tr>
      <w:tr w:rsidR="00995BE0" w:rsidRPr="001D71BB" w:rsidTr="005C5FC9">
        <w:trPr>
          <w:jc w:val="center"/>
        </w:trPr>
        <w:tc>
          <w:tcPr>
            <w:tcW w:w="959" w:type="dxa"/>
          </w:tcPr>
          <w:p w:rsidR="00995BE0" w:rsidRPr="0077780C" w:rsidRDefault="00995BE0" w:rsidP="005C5FC9">
            <w:pPr>
              <w:spacing w:line="360" w:lineRule="auto"/>
              <w:ind w:right="-82"/>
              <w:jc w:val="both"/>
              <w:rPr>
                <w:sz w:val="20"/>
                <w:szCs w:val="20"/>
              </w:rPr>
            </w:pPr>
            <w:r w:rsidRPr="0077780C">
              <w:rPr>
                <w:sz w:val="20"/>
                <w:szCs w:val="20"/>
              </w:rPr>
              <w:t>ES</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312,0</w:t>
            </w:r>
          </w:p>
        </w:tc>
        <w:tc>
          <w:tcPr>
            <w:tcW w:w="709" w:type="dxa"/>
          </w:tcPr>
          <w:p w:rsidR="00995BE0" w:rsidRPr="0077780C" w:rsidRDefault="00995BE0" w:rsidP="005C5FC9">
            <w:pPr>
              <w:spacing w:line="360" w:lineRule="auto"/>
              <w:ind w:right="-82"/>
              <w:jc w:val="both"/>
              <w:rPr>
                <w:sz w:val="20"/>
                <w:szCs w:val="20"/>
              </w:rPr>
            </w:pPr>
            <w:r w:rsidRPr="0077780C">
              <w:rPr>
                <w:sz w:val="20"/>
                <w:szCs w:val="20"/>
              </w:rPr>
              <w:t>204,5</w:t>
            </w:r>
          </w:p>
        </w:tc>
        <w:tc>
          <w:tcPr>
            <w:tcW w:w="709" w:type="dxa"/>
            <w:tcBorders>
              <w:right w:val="single" w:sz="4" w:space="0" w:color="auto"/>
            </w:tcBorders>
          </w:tcPr>
          <w:p w:rsidR="00995BE0" w:rsidRPr="0077780C" w:rsidRDefault="00995BE0" w:rsidP="005C5FC9">
            <w:pPr>
              <w:spacing w:line="360" w:lineRule="auto"/>
              <w:ind w:right="-82"/>
              <w:jc w:val="both"/>
              <w:rPr>
                <w:sz w:val="20"/>
                <w:szCs w:val="20"/>
              </w:rPr>
            </w:pPr>
            <w:r w:rsidRPr="0077780C">
              <w:rPr>
                <w:sz w:val="20"/>
                <w:szCs w:val="20"/>
              </w:rPr>
              <w:t>234,6</w:t>
            </w:r>
          </w:p>
        </w:tc>
        <w:tc>
          <w:tcPr>
            <w:tcW w:w="709" w:type="dxa"/>
            <w:tcBorders>
              <w:left w:val="single" w:sz="4" w:space="0" w:color="auto"/>
            </w:tcBorders>
          </w:tcPr>
          <w:p w:rsidR="00995BE0" w:rsidRPr="0077780C" w:rsidRDefault="00995BE0" w:rsidP="005C5FC9">
            <w:pPr>
              <w:spacing w:line="360" w:lineRule="auto"/>
              <w:ind w:right="-82"/>
              <w:jc w:val="both"/>
              <w:rPr>
                <w:sz w:val="20"/>
                <w:szCs w:val="20"/>
              </w:rPr>
            </w:pPr>
            <w:r w:rsidRPr="0077780C">
              <w:rPr>
                <w:sz w:val="20"/>
                <w:szCs w:val="20"/>
              </w:rPr>
              <w:t>133,2</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61,2</w:t>
            </w:r>
          </w:p>
        </w:tc>
        <w:tc>
          <w:tcPr>
            <w:tcW w:w="992" w:type="dxa"/>
          </w:tcPr>
          <w:p w:rsidR="00995BE0" w:rsidRPr="0077780C" w:rsidRDefault="00995BE0" w:rsidP="005C5FC9">
            <w:pPr>
              <w:spacing w:line="360" w:lineRule="auto"/>
              <w:ind w:right="-82"/>
              <w:jc w:val="both"/>
              <w:rPr>
                <w:sz w:val="20"/>
                <w:szCs w:val="20"/>
              </w:rPr>
            </w:pPr>
            <w:r w:rsidRPr="0077780C">
              <w:rPr>
                <w:sz w:val="20"/>
                <w:szCs w:val="20"/>
              </w:rPr>
              <w:t>20,9</w:t>
            </w:r>
          </w:p>
        </w:tc>
        <w:tc>
          <w:tcPr>
            <w:tcW w:w="851" w:type="dxa"/>
          </w:tcPr>
          <w:p w:rsidR="00995BE0" w:rsidRPr="0077780C" w:rsidRDefault="00995BE0" w:rsidP="005C5FC9">
            <w:pPr>
              <w:spacing w:line="360" w:lineRule="auto"/>
              <w:ind w:right="-82"/>
              <w:jc w:val="both"/>
              <w:rPr>
                <w:sz w:val="20"/>
                <w:szCs w:val="20"/>
              </w:rPr>
            </w:pPr>
            <w:r w:rsidRPr="0077780C">
              <w:rPr>
                <w:sz w:val="20"/>
                <w:szCs w:val="20"/>
              </w:rPr>
              <w:t>65,2</w:t>
            </w:r>
          </w:p>
        </w:tc>
        <w:tc>
          <w:tcPr>
            <w:tcW w:w="992" w:type="dxa"/>
          </w:tcPr>
          <w:p w:rsidR="00995BE0" w:rsidRPr="0077780C" w:rsidRDefault="00995BE0" w:rsidP="005C5FC9">
            <w:pPr>
              <w:spacing w:line="360" w:lineRule="auto"/>
              <w:ind w:right="-82"/>
              <w:jc w:val="both"/>
              <w:rPr>
                <w:sz w:val="20"/>
                <w:szCs w:val="20"/>
              </w:rPr>
            </w:pPr>
            <w:r w:rsidRPr="0077780C">
              <w:rPr>
                <w:sz w:val="20"/>
                <w:szCs w:val="20"/>
              </w:rPr>
              <w:t>33,0</w:t>
            </w:r>
          </w:p>
        </w:tc>
        <w:tc>
          <w:tcPr>
            <w:tcW w:w="851" w:type="dxa"/>
          </w:tcPr>
          <w:p w:rsidR="00995BE0" w:rsidRPr="0077780C" w:rsidRDefault="00995BE0" w:rsidP="005C5FC9">
            <w:pPr>
              <w:spacing w:line="360" w:lineRule="auto"/>
              <w:ind w:right="-82"/>
              <w:jc w:val="both"/>
              <w:rPr>
                <w:sz w:val="20"/>
                <w:szCs w:val="20"/>
              </w:rPr>
            </w:pPr>
            <w:r w:rsidRPr="0077780C">
              <w:rPr>
                <w:sz w:val="20"/>
                <w:szCs w:val="20"/>
              </w:rPr>
              <w:t>42,5</w:t>
            </w:r>
          </w:p>
        </w:tc>
        <w:tc>
          <w:tcPr>
            <w:tcW w:w="850" w:type="dxa"/>
          </w:tcPr>
          <w:p w:rsidR="00995BE0" w:rsidRPr="0077780C" w:rsidRDefault="00995BE0" w:rsidP="005C5FC9">
            <w:pPr>
              <w:spacing w:line="360" w:lineRule="auto"/>
              <w:ind w:right="-82"/>
              <w:jc w:val="both"/>
              <w:rPr>
                <w:sz w:val="20"/>
                <w:szCs w:val="20"/>
              </w:rPr>
            </w:pPr>
            <w:r w:rsidRPr="0077780C">
              <w:rPr>
                <w:sz w:val="20"/>
                <w:szCs w:val="20"/>
              </w:rPr>
              <w:t>23,6</w:t>
            </w:r>
          </w:p>
        </w:tc>
      </w:tr>
    </w:tbl>
    <w:p w:rsidR="00995BE0" w:rsidRDefault="00995BE0" w:rsidP="00414616">
      <w:pPr>
        <w:autoSpaceDE w:val="0"/>
        <w:autoSpaceDN w:val="0"/>
        <w:adjustRightInd w:val="0"/>
        <w:jc w:val="center"/>
        <w:rPr>
          <w:sz w:val="20"/>
          <w:szCs w:val="20"/>
        </w:rPr>
      </w:pPr>
      <w:r>
        <w:rPr>
          <w:rFonts w:ascii="TimesNewRomanPSMT" w:hAnsi="TimesNewRomanPSMT" w:cs="TimesNewRomanPSMT"/>
          <w:sz w:val="20"/>
          <w:szCs w:val="20"/>
        </w:rPr>
        <w:t>Sudaryta autoriaus, remiantis</w:t>
      </w:r>
      <w:r w:rsidRPr="00772567">
        <w:rPr>
          <w:rFonts w:ascii="TimesNewRomanPSMT" w:hAnsi="TimesNewRomanPSMT" w:cs="TimesNewRomanPSMT"/>
          <w:sz w:val="20"/>
          <w:szCs w:val="20"/>
        </w:rPr>
        <w:t xml:space="preserve"> </w:t>
      </w:r>
      <w:r>
        <w:rPr>
          <w:rFonts w:ascii="TimesNewRomanPSMT" w:hAnsi="TimesNewRomanPSMT" w:cs="TimesNewRomanPSMT"/>
          <w:sz w:val="20"/>
          <w:szCs w:val="20"/>
        </w:rPr>
        <w:t xml:space="preserve">šaltiniu: </w:t>
      </w:r>
      <w:r w:rsidRPr="00772567">
        <w:rPr>
          <w:sz w:val="20"/>
          <w:szCs w:val="20"/>
        </w:rPr>
        <w:t>Grabauskas, V., Gaižauskienė, A., Jaselionienė, J. (2009</w:t>
      </w:r>
      <w:r>
        <w:rPr>
          <w:sz w:val="20"/>
          <w:szCs w:val="20"/>
        </w:rPr>
        <w:t>a</w:t>
      </w:r>
      <w:r w:rsidRPr="00772567">
        <w:rPr>
          <w:sz w:val="20"/>
          <w:szCs w:val="20"/>
        </w:rPr>
        <w:t>). Lietuvos gyventojų sergamumo lėtinėmis neinfekcinėmis ligomis problema Europos Sąjungos kontekste. Nacionalinės sveikatos tarybos metinis pranešimas 2008. Vilnius.</w:t>
      </w:r>
    </w:p>
    <w:p w:rsidR="00995BE0" w:rsidRDefault="00995BE0" w:rsidP="00414616">
      <w:pPr>
        <w:autoSpaceDE w:val="0"/>
        <w:autoSpaceDN w:val="0"/>
        <w:adjustRightInd w:val="0"/>
        <w:jc w:val="center"/>
        <w:rPr>
          <w:sz w:val="20"/>
          <w:szCs w:val="20"/>
        </w:rPr>
      </w:pPr>
    </w:p>
    <w:p w:rsidR="00995BE0" w:rsidRPr="001D71BB" w:rsidRDefault="00995BE0" w:rsidP="00414616">
      <w:pPr>
        <w:spacing w:line="360" w:lineRule="auto"/>
        <w:ind w:right="-82" w:firstLine="567"/>
        <w:jc w:val="both"/>
      </w:pPr>
      <w:r w:rsidRPr="001D71BB">
        <w:t xml:space="preserve">Didžiausias mirtingumas 2008 m. Lietuvoje užregistruotas nuo kraujotakos sistemos ligų (53,9 proc.). Šiaulių mieste mirusieji nuo kraujotakos sistemos ligų taip pat sudarė didžiausią dalį - apie pusę (50,4 proc.) visų mirusiųjų. Kraujo apytakos sistemos ligos yra dažniausia vyresnio amžiaus žmonių mirties priežastis, asmenų, mirusių dėl šios priežasties iki 49 metų amžiaus 2008 m. nesiekė tūkstančio, tuo tarpu 85 metų amžiaus ir vyresnių tokių buvo virš 6 tūkstančių. Lietuvos Statistikos Departamento duomenimis, 2008 m. 66,6 proc. mirčių nuo kraujotakos sistemos ligų sudarė asmenys virš 64 metų. Kaip rodo gyventojų skaičius pagal amžių, kasmet vis didėja ši žmonių grupė, todėl natūralu, kad senstančioje visuomenėje sparčiai didėja sergamumas širdies ir kraujagyslių ligomis. Didėjantis sergamumas neišvengiamai aštrina socialines ir ekonomines problemas – didėja išlaidos gydyto paslaugoms. Tai tik vienas ir pagrindinis aspektas, kodėl būtina keisti sveikatos prioritetus. </w:t>
      </w:r>
    </w:p>
    <w:p w:rsidR="00995BE0" w:rsidRDefault="00995BE0" w:rsidP="00414616">
      <w:pPr>
        <w:autoSpaceDE w:val="0"/>
        <w:autoSpaceDN w:val="0"/>
        <w:adjustRightInd w:val="0"/>
        <w:spacing w:line="360" w:lineRule="auto"/>
        <w:ind w:firstLine="600"/>
        <w:jc w:val="both"/>
        <w:rPr>
          <w:rFonts w:ascii="TimesNewRomanPSMT" w:hAnsi="TimesNewRomanPSMT" w:cs="TimesNewRomanPSMT"/>
        </w:rPr>
      </w:pPr>
      <w:r>
        <w:rPr>
          <w:rFonts w:ascii="TimesNewRomanPSMT" w:hAnsi="TimesNewRomanPSMT" w:cs="TimesNewRomanPSMT"/>
        </w:rPr>
        <w:t>Be to Lietuvoje, kaip ir visame pasaulyje, spar</w:t>
      </w:r>
      <w:r>
        <w:rPr>
          <w:rFonts w:ascii="TimesNewRomanPSMT Baltic" w:hAnsi="TimesNewRomanPSMT Baltic" w:cs="TimesNewRomanPSMT Baltic"/>
        </w:rPr>
        <w:t>č</w:t>
      </w:r>
      <w:r>
        <w:rPr>
          <w:rFonts w:ascii="TimesNewRomanPSMT" w:hAnsi="TimesNewRomanPSMT" w:cs="TimesNewRomanPSMT"/>
        </w:rPr>
        <w:t>iai daug</w:t>
      </w:r>
      <w:r>
        <w:rPr>
          <w:rFonts w:ascii="TimesNewRomanPSMT Baltic" w:hAnsi="TimesNewRomanPSMT Baltic" w:cs="TimesNewRomanPSMT Baltic"/>
        </w:rPr>
        <w:t>ė</w:t>
      </w:r>
      <w:r>
        <w:rPr>
          <w:rFonts w:ascii="TimesNewRomanPSMT" w:hAnsi="TimesNewRomanPSMT" w:cs="TimesNewRomanPSMT"/>
        </w:rPr>
        <w:t>ja sergan</w:t>
      </w:r>
      <w:r>
        <w:rPr>
          <w:rFonts w:ascii="TimesNewRomanPSMT Baltic" w:hAnsi="TimesNewRomanPSMT Baltic" w:cs="TimesNewRomanPSMT Baltic"/>
        </w:rPr>
        <w:t>č</w:t>
      </w:r>
      <w:r>
        <w:rPr>
          <w:rFonts w:ascii="TimesNewRomanPSMT" w:hAnsi="TimesNewRomanPSMT" w:cs="TimesNewRomanPSMT"/>
        </w:rPr>
        <w:t>i</w:t>
      </w:r>
      <w:r>
        <w:rPr>
          <w:rFonts w:ascii="TimesNewRomanPSMT Baltic" w:hAnsi="TimesNewRomanPSMT Baltic" w:cs="TimesNewRomanPSMT Baltic"/>
        </w:rPr>
        <w:t>ų</w:t>
      </w:r>
      <w:r>
        <w:rPr>
          <w:rFonts w:ascii="TimesNewRomanPSMT" w:hAnsi="TimesNewRomanPSMT" w:cs="TimesNewRomanPSMT"/>
        </w:rPr>
        <w:t>j</w:t>
      </w:r>
      <w:r>
        <w:rPr>
          <w:rFonts w:ascii="TimesNewRomanPSMT Baltic" w:hAnsi="TimesNewRomanPSMT Baltic" w:cs="TimesNewRomanPSMT Baltic"/>
        </w:rPr>
        <w:t>ų</w:t>
      </w:r>
      <w:r>
        <w:rPr>
          <w:rFonts w:ascii="TimesNewRomanPSMT" w:hAnsi="TimesNewRomanPSMT" w:cs="TimesNewRomanPSMT"/>
        </w:rPr>
        <w:t xml:space="preserve"> II tipo cukriniu diabetu (nuo 1,8 proc. 1988 m. iki 5 proc. - 2005 m.). Cukrinis diabetas </w:t>
      </w:r>
      <w:r>
        <w:rPr>
          <w:rFonts w:ascii="TimesNewRomanPSMT Baltic" w:hAnsi="TimesNewRomanPSMT Baltic" w:cs="TimesNewRomanPSMT Baltic"/>
        </w:rPr>
        <w:t>į</w:t>
      </w:r>
      <w:r>
        <w:rPr>
          <w:rFonts w:ascii="TimesNewRomanPSMT" w:hAnsi="TimesNewRomanPSMT" w:cs="TimesNewRomanPSMT"/>
        </w:rPr>
        <w:t>gauna epidemijos pob</w:t>
      </w:r>
      <w:r>
        <w:rPr>
          <w:rFonts w:ascii="TimesNewRomanPSMT Baltic" w:hAnsi="TimesNewRomanPSMT Baltic" w:cs="TimesNewRomanPSMT Baltic"/>
        </w:rPr>
        <w:t>ū</w:t>
      </w:r>
      <w:r>
        <w:rPr>
          <w:rFonts w:ascii="TimesNewRomanPSMT" w:hAnsi="TimesNewRomanPSMT" w:cs="TimesNewRomanPSMT"/>
        </w:rPr>
        <w:t>d</w:t>
      </w:r>
      <w:r>
        <w:rPr>
          <w:rFonts w:ascii="TimesNewRomanPSMT Baltic" w:hAnsi="TimesNewRomanPSMT Baltic" w:cs="TimesNewRomanPSMT Baltic"/>
        </w:rPr>
        <w:t>į</w:t>
      </w:r>
      <w:r>
        <w:rPr>
          <w:rFonts w:ascii="TimesNewRomanPSMT" w:hAnsi="TimesNewRomanPSMT" w:cs="TimesNewRomanPSMT"/>
        </w:rPr>
        <w:t>, liga nediagnozuojama laiku, yra didelis cukrinio diabeto sukelt</w:t>
      </w:r>
      <w:r>
        <w:rPr>
          <w:rFonts w:ascii="TimesNewRomanPSMT Baltic" w:hAnsi="TimesNewRomanPSMT Baltic" w:cs="TimesNewRomanPSMT Baltic"/>
        </w:rPr>
        <w:t>ų</w:t>
      </w:r>
      <w:r>
        <w:rPr>
          <w:rFonts w:ascii="TimesNewRomanPSMT" w:hAnsi="TimesNewRomanPSMT" w:cs="TimesNewRomanPSMT"/>
        </w:rPr>
        <w:t xml:space="preserve"> sunki</w:t>
      </w:r>
      <w:r>
        <w:rPr>
          <w:rFonts w:ascii="TimesNewRomanPSMT Baltic" w:hAnsi="TimesNewRomanPSMT Baltic" w:cs="TimesNewRomanPSMT Baltic"/>
        </w:rPr>
        <w:t>ų</w:t>
      </w:r>
      <w:r>
        <w:rPr>
          <w:rFonts w:ascii="TimesNewRomanPSMT" w:hAnsi="TimesNewRomanPSMT" w:cs="TimesNewRomanPSMT"/>
        </w:rPr>
        <w:t xml:space="preserve"> komplikacij</w:t>
      </w:r>
      <w:r>
        <w:rPr>
          <w:rFonts w:ascii="TimesNewRomanPSMT Baltic" w:hAnsi="TimesNewRomanPSMT Baltic" w:cs="TimesNewRomanPSMT Baltic"/>
        </w:rPr>
        <w:t>ų</w:t>
      </w:r>
      <w:r>
        <w:rPr>
          <w:rFonts w:ascii="TimesNewRomanPSMT" w:hAnsi="TimesNewRomanPSMT" w:cs="TimesNewRomanPSMT"/>
        </w:rPr>
        <w:t xml:space="preserve"> skai</w:t>
      </w:r>
      <w:r>
        <w:rPr>
          <w:rFonts w:ascii="TimesNewRomanPSMT Baltic" w:hAnsi="TimesNewRomanPSMT Baltic" w:cs="TimesNewRomanPSMT Baltic"/>
        </w:rPr>
        <w:t>č</w:t>
      </w:r>
      <w:r>
        <w:rPr>
          <w:rFonts w:ascii="TimesNewRomanPSMT" w:hAnsi="TimesNewRomanPSMT" w:cs="TimesNewRomanPSMT"/>
        </w:rPr>
        <w:t>ius. Atsiradusios komplikacijos iš esm</w:t>
      </w:r>
      <w:r>
        <w:rPr>
          <w:rFonts w:ascii="TimesNewRomanPSMT Baltic" w:hAnsi="TimesNewRomanPSMT Baltic" w:cs="TimesNewRomanPSMT Baltic"/>
        </w:rPr>
        <w:t>ė</w:t>
      </w:r>
      <w:r>
        <w:rPr>
          <w:rFonts w:ascii="TimesNewRomanPSMT" w:hAnsi="TimesNewRomanPSMT" w:cs="TimesNewRomanPSMT"/>
        </w:rPr>
        <w:t>s pakei</w:t>
      </w:r>
      <w:r>
        <w:rPr>
          <w:rFonts w:ascii="TimesNewRomanPSMT Baltic" w:hAnsi="TimesNewRomanPSMT Baltic" w:cs="TimesNewRomanPSMT Baltic"/>
        </w:rPr>
        <w:t>č</w:t>
      </w:r>
      <w:r>
        <w:rPr>
          <w:rFonts w:ascii="TimesNewRomanPSMT" w:hAnsi="TimesNewRomanPSMT" w:cs="TimesNewRomanPSMT"/>
        </w:rPr>
        <w:t>ia sergan</w:t>
      </w:r>
      <w:r>
        <w:rPr>
          <w:rFonts w:ascii="TimesNewRomanPSMT Baltic" w:hAnsi="TimesNewRomanPSMT Baltic" w:cs="TimesNewRomanPSMT Baltic"/>
        </w:rPr>
        <w:t>č</w:t>
      </w:r>
      <w:r>
        <w:rPr>
          <w:rFonts w:ascii="TimesNewRomanPSMT" w:hAnsi="TimesNewRomanPSMT" w:cs="TimesNewRomanPSMT"/>
        </w:rPr>
        <w:t>i</w:t>
      </w:r>
      <w:r>
        <w:rPr>
          <w:rFonts w:ascii="TimesNewRomanPSMT Baltic" w:hAnsi="TimesNewRomanPSMT Baltic" w:cs="TimesNewRomanPSMT Baltic"/>
        </w:rPr>
        <w:t>ų</w:t>
      </w:r>
      <w:r>
        <w:rPr>
          <w:rFonts w:ascii="TimesNewRomanPSMT" w:hAnsi="TimesNewRomanPSMT" w:cs="TimesNewRomanPSMT"/>
        </w:rPr>
        <w:t>j</w:t>
      </w:r>
      <w:r>
        <w:rPr>
          <w:rFonts w:ascii="TimesNewRomanPSMT Baltic" w:hAnsi="TimesNewRomanPSMT Baltic" w:cs="TimesNewRomanPSMT Baltic"/>
        </w:rPr>
        <w:t>ų</w:t>
      </w:r>
      <w:r>
        <w:rPr>
          <w:rFonts w:ascii="TimesNewRomanPSMT" w:hAnsi="TimesNewRomanPSMT" w:cs="TimesNewRomanPSMT"/>
        </w:rPr>
        <w:t xml:space="preserve"> cukriniu diabetu gyvenimo kokyb</w:t>
      </w:r>
      <w:r>
        <w:rPr>
          <w:rFonts w:ascii="TimesNewRomanPSMT Baltic" w:hAnsi="TimesNewRomanPSMT Baltic" w:cs="TimesNewRomanPSMT Baltic"/>
        </w:rPr>
        <w:t>ę</w:t>
      </w:r>
      <w:r>
        <w:rPr>
          <w:rFonts w:ascii="TimesNewRomanPSMT" w:hAnsi="TimesNewRomanPSMT" w:cs="TimesNewRomanPSMT"/>
        </w:rPr>
        <w:t xml:space="preserve"> ir 30 proc. sutrumpina sergan</w:t>
      </w:r>
      <w:r>
        <w:rPr>
          <w:rFonts w:ascii="TimesNewRomanPSMT Baltic" w:hAnsi="TimesNewRomanPSMT Baltic" w:cs="TimesNewRomanPSMT Baltic"/>
        </w:rPr>
        <w:t>č</w:t>
      </w:r>
      <w:r>
        <w:rPr>
          <w:rFonts w:ascii="TimesNewRomanPSMT" w:hAnsi="TimesNewRomanPSMT" w:cs="TimesNewRomanPSMT"/>
        </w:rPr>
        <w:t>i</w:t>
      </w:r>
      <w:r>
        <w:rPr>
          <w:rFonts w:ascii="TimesNewRomanPSMT Baltic" w:hAnsi="TimesNewRomanPSMT Baltic" w:cs="TimesNewRomanPSMT Baltic"/>
        </w:rPr>
        <w:t>ų</w:t>
      </w:r>
      <w:r>
        <w:rPr>
          <w:rFonts w:ascii="TimesNewRomanPSMT" w:hAnsi="TimesNewRomanPSMT" w:cs="TimesNewRomanPSMT"/>
        </w:rPr>
        <w:t>j</w:t>
      </w:r>
      <w:r>
        <w:rPr>
          <w:rFonts w:ascii="TimesNewRomanPSMT Baltic" w:hAnsi="TimesNewRomanPSMT Baltic" w:cs="TimesNewRomanPSMT Baltic"/>
        </w:rPr>
        <w:t>ų</w:t>
      </w:r>
      <w:r>
        <w:rPr>
          <w:rFonts w:ascii="TimesNewRomanPSMT" w:hAnsi="TimesNewRomanPSMT" w:cs="TimesNewRomanPSMT"/>
        </w:rPr>
        <w:t xml:space="preserve"> gyvenimo trukm</w:t>
      </w:r>
      <w:r>
        <w:rPr>
          <w:rFonts w:ascii="TimesNewRomanPSMT Baltic" w:hAnsi="TimesNewRomanPSMT Baltic" w:cs="TimesNewRomanPSMT Baltic"/>
        </w:rPr>
        <w:t>ę</w:t>
      </w:r>
      <w:r>
        <w:rPr>
          <w:rFonts w:ascii="TimesNewRomanPSMT" w:hAnsi="TimesNewRomanPSMT" w:cs="TimesNewRomanPSMT"/>
        </w:rPr>
        <w:t>. Tokios tendencijos kartu su gimstamumo maž</w:t>
      </w:r>
      <w:r>
        <w:rPr>
          <w:rFonts w:ascii="TimesNewRomanPSMT Baltic" w:hAnsi="TimesNewRomanPSMT Baltic" w:cs="TimesNewRomanPSMT Baltic"/>
        </w:rPr>
        <w:t>ė</w:t>
      </w:r>
      <w:r>
        <w:rPr>
          <w:rFonts w:ascii="TimesNewRomanPSMT" w:hAnsi="TimesNewRomanPSMT" w:cs="TimesNewRomanPSMT"/>
        </w:rPr>
        <w:t>jimu gresia katastrofišku darbing</w:t>
      </w:r>
      <w:r>
        <w:rPr>
          <w:rFonts w:ascii="TimesNewRomanPSMT Baltic" w:hAnsi="TimesNewRomanPSMT Baltic" w:cs="TimesNewRomanPSMT Baltic"/>
        </w:rPr>
        <w:t>ų</w:t>
      </w:r>
      <w:r>
        <w:rPr>
          <w:rFonts w:ascii="TimesNewRomanPSMT" w:hAnsi="TimesNewRomanPSMT" w:cs="TimesNewRomanPSMT"/>
        </w:rPr>
        <w:t xml:space="preserve"> Lietuvos gyventoj</w:t>
      </w:r>
      <w:r>
        <w:rPr>
          <w:rFonts w:ascii="TimesNewRomanPSMT Baltic" w:hAnsi="TimesNewRomanPSMT Baltic" w:cs="TimesNewRomanPSMT Baltic"/>
        </w:rPr>
        <w:t>ų</w:t>
      </w:r>
      <w:r>
        <w:rPr>
          <w:rFonts w:ascii="TimesNewRomanPSMT" w:hAnsi="TimesNewRomanPSMT" w:cs="TimesNewRomanPSMT"/>
        </w:rPr>
        <w:t xml:space="preserve"> skai</w:t>
      </w:r>
      <w:r>
        <w:rPr>
          <w:rFonts w:ascii="TimesNewRomanPSMT Baltic" w:hAnsi="TimesNewRomanPSMT Baltic" w:cs="TimesNewRomanPSMT Baltic"/>
        </w:rPr>
        <w:t>č</w:t>
      </w:r>
      <w:r>
        <w:rPr>
          <w:rFonts w:ascii="TimesNewRomanPSMT" w:hAnsi="TimesNewRomanPSMT" w:cs="TimesNewRomanPSMT"/>
        </w:rPr>
        <w:t>iaus maž</w:t>
      </w:r>
      <w:r>
        <w:rPr>
          <w:rFonts w:ascii="TimesNewRomanPSMT Baltic" w:hAnsi="TimesNewRomanPSMT Baltic" w:cs="TimesNewRomanPSMT Baltic"/>
        </w:rPr>
        <w:t>ė</w:t>
      </w:r>
      <w:r>
        <w:rPr>
          <w:rFonts w:ascii="TimesNewRomanPSMT" w:hAnsi="TimesNewRomanPSMT" w:cs="TimesNewRomanPSMT"/>
        </w:rPr>
        <w:t>jimu, did</w:t>
      </w:r>
      <w:r>
        <w:rPr>
          <w:rFonts w:ascii="TimesNewRomanPSMT Baltic" w:hAnsi="TimesNewRomanPSMT Baltic" w:cs="TimesNewRomanPSMT Baltic"/>
        </w:rPr>
        <w:t>ė</w:t>
      </w:r>
      <w:r>
        <w:rPr>
          <w:rFonts w:ascii="TimesNewRomanPSMT" w:hAnsi="TimesNewRomanPSMT" w:cs="TimesNewRomanPSMT"/>
        </w:rPr>
        <w:t>jan</w:t>
      </w:r>
      <w:r>
        <w:rPr>
          <w:rFonts w:ascii="TimesNewRomanPSMT Baltic" w:hAnsi="TimesNewRomanPSMT Baltic" w:cs="TimesNewRomanPSMT Baltic"/>
        </w:rPr>
        <w:t>č</w:t>
      </w:r>
      <w:r>
        <w:rPr>
          <w:rFonts w:ascii="TimesNewRomanPSMT" w:hAnsi="TimesNewRomanPSMT" w:cs="TimesNewRomanPSMT"/>
        </w:rPr>
        <w:t>iomis sveikatos prieži</w:t>
      </w:r>
      <w:r>
        <w:rPr>
          <w:rFonts w:ascii="TimesNewRomanPSMT Baltic" w:hAnsi="TimesNewRomanPSMT Baltic" w:cs="TimesNewRomanPSMT Baltic"/>
        </w:rPr>
        <w:t>ū</w:t>
      </w:r>
      <w:r>
        <w:rPr>
          <w:rFonts w:ascii="TimesNewRomanPSMT" w:hAnsi="TimesNewRomanPSMT" w:cs="TimesNewRomanPSMT"/>
        </w:rPr>
        <w:t>ros išlaidomis</w:t>
      </w:r>
      <w:r w:rsidRPr="00772567">
        <w:rPr>
          <w:rFonts w:ascii="TimesNewRomanPSMT" w:hAnsi="TimesNewRomanPSMT" w:cs="TimesNewRomanPSMT"/>
        </w:rPr>
        <w:t xml:space="preserve"> </w:t>
      </w:r>
      <w:r>
        <w:rPr>
          <w:rFonts w:ascii="TimesNewRomanPSMT" w:hAnsi="TimesNewRomanPSMT" w:cs="TimesNewRomanPSMT"/>
        </w:rPr>
        <w:t>(</w:t>
      </w:r>
      <w:r w:rsidRPr="00B55B99">
        <w:t>LR Švietimo ir mokslo ministro įsakymas, Nr. 75-3851</w:t>
      </w:r>
      <w:r>
        <w:rPr>
          <w:rFonts w:ascii="TimesNewRomanPSMT" w:hAnsi="TimesNewRomanPSMT" w:cs="TimesNewRomanPSMT"/>
        </w:rPr>
        <w:t xml:space="preserve">, 2010). </w:t>
      </w:r>
    </w:p>
    <w:p w:rsidR="00995BE0" w:rsidRPr="005750FE" w:rsidRDefault="00995BE0" w:rsidP="00414616">
      <w:pPr>
        <w:autoSpaceDE w:val="0"/>
        <w:autoSpaceDN w:val="0"/>
        <w:adjustRightInd w:val="0"/>
        <w:spacing w:line="360" w:lineRule="auto"/>
        <w:ind w:firstLine="600"/>
        <w:jc w:val="both"/>
      </w:pPr>
      <w:r w:rsidRPr="005750FE">
        <w:t xml:space="preserve">CD plitimą liudija tai, kad pasaulyje kas 10 sekundžių diagnozuojami vis nauji II diabeto tipo atvejai, kas 10 sekundžių nuo diabeto miršta žmogus, kas 30 sekundžių nuo diabeto ir jo sukeltų </w:t>
      </w:r>
      <w:r w:rsidRPr="005750FE">
        <w:lastRenderedPageBreak/>
        <w:t>komplikacijų amputuojama koja. CD sukeltos komplikacijos: aklumas, inkstų pažeidimas, diabetinės neuropatijos bei kraujagyslių ligos, sukelia didelių medicininių, socialinių ir ekonominių problemų (Norkus, 2009).</w:t>
      </w:r>
    </w:p>
    <w:p w:rsidR="00995BE0" w:rsidRPr="001D71BB" w:rsidRDefault="00995BE0" w:rsidP="00414616">
      <w:pPr>
        <w:tabs>
          <w:tab w:val="left" w:pos="9638"/>
        </w:tabs>
        <w:spacing w:line="360" w:lineRule="auto"/>
        <w:ind w:right="-1" w:firstLine="709"/>
        <w:jc w:val="both"/>
      </w:pPr>
      <w:r w:rsidRPr="001D71BB">
        <w:t xml:space="preserve">Šiaulių teritorinės ligonių kasos duomenimis Šiaulių mieste gydymo įstaigose prisirašiusiųjų sergamumas kai kuriomis lėtinėmis neinfekcinėmis ligomis vis didėja. </w:t>
      </w:r>
      <w:r w:rsidRPr="0087786E">
        <w:t xml:space="preserve">2001 metais sergamumo rodiklis hipertenzinėmis ligomis buvo 8,54 atvejų 1 000 gyv., 2009 m. – 11,75 atvejo/1 000 gyv. </w:t>
      </w:r>
      <w:r w:rsidRPr="001D71BB">
        <w:t>Liga pasireiškia padidintu arteriniu kraujospūdžiu, (padidintu laikomas spaudimas, viršijantis 140/90mmHg). Nežymiai, bet padidėjo sergamumo rodikliai astmos, cukrinio diabeto bei glaukomos. Lėtinių neinfekcinių ligų priežastys yra labai įvairios ir kiekvienai iš jų atsirasti tur</w:t>
      </w:r>
      <w:r>
        <w:t>i įtakos daug nepalankių sąlygų</w:t>
      </w:r>
      <w:r w:rsidRPr="001D71BB">
        <w:t xml:space="preserve"> </w:t>
      </w:r>
      <w:r>
        <w:t>-</w:t>
      </w:r>
      <w:r w:rsidRPr="001D71BB">
        <w:t xml:space="preserve"> rizikos veiksnių. Daugelis rizikos veiksnių vienodai skatina vystytis kelias ligas. Pavyzdžiui, rūkymas didina riziką susirgti širdies ligomis, vėžiu, taip pat lėtinėmis plaučių ligomis. </w:t>
      </w:r>
    </w:p>
    <w:p w:rsidR="00995BE0" w:rsidRDefault="00995BE0" w:rsidP="00414616">
      <w:pPr>
        <w:autoSpaceDE w:val="0"/>
        <w:autoSpaceDN w:val="0"/>
        <w:adjustRightInd w:val="0"/>
        <w:spacing w:line="360" w:lineRule="auto"/>
        <w:ind w:firstLine="567"/>
        <w:jc w:val="both"/>
      </w:pPr>
      <w:r w:rsidRPr="001D71BB">
        <w:t>PSO ekspertai apskaičiavo, jog vidutinis arterinio kraujo spaudimo, cholesterolio koncentracijos kraujyje sumažinimas, metimas rūkyti gali daugiau negu dvigubai sumažinti sergamumą širdies ir kraujagyslių ligomis (Europos širdies sveikatos chartija</w:t>
      </w:r>
      <w:r>
        <w:t>, 2007</w:t>
      </w:r>
      <w:r w:rsidRPr="001D71BB">
        <w:t>).</w:t>
      </w:r>
    </w:p>
    <w:p w:rsidR="00995BE0" w:rsidRDefault="00995BE0" w:rsidP="00414616">
      <w:pPr>
        <w:pStyle w:val="Betarp"/>
        <w:spacing w:line="360" w:lineRule="auto"/>
        <w:ind w:firstLine="540"/>
        <w:jc w:val="both"/>
        <w:rPr>
          <w:rFonts w:ascii="Times New Roman" w:hAnsi="Times New Roman"/>
          <w:sz w:val="24"/>
          <w:szCs w:val="24"/>
        </w:rPr>
      </w:pPr>
      <w:r w:rsidRPr="001D71BB">
        <w:rPr>
          <w:rFonts w:ascii="Times New Roman" w:hAnsi="Times New Roman"/>
          <w:sz w:val="24"/>
          <w:szCs w:val="24"/>
        </w:rPr>
        <w:t xml:space="preserve">Mirtys dėl piktybinių auglių taip pat išlieka svarbia sveikatos problema. Piktybiniams augliams tenka antroji vieta tarp mirties priežasčių. 2008 metais Šiaulių mieste mirtingumas nuo piktybinių auglių buvo 255,1 atvejo 100 000 gyv. Lietuvos ir Šiaulių miesto vyrų mirtingumas nuo piktybinių navikų yra didesnis negu moterų. </w:t>
      </w:r>
    </w:p>
    <w:p w:rsidR="00995BE0" w:rsidRDefault="00995BE0" w:rsidP="00414616">
      <w:pPr>
        <w:pStyle w:val="prastasistinklapis"/>
        <w:spacing w:before="0" w:beforeAutospacing="0" w:after="0" w:afterAutospacing="0" w:line="360" w:lineRule="auto"/>
        <w:ind w:firstLine="567"/>
        <w:jc w:val="both"/>
      </w:pPr>
      <w:r w:rsidRPr="001D71BB">
        <w:t>PSO pabrėžia, kad apie 50 proc. piktybinių navikų išsivystymo atvejų susiję su gyvenimo būdu, žalingais įpročiais, jonizuojamąja spinduliuote, aplinkos užterštumu. Todėl, siekdami išvengti vėžio, didelį dėmesį turėtume skirti pirminei profilaktikai. Kitas PSO teiginys – apie 40 proc. visų onkologinių ligų priežasčių sudaro netinkama mityba. Apie 90 proc. kvėpavimo sistemos organų vėžio atvejų sukelia rūkymas. Normalizavus gyvenimo būdą, apie 50 proc. atvejų vėžio galima išvengti (</w:t>
      </w:r>
      <w:r w:rsidRPr="00DF132E">
        <w:t>Voronaja, 2008</w:t>
      </w:r>
      <w:r w:rsidRPr="001D71BB">
        <w:t xml:space="preserve">). </w:t>
      </w:r>
    </w:p>
    <w:p w:rsidR="00995BE0" w:rsidRPr="001D71BB" w:rsidRDefault="00995BE0" w:rsidP="00414616">
      <w:pPr>
        <w:autoSpaceDE w:val="0"/>
        <w:autoSpaceDN w:val="0"/>
        <w:adjustRightInd w:val="0"/>
        <w:spacing w:line="360" w:lineRule="auto"/>
        <w:ind w:firstLine="600"/>
        <w:jc w:val="both"/>
      </w:pPr>
      <w:r w:rsidRPr="001D71BB">
        <w:t xml:space="preserve">Lietuvos gyventojų rizikingą elgesį rodo Suaugusių Lietuvos žmonių gyvensenos tyrimai, vykdomi nuo 1994 m. kas du metus (išimtis 2010 m. dėl finansavimo stokos). Lyginant 1994 m. su 2008 m. rezultatais pastebima, kad išaugo stiprių alkoholinių gėrimų vartojimas moterų tarpe (nuo 6 proc. iki 12 proc.), vyrų sumažėjo nuo 31 proc. iki 29 proc. Taip pat kilo alaus vartojimas: bent kartą per savaitę jo suvartojo 14 proc. moterų (1994 m. – 7 proc.) ir vyrų - 53 proc. (1994 m. – 44 proc.) </w:t>
      </w:r>
      <w:r w:rsidRPr="000A2922">
        <w:t>(Grabauskas ir kt., 2009b</w:t>
      </w:r>
      <w:r w:rsidRPr="001D71BB">
        <w:t>). PSO duomenimis, 2007 m. Lietuvoje užregistruota 200,7 mirčių, susijusių su alkoholio vartojimu, 100 000 gyventojų, o ES vidurkis – 64,1/100 000 gyventojų (</w:t>
      </w:r>
      <w:r>
        <w:t>Grabauskas ir kt., 2010</w:t>
      </w:r>
      <w:r w:rsidRPr="001D71BB">
        <w:t>).</w:t>
      </w:r>
      <w:r>
        <w:t xml:space="preserve"> </w:t>
      </w:r>
    </w:p>
    <w:p w:rsidR="00995BE0" w:rsidRDefault="00995BE0" w:rsidP="00414616">
      <w:pPr>
        <w:autoSpaceDE w:val="0"/>
        <w:autoSpaceDN w:val="0"/>
        <w:adjustRightInd w:val="0"/>
        <w:spacing w:line="360" w:lineRule="auto"/>
        <w:ind w:firstLine="600"/>
        <w:jc w:val="both"/>
        <w:rPr>
          <w:rFonts w:ascii="TimesNewRomanPSMT" w:hAnsi="TimesNewRomanPSMT" w:cs="TimesNewRomanPSMT"/>
        </w:rPr>
      </w:pPr>
      <w:r>
        <w:t xml:space="preserve">Tokio pat tipo apklausa nuo 2008 m. vykdoma ir Šiaulių mieste. Nors tokių, ilgesnio nei dešimtmečio trukmės, tendencijų kol kas nėra, tačiau galima apžvelgti bendrą situaciją Šiaulių </w:t>
      </w:r>
      <w:r>
        <w:lastRenderedPageBreak/>
        <w:t>mieste. Tyrimo duomenimis, pagrindinė gyventojams diagnozuotas sutrikimas buvo padidėjęs kraujo spaudimas (</w:t>
      </w:r>
      <w:r w:rsidRPr="00A7019A">
        <w:t>10 priedo 1 pav</w:t>
      </w:r>
      <w:r>
        <w:t>.). K</w:t>
      </w:r>
      <w:r w:rsidRPr="0017770F">
        <w:t>ada nors rūk</w:t>
      </w:r>
      <w:r>
        <w:t>iusių 2008 m.</w:t>
      </w:r>
      <w:r w:rsidRPr="0017770F">
        <w:t xml:space="preserve"> buvo 72,9 proc. vyrų ir 39,3 proc. moterų</w:t>
      </w:r>
      <w:r>
        <w:t>. K</w:t>
      </w:r>
      <w:r w:rsidRPr="0017770F">
        <w:t>asdien rūkančių buvo 5</w:t>
      </w:r>
      <w:r>
        <w:t>7</w:t>
      </w:r>
      <w:r w:rsidRPr="0017770F">
        <w:t>,5 proc. vyrų ir 5</w:t>
      </w:r>
      <w:r>
        <w:t>5</w:t>
      </w:r>
      <w:r w:rsidRPr="0017770F">
        <w:t>,</w:t>
      </w:r>
      <w:r>
        <w:t>2</w:t>
      </w:r>
      <w:r w:rsidRPr="0017770F">
        <w:t xml:space="preserve"> moterų</w:t>
      </w:r>
      <w:r>
        <w:t>,</w:t>
      </w:r>
      <w:r w:rsidRPr="0017770F">
        <w:t xml:space="preserve"> </w:t>
      </w:r>
      <w:r>
        <w:t xml:space="preserve">ir palyginus su Lietuvos rezultatais, moterys viršija beveik 4 kartus, o vyrai – 1,5 karto (10 priedo 2-3 </w:t>
      </w:r>
      <w:r w:rsidRPr="0017770F">
        <w:t>pav.</w:t>
      </w:r>
      <w:r>
        <w:t>).</w:t>
      </w:r>
      <w:r w:rsidRPr="00AE7D26">
        <w:t xml:space="preserve"> </w:t>
      </w:r>
      <w:r w:rsidRPr="0017770F">
        <w:t>Stiprius alkoholinius gėrimus geria 33,4 proc. respondentų kelis kartus per metus ir 27 proc. 2-3 kartus per mėnesį. Alus buvo dažniausias alkoholinis gėrimas, vien tik kiekvieną dieną jį gėrė 6,1 proc. tyrimo dalyvių</w:t>
      </w:r>
      <w:r>
        <w:t xml:space="preserve"> (10 priedo 5 pav.)</w:t>
      </w:r>
      <w:r w:rsidRPr="0017770F">
        <w:t>.</w:t>
      </w:r>
      <w:r w:rsidRPr="00AE7D26">
        <w:t xml:space="preserve"> </w:t>
      </w:r>
      <w:r w:rsidRPr="0017770F">
        <w:t>Didžioji dalis moterų nurodė, kad alkoholinius gėrimus vartoja kelis kartus per metus (39,4 proc.), o vyrai 2-3 kartus per savaitę (p</w:t>
      </w:r>
      <w:r>
        <w:t xml:space="preserve"> </w:t>
      </w:r>
      <w:r w:rsidRPr="0017770F">
        <w:t>&lt;</w:t>
      </w:r>
      <w:r>
        <w:t xml:space="preserve"> </w:t>
      </w:r>
      <w:r w:rsidRPr="0017770F">
        <w:t>0,05)</w:t>
      </w:r>
      <w:r>
        <w:t xml:space="preserve"> (10 priedo 6 pav.)</w:t>
      </w:r>
      <w:r w:rsidRPr="0017770F">
        <w:t>.</w:t>
      </w:r>
      <w:r>
        <w:t xml:space="preserve"> </w:t>
      </w:r>
      <w:r w:rsidRPr="0017770F">
        <w:t>Daugiau nei pusę respondentų vyrų (57,8 proc.) į darbą vyksta automobiliu arba autobusu, moterų – 37,8 proc</w:t>
      </w:r>
      <w:r>
        <w:t>. (10 priedo 7 pav.).</w:t>
      </w:r>
      <w:r w:rsidRPr="00394B8B">
        <w:t xml:space="preserve"> </w:t>
      </w:r>
      <w:r w:rsidRPr="0017770F">
        <w:t>Kasdien laisvalaiki</w:t>
      </w:r>
      <w:r>
        <w:t>u užsiima sportu 18 proc. vyrų ir 9,9 proc. moterų (10 priedo 8 pav.).</w:t>
      </w:r>
      <w:r w:rsidRPr="00394B8B">
        <w:t xml:space="preserve"> </w:t>
      </w:r>
      <w:r>
        <w:t>Net 40,3 proc. vyrų pastebėjo vairuojant išgėrusius draugus (</w:t>
      </w:r>
      <w:r w:rsidRPr="00777F15">
        <w:t>10 priedo 9 pav</w:t>
      </w:r>
      <w:r>
        <w:t>.).</w:t>
      </w:r>
      <w:r w:rsidRPr="006414AB">
        <w:t xml:space="preserve"> </w:t>
      </w:r>
      <w:r>
        <w:t xml:space="preserve">Tyrimo metu prašėme respondentų nurodyti jų manymu svarbiausias didelio Lietuvos gyventojų sergamumo priežastis. Vyrų ir moterų nuomonės truputį išsiskyrė. Tyrimo duomenimis, šiauliečiai įvardintos pagrindinės didelio Lietuvos sergamumo priežastys yra stresas, neteisingą mitybą, bei alkoholio vartojimas. Taip pat reikia sutikti, kad sveikata taip pat yra įtakojama sunkių gyvenimo sąlygų (10 </w:t>
      </w:r>
      <w:r w:rsidRPr="00777F15">
        <w:t>priedo 10 pav</w:t>
      </w:r>
      <w:r>
        <w:t>.).</w:t>
      </w:r>
    </w:p>
    <w:p w:rsidR="00995BE0" w:rsidRPr="00483946" w:rsidRDefault="00995BE0" w:rsidP="00414616">
      <w:pPr>
        <w:autoSpaceDE w:val="0"/>
        <w:autoSpaceDN w:val="0"/>
        <w:adjustRightInd w:val="0"/>
        <w:spacing w:line="360" w:lineRule="auto"/>
        <w:ind w:firstLine="600"/>
        <w:jc w:val="both"/>
      </w:pPr>
      <w:r w:rsidRPr="005750FE">
        <w:t>Statistikos departamento duomenimis, 2007 m. vienam gyventojui Lietuvoje vidutiniškai teko 11,2 litro, o vienam 15 metų ir vyresniam gyventojui 13,3 litro absoliutaus alkoholio, tai yra atitinkamai 0,2 ir 0,1 litro daugiau nei 2006 m. 2003 m. duomenimis, vienas gyventojas Lietuvoje suvartojo 168,6 kg vaisių ir daržovių, o ES – 232,47 kg per metus. Senųjų ES šalių vidurkis buvo 242,51 kg, naujųjų ES šalių vidurkis siekė 183,91 kg vienam gyventojui per metus. Taigi Lietuvoje, palyginti su kitomis ES šalimis, vaisių ir daržovių suvartojama dar mažai</w:t>
      </w:r>
      <w:r>
        <w:rPr>
          <w:rFonts w:ascii="MyriadPro-Regular" w:hAnsi="MyriadPro-Regular" w:cs="MyriadPro-Regular"/>
        </w:rPr>
        <w:t>.</w:t>
      </w:r>
    </w:p>
    <w:p w:rsidR="00995BE0" w:rsidRDefault="00995BE0" w:rsidP="00414616">
      <w:pPr>
        <w:autoSpaceDE w:val="0"/>
        <w:autoSpaceDN w:val="0"/>
        <w:adjustRightInd w:val="0"/>
        <w:spacing w:line="360" w:lineRule="auto"/>
        <w:ind w:firstLine="600"/>
        <w:jc w:val="both"/>
        <w:rPr>
          <w:color w:val="000000"/>
        </w:rPr>
      </w:pPr>
      <w:r w:rsidRPr="00483946">
        <w:t>Esant šiandieninei situacijai Lietuvoje, kai beveik kas antra mirtis nuo LNL ar dėl išorinių priežasčių yra susijusi su alkoholio ir tabako vartojimu, teisingi politiniai sprendimai yra labai svarbūs. Šiuo atveju sprendimas mažinti šių produktų akcizus, siekiant surinkti daugiau lėšų į biudžetą, būtų labai trumparegiškas, kaip ir finansavimo sveikatos priežiūros sektoriui sumažinimas. Tokie sprendimai, bent jau LNL požiūriu, mus dar labiau atitolintų nuo ES valstybių sveikatos rodiklių siekiamybės. Kovojant su LNL būtina riboti šių ligų rizikos</w:t>
      </w:r>
      <w:r>
        <w:t xml:space="preserve"> </w:t>
      </w:r>
      <w:r w:rsidRPr="00483946">
        <w:t>veiksnius (rūkymą, alkoholio vartojimą, nesveiką</w:t>
      </w:r>
      <w:r>
        <w:t xml:space="preserve"> </w:t>
      </w:r>
      <w:r w:rsidRPr="00483946">
        <w:t>mitybą, mažą fizinį aktyvumą), labiau orientuoti</w:t>
      </w:r>
      <w:r>
        <w:t xml:space="preserve"> </w:t>
      </w:r>
      <w:r w:rsidRPr="00483946">
        <w:t>sveikatos apsaugą į LNL profilaktiką – pagrindinėms</w:t>
      </w:r>
      <w:r>
        <w:t xml:space="preserve"> </w:t>
      </w:r>
      <w:r w:rsidRPr="00483946">
        <w:t>grėsmėms ir būsimiems nuostoliams šalinti.</w:t>
      </w:r>
      <w:r>
        <w:t xml:space="preserve"> </w:t>
      </w:r>
      <w:r w:rsidRPr="00483946">
        <w:rPr>
          <w:color w:val="000000"/>
        </w:rPr>
        <w:t>Siekiant kontroliuoti ir sustabdyti LNL plitimą</w:t>
      </w:r>
      <w:r>
        <w:rPr>
          <w:color w:val="000000"/>
        </w:rPr>
        <w:t xml:space="preserve"> </w:t>
      </w:r>
      <w:r w:rsidRPr="00483946">
        <w:rPr>
          <w:color w:val="000000"/>
        </w:rPr>
        <w:t>ir mažinti rizikos veiksnius, į profilaktinį</w:t>
      </w:r>
      <w:r>
        <w:rPr>
          <w:color w:val="000000"/>
        </w:rPr>
        <w:t xml:space="preserve"> </w:t>
      </w:r>
      <w:r w:rsidRPr="00483946">
        <w:rPr>
          <w:color w:val="000000"/>
        </w:rPr>
        <w:t>darbą būtina įtraukti visų specialybių sveikatos</w:t>
      </w:r>
      <w:r>
        <w:rPr>
          <w:color w:val="000000"/>
        </w:rPr>
        <w:t xml:space="preserve"> </w:t>
      </w:r>
      <w:r w:rsidRPr="00483946">
        <w:rPr>
          <w:color w:val="000000"/>
        </w:rPr>
        <w:t>priežiūros specialistus, įvairių sričių valstybės</w:t>
      </w:r>
      <w:r>
        <w:rPr>
          <w:color w:val="000000"/>
        </w:rPr>
        <w:t xml:space="preserve"> </w:t>
      </w:r>
      <w:r w:rsidRPr="00483946">
        <w:rPr>
          <w:color w:val="000000"/>
        </w:rPr>
        <w:t>institucijas, privatųjį sektorių, visuomenės organizacijas,</w:t>
      </w:r>
      <w:r>
        <w:rPr>
          <w:color w:val="000000"/>
        </w:rPr>
        <w:t xml:space="preserve"> </w:t>
      </w:r>
      <w:r w:rsidRPr="00483946">
        <w:rPr>
          <w:color w:val="000000"/>
        </w:rPr>
        <w:t>šeimas. Vieną iš svarbiausių vaidmenų</w:t>
      </w:r>
      <w:r>
        <w:rPr>
          <w:color w:val="000000"/>
        </w:rPr>
        <w:t xml:space="preserve"> </w:t>
      </w:r>
      <w:r w:rsidRPr="00483946">
        <w:rPr>
          <w:color w:val="000000"/>
        </w:rPr>
        <w:t>čia gali atlikti ir jau atlieka Lietuvoje neseniai</w:t>
      </w:r>
      <w:r>
        <w:rPr>
          <w:color w:val="000000"/>
        </w:rPr>
        <w:t xml:space="preserve"> </w:t>
      </w:r>
      <w:r w:rsidRPr="00483946">
        <w:rPr>
          <w:color w:val="000000"/>
        </w:rPr>
        <w:t>savo veiklą pradėję savivaldybių visuomenės</w:t>
      </w:r>
      <w:r>
        <w:rPr>
          <w:color w:val="000000"/>
        </w:rPr>
        <w:t xml:space="preserve"> </w:t>
      </w:r>
      <w:r w:rsidRPr="00483946">
        <w:rPr>
          <w:color w:val="000000"/>
        </w:rPr>
        <w:t>sveikatos biurai</w:t>
      </w:r>
      <w:r>
        <w:rPr>
          <w:color w:val="000000"/>
        </w:rPr>
        <w:t xml:space="preserve"> (Kraniauskas, 2009)</w:t>
      </w:r>
      <w:r w:rsidRPr="00483946">
        <w:rPr>
          <w:color w:val="000000"/>
        </w:rPr>
        <w:t>.</w:t>
      </w:r>
    </w:p>
    <w:p w:rsidR="00995BE0" w:rsidRDefault="00995BE0" w:rsidP="00414616">
      <w:pPr>
        <w:autoSpaceDE w:val="0"/>
        <w:autoSpaceDN w:val="0"/>
        <w:adjustRightInd w:val="0"/>
        <w:spacing w:line="360" w:lineRule="auto"/>
        <w:ind w:firstLine="600"/>
        <w:jc w:val="both"/>
        <w:rPr>
          <w:color w:val="000000"/>
        </w:rPr>
      </w:pPr>
      <w:r>
        <w:rPr>
          <w:color w:val="000000"/>
        </w:rPr>
        <w:lastRenderedPageBreak/>
        <w:t>Ekspertų nuomone, tai labai svarbus prioritetas ir vienas pagrindinių darbo tikslų. Šiaulių visuomenės sveikatos biuro tikslas nukreiptas į šį prioritetą nuo įsikūrimo pradžios. Vykdomi projektai, seminarai, mokymai šiomis temomis. Labai akcentuojamas fizinis aktyvumas, sveika mityba, nelaimingų atsitikimų prevencija. Biuras įsijungia į onkologinių susirgimų prevenciją, moko gyventojus sveikos gyvensenos pagrindų.</w:t>
      </w:r>
    </w:p>
    <w:p w:rsidR="00995BE0" w:rsidRDefault="00995BE0" w:rsidP="00414616">
      <w:pPr>
        <w:autoSpaceDE w:val="0"/>
        <w:autoSpaceDN w:val="0"/>
        <w:adjustRightInd w:val="0"/>
        <w:spacing w:line="360" w:lineRule="auto"/>
        <w:ind w:firstLine="600"/>
        <w:jc w:val="both"/>
        <w:rPr>
          <w:color w:val="000000"/>
        </w:rPr>
      </w:pPr>
      <w:r>
        <w:rPr>
          <w:color w:val="000000"/>
        </w:rPr>
        <w:t>Atlikdamas LNL prevenciją Šiaulių VS biuras gali kurti ir įgyvendinti atskiras vietines sveikatos programas, skirtas mažinti sergamumą širdies ir kraujotakos ligomis, onkologinėmis ligomis, užkertant kelią traumoms ir nelaimingiems atsitikimams. Būtina įtraukti į šią veiklą kuo daugiau kitų organizacijų, nevyriausybines organizacijas ir visą bendruomenę, vykdyti tarpinstitucinį bendradarbiavimą. Reikalinga informacijos sklaida LNL prevencijos klausimais visomis žiniasklaidos priemonėmis.</w:t>
      </w:r>
    </w:p>
    <w:p w:rsidR="00995BE0" w:rsidRPr="008E30D9" w:rsidRDefault="00995BE0" w:rsidP="001448D9">
      <w:pPr>
        <w:pStyle w:val="Antrat3"/>
      </w:pPr>
      <w:bookmarkStart w:id="60" w:name="_Toc293248636"/>
      <w:r>
        <w:t>2</w:t>
      </w:r>
      <w:r w:rsidRPr="00F25BC2">
        <w:t>.</w:t>
      </w:r>
      <w:r>
        <w:t>3</w:t>
      </w:r>
      <w:r w:rsidRPr="00F25BC2">
        <w:t>.2 Antrasis prioritetas: vaikų sveikat</w:t>
      </w:r>
      <w:r>
        <w:t>os stiprinimas</w:t>
      </w:r>
      <w:bookmarkEnd w:id="60"/>
    </w:p>
    <w:p w:rsidR="00995BE0" w:rsidRPr="001D71BB" w:rsidRDefault="00995BE0" w:rsidP="00832857">
      <w:pPr>
        <w:spacing w:line="360" w:lineRule="auto"/>
        <w:ind w:firstLine="539"/>
        <w:jc w:val="both"/>
      </w:pPr>
      <w:r w:rsidRPr="001D71BB">
        <w:t>Esminis šiuolaikinės visuomenės sveikatos stiprinimo požymis – ne tik įveikti ligas, bet ir ieškoti būdų, kaip nuo pat mažens saugoti ir stiprinti savo ir kitų sveikatą. Daugeliu atveju bendrojo lavinimo mokykla yra pagrindinė vaikų socializacijos institucija, tinkama puoselėti vaikų sveikatą, formuoti sveikos gyvensenos ir kitus gyvenimo įgūdžius (</w:t>
      </w:r>
      <w:r>
        <w:t>Mačiūnas ir kt.</w:t>
      </w:r>
      <w:r w:rsidRPr="001D71BB">
        <w:t>, 2006</w:t>
      </w:r>
      <w:r>
        <w:t>b</w:t>
      </w:r>
      <w:r w:rsidRPr="001D71BB">
        <w:t>).</w:t>
      </w:r>
    </w:p>
    <w:p w:rsidR="00995BE0" w:rsidRPr="001D71BB" w:rsidRDefault="00995BE0" w:rsidP="00210124">
      <w:pPr>
        <w:spacing w:line="360" w:lineRule="auto"/>
        <w:ind w:firstLine="539"/>
        <w:jc w:val="both"/>
      </w:pPr>
      <w:r w:rsidRPr="001D71BB">
        <w:t>Ketvirtas pasaulinės sveikatos strategijos</w:t>
      </w:r>
      <w:r>
        <w:t xml:space="preserve"> Europos regione</w:t>
      </w:r>
      <w:r w:rsidRPr="001D71BB">
        <w:t xml:space="preserve"> tikslas – iki 2020 m. jauni regiono žmonės turi būti sveikesni ir pasiruošę geriau atlikti savo darbą. Konkrečiai: vaikai ir paaugliai turi įgyti geresnius gyvenimo įgūdžius ir galimybę reguliuoti savo sveikatą;</w:t>
      </w:r>
      <w:r>
        <w:t xml:space="preserve"> </w:t>
      </w:r>
      <w:r w:rsidRPr="001D71BB">
        <w:t>jaunų žmonių mirtingumas ir invalidumas nulemtas smurto, nelaimingų atsitikimų, turi sumažėti mažiausiai 50 proc.;</w:t>
      </w:r>
      <w:r>
        <w:t xml:space="preserve"> </w:t>
      </w:r>
      <w:r w:rsidRPr="001D71BB">
        <w:t>turi būti sumažintas jaunų žmonių, vartojančių narkotikus, tabaką, alkoholį, skaičius;</w:t>
      </w:r>
      <w:r>
        <w:t xml:space="preserve"> bent trečdaliu</w:t>
      </w:r>
      <w:r w:rsidRPr="001D71BB">
        <w:t xml:space="preserve"> turi būti sumažintas nepilnamečių nėštumų skaičius.</w:t>
      </w:r>
    </w:p>
    <w:p w:rsidR="00995BE0" w:rsidRPr="001D71BB" w:rsidRDefault="00995BE0" w:rsidP="0057080B">
      <w:pPr>
        <w:autoSpaceDE w:val="0"/>
        <w:autoSpaceDN w:val="0"/>
        <w:adjustRightInd w:val="0"/>
        <w:spacing w:line="360" w:lineRule="auto"/>
        <w:ind w:firstLine="540"/>
        <w:jc w:val="both"/>
      </w:pPr>
      <w:r w:rsidRPr="001D71BB">
        <w:t xml:space="preserve">Pagrindiniai šiuo metu Lietuvoje vykdomi tarptautiniai tyrimai, iš kurių galima apręsti apie vaikų sveikatą yra „Mokyklinio amžiaus vaikų gyvensena ir sveikata“ (HBSC) bei „Moksleivių tabako, alkoholio ir narkotikų vartojimo (ESPAD) apklausa“ bei kitos pavienės, savivaldybių lygio apklausos tam tikrais aktualiais klausimais. HBSC tyrimas Lietuvoje vykdomas nuo 1994 m., kas </w:t>
      </w:r>
      <w:r>
        <w:t>ketveri</w:t>
      </w:r>
      <w:r w:rsidRPr="001D71BB">
        <w:t xml:space="preserve"> metai. </w:t>
      </w:r>
      <w:r>
        <w:t>Į</w:t>
      </w:r>
      <w:r w:rsidRPr="001D71BB">
        <w:t xml:space="preserve">sikūrus Šiaulių miesto savivaldybės visuomenės sveikatos biurui, </w:t>
      </w:r>
      <w:r>
        <w:t>didžiąją dalį socialinių tyrimų</w:t>
      </w:r>
      <w:r w:rsidRPr="001D71BB">
        <w:t xml:space="preserve"> vykdo ši įstaiga,</w:t>
      </w:r>
      <w:r>
        <w:t xml:space="preserve"> dažnai bendradarbiaujant</w:t>
      </w:r>
      <w:r w:rsidRPr="001D71BB">
        <w:t xml:space="preserve"> su </w:t>
      </w:r>
      <w:r>
        <w:t>kitomis organizacijomis</w:t>
      </w:r>
      <w:r w:rsidRPr="001D71BB">
        <w:t>. Tokiu būdu galima išskirti Šiaulių populiaciją ir pateikti tyrimo rezultatus bendruomenei.</w:t>
      </w:r>
      <w:r w:rsidRPr="0057080B">
        <w:t xml:space="preserve"> </w:t>
      </w:r>
      <w:r w:rsidRPr="001D71BB">
        <w:t>ESPAD jau daugiau nei dešimtmetis Lietuvoje ir daugelyje kitų Europos šalių yra vienas pagrindinių duomenų šaltinių stebint ir analizuojant įvairių narkotikų paplitimo tarp jaunimo formas, mąstą bei tendencijas. Šis tarptautinis tyrimas atliekamas kas ketveri metai, o Lietuva jame dalyvauja nuo pat pradžių – 1995 m. Pagrindinis ESPAD tikslas – surinkti tinkamus palyginimui duomenis apie alkoholio, tabako ir narkotiku vartojimą 15-16 m. amžiaus mokinių grupėje įvairiose Europos valstybėse (Tamošiūnas</w:t>
      </w:r>
      <w:r>
        <w:t xml:space="preserve"> ir kt., </w:t>
      </w:r>
      <w:r w:rsidRPr="001D71BB">
        <w:t>2008).</w:t>
      </w:r>
    </w:p>
    <w:p w:rsidR="00995BE0" w:rsidRPr="001D71BB" w:rsidRDefault="00995BE0" w:rsidP="00210124">
      <w:pPr>
        <w:spacing w:line="360" w:lineRule="auto"/>
        <w:ind w:firstLine="540"/>
        <w:jc w:val="both"/>
      </w:pPr>
      <w:bookmarkStart w:id="61" w:name="OLE_LINK23"/>
      <w:bookmarkStart w:id="62" w:name="OLE_LINK24"/>
      <w:r w:rsidRPr="001D71BB">
        <w:lastRenderedPageBreak/>
        <w:t>Prastą vaikų sveikatą rodo tiek sveikatos priežiūros ataskaitų rodikliai, tiek ir vykdomi socialiniai tyrimų rezultatai. Lietuvos sveikatos informacijos centro duomenimis 200</w:t>
      </w:r>
      <w:r>
        <w:t>9</w:t>
      </w:r>
      <w:r w:rsidRPr="001D71BB">
        <w:t xml:space="preserve"> metais Šiaulių mieste, apskrityje ir visoje šalyje vaikų sergamumas buvo didesnis nei suaugusiųjų, Šiaulių mieste 1 000-ui vaikų teko 2</w:t>
      </w:r>
      <w:r>
        <w:t>307,6</w:t>
      </w:r>
      <w:r w:rsidRPr="001D71BB">
        <w:t xml:space="preserve"> naujai registruoti susirgimo atvejai, o suaugusiųjų – 9</w:t>
      </w:r>
      <w:r>
        <w:t>89,3</w:t>
      </w:r>
      <w:r w:rsidRPr="001D71BB">
        <w:t xml:space="preserve">/1 000-ui suaugusiųjų </w:t>
      </w:r>
      <w:bookmarkEnd w:id="61"/>
      <w:bookmarkEnd w:id="62"/>
      <w:r w:rsidRPr="001D71BB">
        <w:t>(</w:t>
      </w:r>
      <w:r>
        <w:t>19</w:t>
      </w:r>
      <w:r w:rsidRPr="001D71BB">
        <w:t xml:space="preserve"> pav.).</w:t>
      </w:r>
    </w:p>
    <w:p w:rsidR="00995BE0" w:rsidRPr="001D71BB" w:rsidRDefault="00995BE0" w:rsidP="00832857">
      <w:pPr>
        <w:spacing w:line="360" w:lineRule="auto"/>
      </w:pPr>
    </w:p>
    <w:p w:rsidR="00995BE0" w:rsidRPr="001D71BB" w:rsidRDefault="00A54FAC" w:rsidP="00DC31CC">
      <w:pPr>
        <w:spacing w:line="360" w:lineRule="auto"/>
        <w:jc w:val="center"/>
      </w:pPr>
      <w:r>
        <w:rPr>
          <w:noProof/>
        </w:rPr>
        <w:drawing>
          <wp:inline distT="0" distB="0" distL="0" distR="0">
            <wp:extent cx="5865495" cy="1567815"/>
            <wp:effectExtent l="0" t="0" r="0" b="0"/>
            <wp:docPr id="20" name="Objekta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5BE0" w:rsidRPr="00A65848" w:rsidRDefault="00995BE0" w:rsidP="00DC31CC">
      <w:pPr>
        <w:tabs>
          <w:tab w:val="left" w:pos="9356"/>
        </w:tabs>
        <w:spacing w:after="120"/>
        <w:ind w:left="284" w:right="282"/>
        <w:jc w:val="both"/>
        <w:rPr>
          <w:b/>
          <w:sz w:val="22"/>
          <w:szCs w:val="22"/>
        </w:rPr>
      </w:pPr>
      <w:r>
        <w:rPr>
          <w:b/>
          <w:sz w:val="22"/>
          <w:szCs w:val="22"/>
        </w:rPr>
        <w:t>19</w:t>
      </w:r>
      <w:r w:rsidRPr="00A65848">
        <w:rPr>
          <w:b/>
          <w:sz w:val="22"/>
          <w:szCs w:val="22"/>
        </w:rPr>
        <w:t xml:space="preserve"> pav. </w:t>
      </w:r>
      <w:r w:rsidRPr="00A65848">
        <w:rPr>
          <w:sz w:val="22"/>
          <w:szCs w:val="22"/>
        </w:rPr>
        <w:t>Suaugusių ir vaikų sergamumas Šiaulių mieste, Šiaulių apskrityje ir Lietuvos Respublikoje 2009 m. (naujai užregistruoti susirgimai ambulatorinę pagalbą teikiančiose įstaigose 1 000-ui vaikų ir 1 000-ui suaugusiųjų)</w:t>
      </w:r>
    </w:p>
    <w:p w:rsidR="00995BE0" w:rsidRPr="001D71BB" w:rsidRDefault="00995BE0" w:rsidP="00832857">
      <w:pPr>
        <w:spacing w:after="120"/>
        <w:ind w:right="424"/>
        <w:jc w:val="center"/>
        <w:rPr>
          <w:sz w:val="20"/>
          <w:szCs w:val="20"/>
        </w:rPr>
      </w:pPr>
      <w:r w:rsidRPr="001D71BB">
        <w:rPr>
          <w:sz w:val="20"/>
          <w:szCs w:val="20"/>
        </w:rPr>
        <w:t xml:space="preserve">Sudaryta autoriaus remiantis </w:t>
      </w:r>
      <w:r>
        <w:rPr>
          <w:sz w:val="20"/>
          <w:szCs w:val="20"/>
        </w:rPr>
        <w:t>š</w:t>
      </w:r>
      <w:r w:rsidRPr="001D71BB">
        <w:rPr>
          <w:sz w:val="20"/>
          <w:szCs w:val="20"/>
        </w:rPr>
        <w:t>altini</w:t>
      </w:r>
      <w:r>
        <w:rPr>
          <w:sz w:val="20"/>
          <w:szCs w:val="20"/>
        </w:rPr>
        <w:t>u</w:t>
      </w:r>
      <w:r w:rsidRPr="001D71BB">
        <w:rPr>
          <w:sz w:val="20"/>
          <w:szCs w:val="20"/>
        </w:rPr>
        <w:t>:</w:t>
      </w:r>
      <w:r>
        <w:rPr>
          <w:sz w:val="20"/>
          <w:szCs w:val="20"/>
        </w:rPr>
        <w:t xml:space="preserve"> H</w:t>
      </w:r>
      <w:r w:rsidRPr="001D71BB">
        <w:rPr>
          <w:sz w:val="20"/>
          <w:szCs w:val="20"/>
        </w:rPr>
        <w:t>igienos instituto sveikatos informacijos centr</w:t>
      </w:r>
      <w:r>
        <w:rPr>
          <w:sz w:val="20"/>
          <w:szCs w:val="20"/>
        </w:rPr>
        <w:t>as</w:t>
      </w:r>
    </w:p>
    <w:p w:rsidR="00995BE0" w:rsidRPr="001D71BB" w:rsidRDefault="00995BE0" w:rsidP="00832857">
      <w:pPr>
        <w:spacing w:after="120" w:line="360" w:lineRule="auto"/>
        <w:ind w:right="424"/>
        <w:jc w:val="right"/>
        <w:rPr>
          <w:sz w:val="20"/>
          <w:szCs w:val="20"/>
        </w:rPr>
      </w:pPr>
    </w:p>
    <w:p w:rsidR="00995BE0" w:rsidRPr="001D71BB" w:rsidRDefault="00995BE0" w:rsidP="00DC31CC">
      <w:pPr>
        <w:spacing w:line="360" w:lineRule="auto"/>
        <w:ind w:firstLine="567"/>
        <w:jc w:val="both"/>
      </w:pPr>
      <w:r w:rsidRPr="001D71BB">
        <w:t>200</w:t>
      </w:r>
      <w:r>
        <w:t>9</w:t>
      </w:r>
      <w:r w:rsidRPr="001D71BB">
        <w:t xml:space="preserve"> metais Šiaulių miesto ambulatorinėse sveikatos priežiūros įstaigose apsilankė 2</w:t>
      </w:r>
      <w:r>
        <w:t>2</w:t>
      </w:r>
      <w:r w:rsidRPr="001D71BB">
        <w:t xml:space="preserve"> </w:t>
      </w:r>
      <w:r>
        <w:t>680</w:t>
      </w:r>
      <w:r w:rsidRPr="001D71BB">
        <w:t xml:space="preserve"> vaik</w:t>
      </w:r>
      <w:r>
        <w:t>ų</w:t>
      </w:r>
      <w:r w:rsidRPr="001D71BB">
        <w:t xml:space="preserve">. Iš visų apsilankiusiųjų vaikų, </w:t>
      </w:r>
      <w:r w:rsidRPr="00F041F4">
        <w:t>21,1</w:t>
      </w:r>
      <w:r w:rsidRPr="001D71BB">
        <w:t xml:space="preserve"> proc. buvo nustatyti regėjimo sutrikimai, (2007 metais – 15,5 proc.). Taip pat paplitusios deformuojančios dorsopatijos – 3,8 proc. ir skoliozės – </w:t>
      </w:r>
      <w:r>
        <w:t>3,1 proc. (</w:t>
      </w:r>
      <w:r w:rsidRPr="00A7019A">
        <w:t>16 priedas</w:t>
      </w:r>
      <w:r w:rsidRPr="001D71BB">
        <w:t>).</w:t>
      </w:r>
    </w:p>
    <w:p w:rsidR="00995BE0" w:rsidRDefault="00995BE0" w:rsidP="009D2E0F">
      <w:pPr>
        <w:spacing w:line="360" w:lineRule="auto"/>
        <w:ind w:right="38" w:firstLine="567"/>
        <w:jc w:val="both"/>
      </w:pPr>
      <w:r>
        <w:t>Vadovaujantis Lietuvos Respublikos Sveikatos apsaugos ministro 2000 m. gegužės 31 d. įsakymu Nr. 301 „Dėl profilaktinių sveikatos tikrinimų sveikatos priežiūros įstaigose“ ir Higienos norma 21:2005 „Bendrojo lavinimo mokykla. Bendrieji sveikatos saugos reikalavimai”, kiekvienais metais iki rugsėjo 15 d. moksleiviai turi pateikti mokyklai informaciją apie profilaktinio savo sveikatos patikrinimo rezultatus. Šie duomenys naudojami moksleivių sveikatos stebėsenai ir analizei.</w:t>
      </w:r>
    </w:p>
    <w:p w:rsidR="00995BE0" w:rsidRPr="001D71BB" w:rsidRDefault="00995BE0" w:rsidP="009D2E0F">
      <w:pPr>
        <w:spacing w:line="360" w:lineRule="auto"/>
        <w:ind w:right="38" w:firstLine="567"/>
        <w:jc w:val="both"/>
      </w:pPr>
      <w:r>
        <w:t xml:space="preserve"> Pagal mokyklų visuomenės sveikatos priežiūros specialisčių pateiktus duomenis Šiaulių miesto bendrojo lavinimo mokyklų mokinių skaičius yra </w:t>
      </w:r>
      <w:r w:rsidRPr="0077780C">
        <w:rPr>
          <w:bCs/>
        </w:rPr>
        <w:t>16385.</w:t>
      </w:r>
      <w:r w:rsidRPr="001D71BB">
        <w:rPr>
          <w:b/>
          <w:bCs/>
        </w:rPr>
        <w:t xml:space="preserve"> </w:t>
      </w:r>
      <w:r w:rsidRPr="001D71BB">
        <w:t xml:space="preserve">Iš profilaktiškai sveikatą pasitikrinusių mokinių 2009-2010 m. tik </w:t>
      </w:r>
      <w:r w:rsidRPr="0077780C">
        <w:rPr>
          <w:bCs/>
        </w:rPr>
        <w:t>33 proc.</w:t>
      </w:r>
      <w:r w:rsidRPr="001D71BB">
        <w:rPr>
          <w:b/>
          <w:bCs/>
        </w:rPr>
        <w:t xml:space="preserve"> </w:t>
      </w:r>
      <w:r w:rsidRPr="001D71BB">
        <w:t xml:space="preserve">neturi jokių sveikatos sutrikimų. </w:t>
      </w:r>
      <w:r w:rsidRPr="0077780C">
        <w:rPr>
          <w:bCs/>
        </w:rPr>
        <w:t xml:space="preserve">10878 </w:t>
      </w:r>
      <w:r w:rsidRPr="001D71BB">
        <w:t xml:space="preserve">sergantiems mokiniams nustatyti </w:t>
      </w:r>
      <w:r w:rsidRPr="0077780C">
        <w:rPr>
          <w:bCs/>
        </w:rPr>
        <w:t>14030</w:t>
      </w:r>
      <w:r w:rsidRPr="001D71BB">
        <w:rPr>
          <w:b/>
          <w:bCs/>
        </w:rPr>
        <w:t xml:space="preserve"> </w:t>
      </w:r>
      <w:r w:rsidRPr="001D71BB">
        <w:t>sveikatos sutrikimai. Tai rodo, kad kai kurie moksleiviai turi po kelis sveikatos sutrikimus. Paveiksle matome, kad  Šiaulių mokiniai daugiausia serga regos sutrikimų (36 proc.), taip pat jau 12 proc. jų turi širdies ir kraujagyslių sutrikimų. Didesnis sergamumo skaičius registruojamas gimnazijose.</w:t>
      </w:r>
    </w:p>
    <w:p w:rsidR="00995BE0" w:rsidRPr="001D71BB" w:rsidRDefault="00A54FAC" w:rsidP="005729D8">
      <w:pPr>
        <w:spacing w:line="360" w:lineRule="auto"/>
        <w:jc w:val="center"/>
        <w:rPr>
          <w:sz w:val="20"/>
          <w:szCs w:val="20"/>
        </w:rPr>
      </w:pPr>
      <w:r>
        <w:rPr>
          <w:noProof/>
          <w:sz w:val="20"/>
          <w:szCs w:val="20"/>
        </w:rPr>
        <w:lastRenderedPageBreak/>
        <w:drawing>
          <wp:inline distT="0" distB="0" distL="0" distR="0">
            <wp:extent cx="6061075" cy="2703830"/>
            <wp:effectExtent l="0" t="0" r="0" b="0"/>
            <wp:docPr id="21" name="Objekta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95BE0" w:rsidRPr="0077780C" w:rsidRDefault="00995BE0" w:rsidP="005729D8">
      <w:pPr>
        <w:jc w:val="center"/>
        <w:rPr>
          <w:b/>
          <w:sz w:val="22"/>
          <w:szCs w:val="22"/>
        </w:rPr>
      </w:pPr>
      <w:r>
        <w:rPr>
          <w:b/>
          <w:sz w:val="22"/>
          <w:szCs w:val="22"/>
        </w:rPr>
        <w:t xml:space="preserve">20 </w:t>
      </w:r>
      <w:r w:rsidRPr="0077780C">
        <w:rPr>
          <w:b/>
          <w:sz w:val="22"/>
          <w:szCs w:val="22"/>
        </w:rPr>
        <w:t xml:space="preserve">pav. </w:t>
      </w:r>
      <w:r w:rsidRPr="0077780C">
        <w:rPr>
          <w:sz w:val="22"/>
          <w:szCs w:val="22"/>
        </w:rPr>
        <w:t>Profilaktiškai pasitikrinusių mokinių sergamumas Šiaulių mieste 2010/11 m. m. (proc.)</w:t>
      </w:r>
    </w:p>
    <w:p w:rsidR="00995BE0" w:rsidRPr="009F2F05" w:rsidRDefault="00995BE0" w:rsidP="005729D8">
      <w:pPr>
        <w:spacing w:line="360" w:lineRule="auto"/>
        <w:jc w:val="center"/>
        <w:rPr>
          <w:sz w:val="20"/>
          <w:szCs w:val="20"/>
        </w:rPr>
      </w:pPr>
      <w:r w:rsidRPr="009F2F05">
        <w:rPr>
          <w:sz w:val="20"/>
          <w:szCs w:val="20"/>
        </w:rPr>
        <w:t>Sudaryta autoriaus, remiantis profilaktinių patikrinimų rezultatais.</w:t>
      </w:r>
    </w:p>
    <w:p w:rsidR="00995BE0" w:rsidRDefault="00995BE0" w:rsidP="00896702">
      <w:pPr>
        <w:spacing w:line="360" w:lineRule="auto"/>
        <w:ind w:firstLine="426"/>
        <w:jc w:val="both"/>
      </w:pPr>
    </w:p>
    <w:p w:rsidR="00995BE0" w:rsidRPr="001D71BB" w:rsidRDefault="00995BE0" w:rsidP="00896702">
      <w:pPr>
        <w:spacing w:line="360" w:lineRule="auto"/>
        <w:ind w:firstLine="426"/>
        <w:jc w:val="both"/>
      </w:pPr>
      <w:r w:rsidRPr="001D71BB">
        <w:t>Rodikliai patys kalba už save, būtina skatinti vaikų gebėjimą atsirinkti kas yra teisinga ir kas ne, o kad tai būtų galima padaryti pirmiausia reikia, kad ir mokyklų vadovai tai suprastų ir laikytų tai vienu iš prioritetų.</w:t>
      </w:r>
    </w:p>
    <w:p w:rsidR="00995BE0" w:rsidRPr="001D71BB" w:rsidRDefault="00995BE0" w:rsidP="00832857">
      <w:pPr>
        <w:spacing w:line="360" w:lineRule="auto"/>
        <w:textAlignment w:val="top"/>
        <w:rPr>
          <w:vanish/>
        </w:rPr>
      </w:pPr>
      <w:r w:rsidRPr="001D71BB">
        <w:rPr>
          <w:vanish/>
        </w:rPr>
        <w:t>Skaityti fonetiškai</w:t>
      </w:r>
    </w:p>
    <w:p w:rsidR="00995BE0" w:rsidRPr="001D71BB" w:rsidRDefault="00995BE0" w:rsidP="00204488">
      <w:pPr>
        <w:pStyle w:val="prastasistinklapis"/>
        <w:spacing w:before="0" w:beforeAutospacing="0" w:after="0" w:afterAutospacing="0" w:line="360" w:lineRule="auto"/>
        <w:ind w:firstLine="426"/>
        <w:jc w:val="both"/>
      </w:pPr>
      <w:r w:rsidRPr="00204488">
        <w:rPr>
          <w:b/>
          <w:i/>
        </w:rPr>
        <w:t>MITYBA.</w:t>
      </w:r>
      <w:r>
        <w:rPr>
          <w:b/>
        </w:rPr>
        <w:t xml:space="preserve"> </w:t>
      </w:r>
      <w:r w:rsidRPr="001D71BB">
        <w:t>Racionaliai besimaitinantis vaikas gerai auga, yra atsparus įvairioms ligoms. Nepakankama mityba ypač pavojinga lytinio brendimo amžiuje, nes tai stabdo augimą ir vystymąsi. Jauni žmonės, ypač paaugliai, labai lengvai pasiduoda reklamai, todėl labai svarbu nuo pat mažens ugdyti vartotojo savybes. Sveika mityba – tai maisto ir maitinimosi strategijos, maisto garantijos, saugumas, mikropriedų pakankamumas, sveiko maisto pasirinkimas.</w:t>
      </w:r>
    </w:p>
    <w:p w:rsidR="00995BE0" w:rsidRPr="001D71BB" w:rsidRDefault="00995BE0" w:rsidP="00DC31CC">
      <w:pPr>
        <w:autoSpaceDE w:val="0"/>
        <w:autoSpaceDN w:val="0"/>
        <w:adjustRightInd w:val="0"/>
        <w:spacing w:line="360" w:lineRule="auto"/>
        <w:ind w:firstLine="426"/>
        <w:jc w:val="both"/>
      </w:pPr>
      <w:r>
        <w:t>2010 m. v</w:t>
      </w:r>
      <w:r w:rsidRPr="001D71BB">
        <w:t xml:space="preserve">ykdyto </w:t>
      </w:r>
      <w:r>
        <w:t>tarptautinio tyrimo rezultatais</w:t>
      </w:r>
      <w:r w:rsidRPr="001D71BB">
        <w:t xml:space="preserve"> galima vertinti ir Šiaulių miesto mokini</w:t>
      </w:r>
      <w:r>
        <w:t>ų mitybos įpročius. V</w:t>
      </w:r>
      <w:r w:rsidRPr="001D71BB">
        <w:t>aik</w:t>
      </w:r>
      <w:r>
        <w:t>ai</w:t>
      </w:r>
      <w:r w:rsidRPr="001D71BB">
        <w:t xml:space="preserve"> vis dažniau valgo daržoves, vaisius, rečiau tokį „nesveiką“ maistą kaip bulvių traškučiai, greito maisto produktai, kokakola ir kiti saldūs, gazuoti gėrimai. </w:t>
      </w:r>
      <w:r>
        <w:t xml:space="preserve">Vis tik vaisių ir daržovių mokiniai vartoja nepakankamai. </w:t>
      </w:r>
      <w:r w:rsidRPr="001D71BB">
        <w:t xml:space="preserve">Daugiausia mokinių vaisius, daržoves bei šokoladus ar saldainius valgo 2-4 kartus per savaitę </w:t>
      </w:r>
      <w:r>
        <w:t xml:space="preserve">(7 </w:t>
      </w:r>
      <w:r w:rsidRPr="00A7019A">
        <w:t>priedo 1 pav.</w:t>
      </w:r>
      <w:r w:rsidRPr="001D71BB">
        <w:t>). Būtina paminėti, jog pasaulio kontekste, Lietuvos vaikai pagal vaisių vartojimą buvo tarp mažiausiai vartojančių šalių</w:t>
      </w:r>
      <w:r>
        <w:t xml:space="preserve"> (</w:t>
      </w:r>
      <w:r w:rsidRPr="00A7019A">
        <w:t>9 priedo 1</w:t>
      </w:r>
      <w:r w:rsidRPr="00FD0E76">
        <w:t xml:space="preserve"> </w:t>
      </w:r>
      <w:r w:rsidRPr="00A7019A">
        <w:t>pav</w:t>
      </w:r>
      <w:r>
        <w:t>.).</w:t>
      </w:r>
      <w:r w:rsidRPr="001D71BB">
        <w:t xml:space="preserve"> </w:t>
      </w:r>
    </w:p>
    <w:p w:rsidR="00995BE0" w:rsidRPr="001D71BB" w:rsidRDefault="00995BE0" w:rsidP="00A44B61">
      <w:pPr>
        <w:spacing w:line="360" w:lineRule="auto"/>
        <w:ind w:firstLine="567"/>
        <w:jc w:val="both"/>
      </w:pPr>
      <w:bookmarkStart w:id="63" w:name="_Toc282952226"/>
      <w:bookmarkStart w:id="64" w:name="_Toc285659294"/>
      <w:bookmarkStart w:id="65" w:name="_Toc285660855"/>
      <w:bookmarkStart w:id="66" w:name="_Toc286342084"/>
      <w:bookmarkStart w:id="67" w:name="_Toc286781159"/>
      <w:bookmarkStart w:id="68" w:name="_Toc286781886"/>
      <w:bookmarkStart w:id="69" w:name="_Toc287013625"/>
      <w:r w:rsidRPr="00DC31CC">
        <w:rPr>
          <w:b/>
        </w:rPr>
        <w:t>Fizinis aktyvumas</w:t>
      </w:r>
      <w:bookmarkEnd w:id="63"/>
      <w:bookmarkEnd w:id="64"/>
      <w:bookmarkEnd w:id="65"/>
      <w:bookmarkEnd w:id="66"/>
      <w:bookmarkEnd w:id="67"/>
      <w:bookmarkEnd w:id="68"/>
      <w:bookmarkEnd w:id="69"/>
      <w:r w:rsidRPr="00DC31CC">
        <w:t>. PSO duomenimis, dėl nepakankamo fizinio aktyvumo kasmet miršta apie 2 milijonus planetos gyventojų. Fizinio aktyvumo stoka nulemia apie 10-16 proc. krūties, storosios žarnos vėžio bei necukrinio diabeto ir apie 22 proc. išeminės širdies ligos atvejų. Lietuvos kūno kultūros asociacijos 2005 m. atlikto Lietuvos moksleivių fizinio aktyvumo tyrimo duomenimis, 85,8 proc. Lietuvos mokinių yra nepakankamai fiziškai aktyvūs.</w:t>
      </w:r>
      <w:r>
        <w:t xml:space="preserve"> 2010 m. tyrimo duomenimis, tik 17,6 proc. berniukų ir 12,8 proc. mergaičių buvo pakankamai fiziškai aktyvūs</w:t>
      </w:r>
      <w:r w:rsidRPr="001D71BB">
        <w:t xml:space="preserve"> (</w:t>
      </w:r>
      <w:r w:rsidRPr="00A7019A">
        <w:t>7 priedo 11 pav</w:t>
      </w:r>
      <w:r>
        <w:t>.</w:t>
      </w:r>
      <w:r w:rsidRPr="001D71BB">
        <w:t>) (p&lt;0,05).</w:t>
      </w:r>
    </w:p>
    <w:p w:rsidR="00995BE0" w:rsidRPr="001D71BB" w:rsidRDefault="00995BE0" w:rsidP="009E0A31">
      <w:pPr>
        <w:spacing w:line="360" w:lineRule="auto"/>
        <w:ind w:firstLine="567"/>
        <w:jc w:val="both"/>
      </w:pPr>
      <w:r w:rsidRPr="009E0A31">
        <w:rPr>
          <w:b/>
        </w:rPr>
        <w:lastRenderedPageBreak/>
        <w:t>Rūkymas.</w:t>
      </w:r>
      <w:r>
        <w:rPr>
          <w:b/>
        </w:rPr>
        <w:t xml:space="preserve"> </w:t>
      </w:r>
      <w:r w:rsidRPr="001D71BB">
        <w:t xml:space="preserve">Vertinant vaikų ir jaunimo gyvenseną, žalingų įpročių problema šiandien yra ypatingai aktuali ir svarbi. Ši problema būdinga visam pasauliui. Net ir turtingiausios pasaulio šalys, galinčios skirti daug lėšų jų profilaktikai, negali išvengti vaikų ir jaunimo priklausomybių. </w:t>
      </w:r>
    </w:p>
    <w:p w:rsidR="00995BE0" w:rsidRPr="001D71BB" w:rsidRDefault="00995BE0" w:rsidP="009E0A31">
      <w:pPr>
        <w:pStyle w:val="Sraopastraipa"/>
        <w:tabs>
          <w:tab w:val="left" w:pos="4296"/>
        </w:tabs>
        <w:spacing w:line="360" w:lineRule="auto"/>
        <w:ind w:left="0" w:firstLine="567"/>
        <w:jc w:val="both"/>
      </w:pPr>
      <w:r>
        <w:t>2010 m. Šiaulių miesto</w:t>
      </w:r>
      <w:r w:rsidRPr="001D71BB">
        <w:t xml:space="preserve"> mokinių gyvensenos tyrimo metu nustatyta, kad 55,6 proc. berniukų ir 45,2 proc. mergaičių teigė, kad yra bandę rūkyti (p&lt;0,05). Mokiniams, pradėjusiems rūkyti, dažniausiai tai tampa kasdieniniu įpročiu – didžioji dalis rūkančių nurodė, kad tai daro kiekvieną dieną (13,6 proc. berniukų ir 6,9 proc. mergaičių) (</w:t>
      </w:r>
      <w:r>
        <w:t xml:space="preserve">21 </w:t>
      </w:r>
      <w:r w:rsidRPr="001D71BB">
        <w:t>pav.).</w:t>
      </w:r>
    </w:p>
    <w:p w:rsidR="00995BE0" w:rsidRDefault="00A54FAC" w:rsidP="00F557A4">
      <w:pPr>
        <w:pStyle w:val="Sraopastraipa"/>
        <w:tabs>
          <w:tab w:val="left" w:pos="4296"/>
        </w:tabs>
        <w:spacing w:line="360" w:lineRule="auto"/>
        <w:ind w:left="0"/>
        <w:jc w:val="center"/>
        <w:rPr>
          <w:sz w:val="22"/>
          <w:szCs w:val="22"/>
        </w:rPr>
      </w:pPr>
      <w:r>
        <w:rPr>
          <w:b/>
          <w:noProof/>
        </w:rPr>
        <w:drawing>
          <wp:inline distT="0" distB="0" distL="0" distR="0">
            <wp:extent cx="6231255" cy="1776730"/>
            <wp:effectExtent l="0" t="0" r="0" b="0"/>
            <wp:docPr id="22" name="Objekta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995BE0">
        <w:rPr>
          <w:b/>
          <w:sz w:val="22"/>
          <w:szCs w:val="22"/>
        </w:rPr>
        <w:t xml:space="preserve">21 </w:t>
      </w:r>
      <w:r w:rsidR="00995BE0" w:rsidRPr="006A4879">
        <w:rPr>
          <w:b/>
          <w:sz w:val="22"/>
          <w:szCs w:val="22"/>
        </w:rPr>
        <w:t xml:space="preserve">pav. </w:t>
      </w:r>
      <w:r w:rsidR="00995BE0" w:rsidRPr="006A4879">
        <w:rPr>
          <w:sz w:val="22"/>
          <w:szCs w:val="22"/>
        </w:rPr>
        <w:t xml:space="preserve">Mokinių rūkymo dažnis (proc.) </w:t>
      </w:r>
    </w:p>
    <w:p w:rsidR="00995BE0" w:rsidRPr="00AD6471" w:rsidRDefault="00995BE0" w:rsidP="00AD6471">
      <w:pPr>
        <w:ind w:left="360"/>
        <w:jc w:val="center"/>
        <w:rPr>
          <w:sz w:val="20"/>
          <w:szCs w:val="20"/>
          <w:highlight w:val="yellow"/>
        </w:rPr>
      </w:pPr>
      <w:r>
        <w:rPr>
          <w:sz w:val="20"/>
          <w:szCs w:val="20"/>
        </w:rPr>
        <w:t>Š</w:t>
      </w:r>
      <w:r w:rsidRPr="00AD6471">
        <w:rPr>
          <w:sz w:val="20"/>
          <w:szCs w:val="20"/>
        </w:rPr>
        <w:t>altini</w:t>
      </w:r>
      <w:r>
        <w:rPr>
          <w:sz w:val="20"/>
          <w:szCs w:val="20"/>
        </w:rPr>
        <w:t>s</w:t>
      </w:r>
      <w:r w:rsidRPr="00AD6471">
        <w:rPr>
          <w:sz w:val="20"/>
          <w:szCs w:val="20"/>
        </w:rPr>
        <w:t>: Šiaulių miesto mokinių gyvensenos tyrimas. (2011). Šiaulių miesto savivaldybės visuomenės sveikatos biuras [interaktyvus] [žiūrėta 2010-12-15]. Prieiga per internetą: http://www.sveikatos-biuras.lt/index.php?id=672</w:t>
      </w:r>
    </w:p>
    <w:p w:rsidR="00995BE0" w:rsidRPr="001D71BB" w:rsidRDefault="00995BE0" w:rsidP="00832857">
      <w:pPr>
        <w:pStyle w:val="Sraopastraipa"/>
        <w:tabs>
          <w:tab w:val="left" w:pos="4296"/>
        </w:tabs>
        <w:spacing w:line="360" w:lineRule="auto"/>
        <w:ind w:left="0" w:firstLine="567"/>
        <w:jc w:val="both"/>
      </w:pPr>
    </w:p>
    <w:p w:rsidR="00995BE0" w:rsidRPr="001D71BB" w:rsidRDefault="00995BE0" w:rsidP="00832857">
      <w:pPr>
        <w:autoSpaceDE w:val="0"/>
        <w:autoSpaceDN w:val="0"/>
        <w:adjustRightInd w:val="0"/>
        <w:spacing w:line="360" w:lineRule="auto"/>
        <w:ind w:firstLine="540"/>
        <w:jc w:val="both"/>
      </w:pPr>
      <w:r w:rsidRPr="001D71BB">
        <w:t xml:space="preserve">ESPAD tyrimų rezultatai rodo, kad </w:t>
      </w:r>
      <w:r w:rsidRPr="001D71BB">
        <w:rPr>
          <w:bCs/>
        </w:rPr>
        <w:t>pirm</w:t>
      </w:r>
      <w:r w:rsidRPr="001D71BB">
        <w:t xml:space="preserve">ą </w:t>
      </w:r>
      <w:r w:rsidRPr="001D71BB">
        <w:rPr>
          <w:bCs/>
        </w:rPr>
        <w:t>kart</w:t>
      </w:r>
      <w:r w:rsidRPr="001D71BB">
        <w:t xml:space="preserve">ą </w:t>
      </w:r>
      <w:r w:rsidRPr="001D71BB">
        <w:rPr>
          <w:bCs/>
        </w:rPr>
        <w:t>pabandan</w:t>
      </w:r>
      <w:r w:rsidRPr="001D71BB">
        <w:t>č</w:t>
      </w:r>
      <w:r w:rsidRPr="001D71BB">
        <w:rPr>
          <w:bCs/>
        </w:rPr>
        <w:t>i</w:t>
      </w:r>
      <w:r w:rsidRPr="001D71BB">
        <w:t xml:space="preserve">ų </w:t>
      </w:r>
      <w:r w:rsidRPr="001D71BB">
        <w:rPr>
          <w:bCs/>
        </w:rPr>
        <w:t>r</w:t>
      </w:r>
      <w:r w:rsidRPr="001D71BB">
        <w:t>ū</w:t>
      </w:r>
      <w:r w:rsidRPr="001D71BB">
        <w:rPr>
          <w:bCs/>
        </w:rPr>
        <w:t>kyti mokini</w:t>
      </w:r>
      <w:r w:rsidRPr="001D71BB">
        <w:t xml:space="preserve">ų </w:t>
      </w:r>
      <w:r w:rsidRPr="001D71BB">
        <w:rPr>
          <w:bCs/>
        </w:rPr>
        <w:t>amžius jaun</w:t>
      </w:r>
      <w:r w:rsidRPr="001D71BB">
        <w:t>ė</w:t>
      </w:r>
      <w:r w:rsidRPr="001D71BB">
        <w:rPr>
          <w:bCs/>
        </w:rPr>
        <w:t>ja</w:t>
      </w:r>
      <w:r w:rsidRPr="001D71BB">
        <w:rPr>
          <w:b/>
          <w:bCs/>
        </w:rPr>
        <w:t xml:space="preserve">. </w:t>
      </w:r>
      <w:r w:rsidRPr="001D71BB">
        <w:t xml:space="preserve">2007 metų duomenimis, net 16 proc. pirmą kartą pabandė rūkyti turėdami 9 </w:t>
      </w:r>
      <w:r>
        <w:t>m. ar mažiau</w:t>
      </w:r>
      <w:r w:rsidRPr="001D71BB">
        <w:t xml:space="preserve">, o 13 m. ir jaunesni mokiniai surūkė pirmą cigaretę: 2003 metais – 55 proc. (66 proc. berniukų ir 44 proc. mergaičių), 2007 m. šiek tiek mažiau mokinių - 51 proc. (mergaičių beveik tiek pat – 43 proc., </w:t>
      </w:r>
      <w:r>
        <w:t xml:space="preserve">berniukų mažiau – 55 proc.) (22 </w:t>
      </w:r>
      <w:r w:rsidRPr="001D71BB">
        <w:t>pav.).</w:t>
      </w:r>
    </w:p>
    <w:p w:rsidR="00995BE0" w:rsidRDefault="00A54FAC" w:rsidP="00832857">
      <w:pPr>
        <w:autoSpaceDE w:val="0"/>
        <w:autoSpaceDN w:val="0"/>
        <w:adjustRightInd w:val="0"/>
        <w:spacing w:line="360" w:lineRule="auto"/>
        <w:ind w:firstLine="539"/>
        <w:jc w:val="center"/>
        <w:rPr>
          <w:sz w:val="22"/>
          <w:szCs w:val="22"/>
        </w:rPr>
      </w:pPr>
      <w:r>
        <w:rPr>
          <w:b/>
          <w:noProof/>
        </w:rPr>
        <w:drawing>
          <wp:inline distT="0" distB="0" distL="0" distR="0">
            <wp:extent cx="5120640" cy="1906905"/>
            <wp:effectExtent l="0" t="0" r="0" b="0"/>
            <wp:docPr id="23" name="Objekta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995BE0" w:rsidRPr="001D71BB">
        <w:br/>
      </w:r>
      <w:r w:rsidR="00995BE0" w:rsidRPr="00FD0E76">
        <w:rPr>
          <w:b/>
        </w:rPr>
        <w:t xml:space="preserve">22 </w:t>
      </w:r>
      <w:r w:rsidR="00995BE0" w:rsidRPr="006A4879">
        <w:rPr>
          <w:b/>
          <w:sz w:val="22"/>
          <w:szCs w:val="22"/>
        </w:rPr>
        <w:t>pav.</w:t>
      </w:r>
      <w:r w:rsidR="00995BE0" w:rsidRPr="006A4879">
        <w:rPr>
          <w:sz w:val="22"/>
          <w:szCs w:val="22"/>
        </w:rPr>
        <w:t xml:space="preserve"> Amžius kada pirmą kartą mokiniai surūkė cigaretę (proc.)</w:t>
      </w:r>
    </w:p>
    <w:p w:rsidR="00995BE0" w:rsidRPr="00D569AA" w:rsidRDefault="00995BE0" w:rsidP="00FC76DE">
      <w:pPr>
        <w:tabs>
          <w:tab w:val="left" w:pos="900"/>
          <w:tab w:val="left" w:pos="1080"/>
        </w:tabs>
        <w:autoSpaceDE w:val="0"/>
        <w:autoSpaceDN w:val="0"/>
        <w:adjustRightInd w:val="0"/>
        <w:ind w:left="360"/>
        <w:jc w:val="center"/>
        <w:rPr>
          <w:i/>
          <w:iCs/>
          <w:sz w:val="20"/>
          <w:szCs w:val="20"/>
        </w:rPr>
      </w:pPr>
      <w:r w:rsidRPr="00FC76DE">
        <w:rPr>
          <w:sz w:val="20"/>
          <w:szCs w:val="20"/>
        </w:rPr>
        <w:t xml:space="preserve">Sudaryta autoriaus, remiantis šaltiniu: Tamošiūnas, T., Šutinienė, I., Šimaitis, A. (2008). Alkoholis ir kiti narkotikų tyrimas Europos mokyklose ESPAD 2007. Vilnius [interaktyvus] [žiūrėta 2010-05-03]. Prieiga per internetą: </w:t>
      </w:r>
      <w:hyperlink r:id="rId49" w:history="1">
        <w:r w:rsidRPr="00FC76DE">
          <w:rPr>
            <w:rStyle w:val="Hipersaitas"/>
            <w:sz w:val="20"/>
            <w:szCs w:val="20"/>
          </w:rPr>
          <w:t>http://www.suaugusiujusvietimas.lt/modules/document_publisher/documents/3/ESPAD_2007_leidinys.pdf</w:t>
        </w:r>
      </w:hyperlink>
    </w:p>
    <w:p w:rsidR="00995BE0" w:rsidRPr="00FC76DE" w:rsidRDefault="00995BE0" w:rsidP="00A5690C">
      <w:pPr>
        <w:pStyle w:val="Sraopastraipa"/>
        <w:tabs>
          <w:tab w:val="left" w:pos="4296"/>
        </w:tabs>
        <w:ind w:left="0"/>
        <w:jc w:val="center"/>
        <w:rPr>
          <w:sz w:val="20"/>
          <w:szCs w:val="20"/>
        </w:rPr>
      </w:pPr>
    </w:p>
    <w:p w:rsidR="00995BE0" w:rsidRPr="001D71BB" w:rsidRDefault="00995BE0" w:rsidP="00832857">
      <w:pPr>
        <w:autoSpaceDE w:val="0"/>
        <w:autoSpaceDN w:val="0"/>
        <w:adjustRightInd w:val="0"/>
        <w:spacing w:line="360" w:lineRule="auto"/>
        <w:ind w:firstLine="539"/>
        <w:jc w:val="center"/>
        <w:rPr>
          <w:b/>
        </w:rPr>
      </w:pPr>
    </w:p>
    <w:p w:rsidR="00995BE0" w:rsidRPr="001D71BB" w:rsidRDefault="00995BE0" w:rsidP="00A23111">
      <w:pPr>
        <w:spacing w:line="360" w:lineRule="auto"/>
        <w:ind w:firstLine="567"/>
        <w:jc w:val="both"/>
      </w:pPr>
      <w:r w:rsidRPr="0057080B">
        <w:rPr>
          <w:b/>
        </w:rPr>
        <w:lastRenderedPageBreak/>
        <w:t>Alkoholio vartojimas.</w:t>
      </w:r>
      <w:r>
        <w:rPr>
          <w:b/>
        </w:rPr>
        <w:t xml:space="preserve"> </w:t>
      </w:r>
      <w:r w:rsidRPr="00A749D3">
        <w:t>Tiek Lietuvos tiek ir Šiaulių miesto mokinių alkoholio vartojimo įpročiai panašūs – didžioji dalis</w:t>
      </w:r>
      <w:r w:rsidRPr="001D71BB">
        <w:t xml:space="preserve"> berniukų dalis dažniau nei mergaitės renkasi alų</w:t>
      </w:r>
      <w:r>
        <w:t>,</w:t>
      </w:r>
      <w:r w:rsidRPr="001D71BB">
        <w:t xml:space="preserve"> </w:t>
      </w:r>
      <w:r>
        <w:t>o</w:t>
      </w:r>
      <w:r w:rsidRPr="001D71BB">
        <w:t xml:space="preserve"> </w:t>
      </w:r>
      <w:r>
        <w:t>m</w:t>
      </w:r>
      <w:r w:rsidRPr="001D71BB">
        <w:t>ergaitės dažniau renkasi silpnus alkoholinius gėrimus (sidrą, įvairius kokteilius su alkoholiu</w:t>
      </w:r>
      <w:r>
        <w:t xml:space="preserve">, </w:t>
      </w:r>
      <w:r w:rsidRPr="00A7019A">
        <w:t>7 priedo 2 pav</w:t>
      </w:r>
      <w:r>
        <w:t>.</w:t>
      </w:r>
      <w:r w:rsidRPr="001D71BB">
        <w:t>).</w:t>
      </w:r>
      <w:r>
        <w:t xml:space="preserve"> </w:t>
      </w:r>
      <w:r w:rsidRPr="001D71BB">
        <w:t>Didesnį berniukų alkoholio vartojimą rodo ir tai, kad jie dažniau nei mergaitės yra išgėrę tiek alkoholinių gėrimų jog jautėsi apsvaigę</w:t>
      </w:r>
      <w:r>
        <w:t xml:space="preserve"> (</w:t>
      </w:r>
      <w:r w:rsidRPr="00A7019A">
        <w:t>7 priedo 3 pav</w:t>
      </w:r>
      <w:r>
        <w:t>.)</w:t>
      </w:r>
      <w:r w:rsidRPr="001D71BB">
        <w:t xml:space="preserve">. </w:t>
      </w:r>
    </w:p>
    <w:p w:rsidR="00995BE0" w:rsidRPr="001D71BB" w:rsidRDefault="00995BE0" w:rsidP="001848A9">
      <w:pPr>
        <w:pStyle w:val="Sraopastraipa"/>
        <w:tabs>
          <w:tab w:val="left" w:pos="3084"/>
          <w:tab w:val="left" w:pos="4296"/>
        </w:tabs>
        <w:spacing w:line="360" w:lineRule="auto"/>
        <w:ind w:left="0" w:firstLine="567"/>
        <w:jc w:val="both"/>
      </w:pPr>
      <w:r w:rsidRPr="001D71BB">
        <w:t>Girtavimas yra alkoholio piktnaudžiavimo požymis. Dažnas ir sunkus alkoholio vartojimas sąlygoja blogesnę subjektyvia ir bendrą sveikatą bei didesnį naktų skaičių, praleistų ligoninėje nei tų kurie nevartoja a</w:t>
      </w:r>
      <w:r>
        <w:t>lkoholio (Johnson, Richter,</w:t>
      </w:r>
      <w:r w:rsidRPr="001D71BB">
        <w:t xml:space="preserve"> 2002).</w:t>
      </w:r>
      <w:r>
        <w:t xml:space="preserve"> </w:t>
      </w:r>
      <w:r w:rsidRPr="001D71BB">
        <w:t>Taip pat yra stiprus ryšys tarp paauglių piktnaudžiavimo alkoholiu ir kitų daugybės elgesio ar būsenos, tokių kaip rūkymas, nelegalus n</w:t>
      </w:r>
      <w:r>
        <w:t>arkotikų vartojimas (Johnston</w:t>
      </w:r>
      <w:r w:rsidRPr="001D71BB">
        <w:t xml:space="preserve"> ir kt., 2002), nesaugus lytinis elgesys (Johnston ir kt., 2002; Cooper</w:t>
      </w:r>
      <w:r>
        <w:t>,</w:t>
      </w:r>
      <w:r w:rsidRPr="001D71BB">
        <w:t xml:space="preserve"> 2002), pavojingas elgesys, nuotaikos sutrikimai (Rohde ir kt.</w:t>
      </w:r>
      <w:r>
        <w:t>,</w:t>
      </w:r>
      <w:r w:rsidRPr="001D71BB">
        <w:t xml:space="preserve">1995), valgio sutrikimai </w:t>
      </w:r>
      <w:r>
        <w:t>ir nutukimas (Breslow</w:t>
      </w:r>
      <w:r w:rsidRPr="001D71BB">
        <w:t xml:space="preserve">, 2005). Įrodyta, kad tokio elgesio jauni žmonės gyvena aukštos </w:t>
      </w:r>
      <w:r>
        <w:t>rizikos gyvenimo būdą (Pickett</w:t>
      </w:r>
      <w:r w:rsidRPr="001D71BB">
        <w:t>, 2002).</w:t>
      </w:r>
    </w:p>
    <w:p w:rsidR="00995BE0" w:rsidRPr="001D71BB" w:rsidRDefault="00995BE0" w:rsidP="00832857">
      <w:pPr>
        <w:pStyle w:val="Sraopastraipa"/>
        <w:tabs>
          <w:tab w:val="left" w:pos="3084"/>
          <w:tab w:val="left" w:pos="4296"/>
        </w:tabs>
        <w:spacing w:line="360" w:lineRule="auto"/>
        <w:ind w:left="0" w:firstLine="567"/>
        <w:jc w:val="both"/>
      </w:pPr>
      <w:r w:rsidRPr="001D71BB">
        <w:t>Ankstyvas girtumas yra apibūdinamas, kada vaikas pirmą kartą pasijunta girtu 13 m. ir jaunesnio amžiaus</w:t>
      </w:r>
      <w:r>
        <w:t xml:space="preserve"> (Inequalities in young people‘s health, 2008). </w:t>
      </w:r>
      <w:r w:rsidRPr="001D71BB">
        <w:t>Pažymima, kad ankstyva pradžia ir anksti pradėjus vartoti chemines medžiagas yra ypač svarbūs (ir potencialiai išvengiami) vėlesnių problemų su alkoholiu ženklai</w:t>
      </w:r>
      <w:r w:rsidRPr="001D71BB">
        <w:rPr>
          <w:b/>
        </w:rPr>
        <w:t xml:space="preserve">. </w:t>
      </w:r>
      <w:r w:rsidRPr="001D71BB">
        <w:t>Tai labiausiai atitinka tiriant suaugusiųjų problemas susijusias su alkoholio vartojimu (De Wit DJ et al. Age 2000; Kraus</w:t>
      </w:r>
      <w:r>
        <w:t>,</w:t>
      </w:r>
      <w:r w:rsidRPr="001D71BB">
        <w:t xml:space="preserve"> 2000)</w:t>
      </w:r>
      <w:r>
        <w:t>,</w:t>
      </w:r>
      <w:r w:rsidRPr="001D71BB">
        <w:t xml:space="preserve"> bet taip pat ir tiesiogiai susijęs su paauglių alkoholio vartojimu ir piktnaudžiavimu (Ferg</w:t>
      </w:r>
      <w:r>
        <w:t>usson ir kt., 1994; Gruber</w:t>
      </w:r>
      <w:r w:rsidRPr="001D71BB">
        <w:t>,1996).</w:t>
      </w:r>
    </w:p>
    <w:p w:rsidR="00995BE0" w:rsidRPr="001D71BB" w:rsidRDefault="00995BE0" w:rsidP="00832857">
      <w:pPr>
        <w:pStyle w:val="Sraopastraipa"/>
        <w:tabs>
          <w:tab w:val="left" w:pos="3084"/>
          <w:tab w:val="left" w:pos="4296"/>
        </w:tabs>
        <w:spacing w:line="360" w:lineRule="auto"/>
        <w:ind w:left="0" w:firstLine="567"/>
        <w:jc w:val="both"/>
      </w:pPr>
      <w:r w:rsidRPr="001D71BB">
        <w:t>Net 21,1 proc. berniukų, mokinių gyvensenos tyrimo metu (2010 m.) teigė, kad pirmą kartą pabandė rūkyti būdami 11 metų ar jaunesni (</w:t>
      </w:r>
      <w:r w:rsidRPr="00A7019A">
        <w:t>7 priedo 1 lentelė</w:t>
      </w:r>
      <w:r w:rsidRPr="001D71BB">
        <w:t>), mergaičių didžiausia dalis (22,4 proc.) – būdamos 14 m. Pirmą kartą išgėrė alkoholinių gėrimų 41 proc. berniukų būdami 13-14 m. Apsvaigę nuo alkoholio berniukai pirmą kartą pasijuto būdami taip pat jaunesni nei mergaitės.</w:t>
      </w:r>
    </w:p>
    <w:p w:rsidR="00995BE0" w:rsidRPr="001D71BB" w:rsidRDefault="00995BE0" w:rsidP="00832857">
      <w:pPr>
        <w:pStyle w:val="Sraopastraipa"/>
        <w:tabs>
          <w:tab w:val="left" w:pos="3084"/>
          <w:tab w:val="left" w:pos="4296"/>
        </w:tabs>
        <w:spacing w:line="360" w:lineRule="auto"/>
        <w:ind w:left="0" w:firstLine="567"/>
        <w:jc w:val="both"/>
      </w:pPr>
      <w:r w:rsidRPr="001D71BB">
        <w:t>2006 m. tarptautinio mokinių gyvensenos tyrimo metu respondentai buvo klausiami ar jie kada buvo išgėrę tiek daug alkoholio, jog jautėsi „tikrai girti“. Pastebėta, kad esant vyresniam vaikų amžiui, Lietuva tarptautiniu lygiu užima vis aukštesnę poziciją. Jeigu 11 m. mokinių 1 proc. mergaičių ir 6 proc. berniukų teigė buvę girti mažiausiai 2 kartus per savo gyvenimą, tai 15 m. tokių vaikų buvo žymiai daugiau – 50 proc. mergaičių ir 57 proc. berniukų, ir pagal visas tyrime dalyvavusių šalių užėmė antrą vietą po Danijos</w:t>
      </w:r>
      <w:r>
        <w:t xml:space="preserve"> (</w:t>
      </w:r>
      <w:r w:rsidRPr="00A7019A">
        <w:t>9 priedo 5 pav.).</w:t>
      </w:r>
      <w:r>
        <w:t xml:space="preserve"> Lietuva tarptautiniu lygiu užima vieną pirmaujančių vietų analizuojant mokinių, kurie teigė pirmą kartą pasijutę girti būdami 13 m. ar</w:t>
      </w:r>
      <w:r w:rsidRPr="00A315EB">
        <w:t xml:space="preserve"> </w:t>
      </w:r>
      <w:r>
        <w:t>jaunesni (</w:t>
      </w:r>
      <w:r w:rsidRPr="00A7019A">
        <w:t>9 priedo 4 pav.</w:t>
      </w:r>
      <w:r>
        <w:t>).</w:t>
      </w:r>
    </w:p>
    <w:p w:rsidR="00995BE0" w:rsidRPr="001D71BB" w:rsidRDefault="00995BE0" w:rsidP="00832857">
      <w:pPr>
        <w:pStyle w:val="Sraopastraipa"/>
        <w:tabs>
          <w:tab w:val="left" w:pos="3084"/>
          <w:tab w:val="left" w:pos="4296"/>
        </w:tabs>
        <w:spacing w:line="360" w:lineRule="auto"/>
        <w:ind w:left="0" w:firstLine="567"/>
        <w:jc w:val="both"/>
      </w:pPr>
      <w:r w:rsidRPr="001D71BB">
        <w:t>Šiaulių miesto mokiniai iš visų narkotinių medžiagų dažniausiai yra vartoję kanapes („žolę“, marihuaną, hašišą). 15,8</w:t>
      </w:r>
      <w:r>
        <w:t xml:space="preserve"> </w:t>
      </w:r>
      <w:r w:rsidRPr="001D71BB">
        <w:t xml:space="preserve">proc. berniukų ir tokia pati dalis mergaičių teigė yra vartoję kanapes 1-2 kartus per savo gyvenimą. 40 ir daugiau kartų šiuos narkotikus vartojo pavieniai mokiniai. Klijus yra uostę 3,8 proc. berniukų ir 2,6 proc. mergaičių 1-2 kartus per savo gyvenimą. 40 ir daugiau </w:t>
      </w:r>
      <w:r w:rsidRPr="001D71BB">
        <w:lastRenderedPageBreak/>
        <w:t>kartų tik pavieniai asmenys uostė klijus. Kitokių narkotinių medžiagų vartojimas pastebėtas gana menkas</w:t>
      </w:r>
      <w:r>
        <w:t xml:space="preserve"> (</w:t>
      </w:r>
      <w:r w:rsidRPr="00A7019A">
        <w:t>7 priedo 2-4 lentelės</w:t>
      </w:r>
      <w:r>
        <w:t>)</w:t>
      </w:r>
      <w:r w:rsidRPr="001D71BB">
        <w:t>.</w:t>
      </w:r>
    </w:p>
    <w:p w:rsidR="00995BE0" w:rsidRPr="001D71BB" w:rsidRDefault="00995BE0" w:rsidP="001848A9">
      <w:pPr>
        <w:tabs>
          <w:tab w:val="left" w:pos="1692"/>
        </w:tabs>
        <w:spacing w:line="360" w:lineRule="auto"/>
        <w:ind w:firstLine="567"/>
        <w:jc w:val="both"/>
      </w:pPr>
      <w:r w:rsidRPr="001848A9">
        <w:rPr>
          <w:b/>
          <w:i/>
        </w:rPr>
        <w:t>Patyčios.</w:t>
      </w:r>
      <w:r>
        <w:rPr>
          <w:b/>
        </w:rPr>
        <w:t xml:space="preserve"> </w:t>
      </w:r>
      <w:r w:rsidRPr="001D71BB">
        <w:t>Reikia pripažinti, kad jaunimo ir paauglių santykiai vis dažniau grindžiami smurtu. Įvairios traumos dėl pačių vaikų kaltės ar sukeltos nelaimingų (netyčinių) atsitikimų yra vienos iš pagrindinių vaikų, vyresnių nei vienerių metų, ir paauglių mirties priežasčių (</w:t>
      </w:r>
      <w:r>
        <w:rPr>
          <w:sz w:val="22"/>
          <w:szCs w:val="22"/>
        </w:rPr>
        <w:t xml:space="preserve">Sveikata visiems XXI amžiuje, </w:t>
      </w:r>
      <w:r w:rsidRPr="001C7068">
        <w:rPr>
          <w:sz w:val="22"/>
          <w:szCs w:val="22"/>
        </w:rPr>
        <w:t>1998</w:t>
      </w:r>
      <w:r w:rsidRPr="001D71BB">
        <w:t>).</w:t>
      </w:r>
      <w:r>
        <w:t xml:space="preserve"> </w:t>
      </w:r>
      <w:r w:rsidRPr="001D71BB">
        <w:t>Šiaulių miesto mokinių gyvensenos tyrimo duomenimis, tiek mergaitės, tiek ir berniukai per pastaruosius 2 mėnesius patyrė patyčias. Dažniau su jomis susiduria berniukai nei mergaitės (</w:t>
      </w:r>
      <w:bookmarkStart w:id="70" w:name="OLE_LINK26"/>
      <w:bookmarkStart w:id="71" w:name="OLE_LINK27"/>
      <w:r>
        <w:t xml:space="preserve">7 </w:t>
      </w:r>
      <w:r w:rsidRPr="00A7019A">
        <w:t>pried</w:t>
      </w:r>
      <w:r>
        <w:t>o 4 pav</w:t>
      </w:r>
      <w:bookmarkEnd w:id="70"/>
      <w:bookmarkEnd w:id="71"/>
      <w:r>
        <w:t>.</w:t>
      </w:r>
      <w:r w:rsidRPr="001D71BB">
        <w:t>) (p&gt;0,05).</w:t>
      </w:r>
      <w:r>
        <w:t xml:space="preserve"> </w:t>
      </w:r>
      <w:r w:rsidRPr="001D71BB">
        <w:t>Iš kitų mokinių tyčiojosi taip pat didesnė dalis berniukų</w:t>
      </w:r>
      <w:r>
        <w:t xml:space="preserve"> </w:t>
      </w:r>
      <w:r w:rsidRPr="001D71BB">
        <w:t>(</w:t>
      </w:r>
      <w:r w:rsidRPr="00A7019A">
        <w:t>7</w:t>
      </w:r>
      <w:r>
        <w:t xml:space="preserve"> </w:t>
      </w:r>
      <w:r w:rsidRPr="00A7019A">
        <w:t>priedo 5 pav</w:t>
      </w:r>
      <w:r>
        <w:t>.)</w:t>
      </w:r>
      <w:r w:rsidRPr="001D71BB">
        <w:t xml:space="preserve"> (p&lt;0,05).</w:t>
      </w:r>
    </w:p>
    <w:p w:rsidR="00995BE0" w:rsidRPr="001D71BB" w:rsidRDefault="00995BE0" w:rsidP="00832857">
      <w:pPr>
        <w:tabs>
          <w:tab w:val="left" w:pos="1692"/>
        </w:tabs>
        <w:spacing w:line="360" w:lineRule="auto"/>
        <w:ind w:firstLine="540"/>
        <w:jc w:val="both"/>
      </w:pPr>
      <w:r w:rsidRPr="001D71BB">
        <w:t>Tarptautiniu mastu Lietuvos vaikų padėtis pagal patyčių skaičių – viena blogiausių. 2006 m. mokinių gyvensenos tyrimų rezultatai rodo, kad 11 m. bei 15 m. amžiaus vaikai užima antrą vietą pagal patirtų patyčių skaičių., tuo tarpu 13 m. mokiniai – pirmą vietą. Iš kitų tyčiojasi taip pat nemaža dalis Lietuvos vaikų, lyginant su kitomis šalimis. Vyresni mokiniai labiau tyčiojasi iš kitų vaikų; jei 11 metų amžiaus mokiniai, kurie tyčiojosi iš kitų, užėmė penktą vietą, tai 15 metų amžiaus – pirmąją (22 proc. mergaičių ir 34 proc. berniukų) (</w:t>
      </w:r>
      <w:r>
        <w:t xml:space="preserve">9 </w:t>
      </w:r>
      <w:r w:rsidRPr="00A7019A">
        <w:t>priedo 6-11 pav</w:t>
      </w:r>
      <w:r>
        <w:t>.)</w:t>
      </w:r>
      <w:r w:rsidRPr="001D71BB">
        <w:t xml:space="preserve">.      </w:t>
      </w:r>
    </w:p>
    <w:p w:rsidR="00995BE0" w:rsidRPr="001D71BB" w:rsidRDefault="00995BE0" w:rsidP="00850096">
      <w:pPr>
        <w:autoSpaceDE w:val="0"/>
        <w:autoSpaceDN w:val="0"/>
        <w:adjustRightInd w:val="0"/>
        <w:spacing w:line="360" w:lineRule="auto"/>
        <w:ind w:firstLine="567"/>
        <w:jc w:val="both"/>
      </w:pPr>
      <w:r w:rsidRPr="001D71BB">
        <w:t xml:space="preserve">  </w:t>
      </w:r>
      <w:r w:rsidRPr="001D71BB">
        <w:rPr>
          <w:b/>
        </w:rPr>
        <w:t>Savižudybės</w:t>
      </w:r>
      <w:r>
        <w:rPr>
          <w:b/>
        </w:rPr>
        <w:t xml:space="preserve">. </w:t>
      </w:r>
      <w:r w:rsidRPr="001D71BB">
        <w:t>Mintys apie savižudybę – skaudi tema, todėl mes dažnai vengiame apie tai kalbėti. Tačiau apie jas žinoti yra labai svarbu, nes tik taip galėsime geriau suprasti ir padėti vieni kitiems.</w:t>
      </w:r>
      <w:r>
        <w:t xml:space="preserve"> </w:t>
      </w:r>
      <w:r w:rsidRPr="001D71BB">
        <w:t xml:space="preserve">Nors kartą rimtai apie savižudybę pagalvojo 10,3 proc. </w:t>
      </w:r>
      <w:r>
        <w:t xml:space="preserve">Šiaulių miesto </w:t>
      </w:r>
      <w:r w:rsidRPr="001D71BB">
        <w:t>berniukų ir 11,2 proc. mergaičių. Kūrusių planus apie savižudybę buvo daugiau mergaičių nei berniukų, atitinkamai: 3,3 proc. ir 2,8 proc. (</w:t>
      </w:r>
      <w:r w:rsidRPr="00A7019A">
        <w:t>7 priedo 6 pav</w:t>
      </w:r>
      <w:r>
        <w:t>.</w:t>
      </w:r>
      <w:r w:rsidRPr="001D71BB">
        <w:t xml:space="preserve">). </w:t>
      </w:r>
    </w:p>
    <w:p w:rsidR="00995BE0" w:rsidRPr="001D71BB" w:rsidRDefault="00995BE0" w:rsidP="00832857">
      <w:pPr>
        <w:tabs>
          <w:tab w:val="left" w:pos="1692"/>
        </w:tabs>
        <w:spacing w:line="360" w:lineRule="auto"/>
        <w:ind w:firstLine="567"/>
        <w:jc w:val="both"/>
      </w:pPr>
      <w:r w:rsidRPr="001D71BB">
        <w:t>Vilniaus universiteto mokslininkų 2004 m. atliktas Lietuvos vaikų psichikos sveikatos epidemiologinis tyrimas parodė, kad su psichikos sveikata susijusių problemų turi 41,7 proc. mokyklinio amžiaus vaikų. Labai svarbu suprasti, kad čia kalbame ne apie psichikos sveikatos sutrikimus kaip diagnostinę kategoriją, bet būtent apie vaikų problemas – dažnai trumpalaikes, susijusias su nuotaikų svyravimais, nerimu, dideliu krūviu, konfliktais su tėvais, draugais ir mokytojais (</w:t>
      </w:r>
      <w:r w:rsidRPr="009B1212">
        <w:rPr>
          <w:sz w:val="22"/>
          <w:szCs w:val="22"/>
        </w:rPr>
        <w:t>Goštautas, Davidonienė, 2010</w:t>
      </w:r>
      <w:r w:rsidRPr="001D71BB">
        <w:t>).</w:t>
      </w:r>
    </w:p>
    <w:p w:rsidR="00995BE0" w:rsidRPr="001D71BB" w:rsidRDefault="00995BE0" w:rsidP="00034E9E">
      <w:pPr>
        <w:spacing w:line="360" w:lineRule="auto"/>
        <w:ind w:firstLine="567"/>
        <w:jc w:val="both"/>
      </w:pPr>
      <w:bookmarkStart w:id="72" w:name="_Toc282952227"/>
      <w:bookmarkStart w:id="73" w:name="_Toc285659295"/>
      <w:bookmarkStart w:id="74" w:name="_Toc285660856"/>
      <w:bookmarkStart w:id="75" w:name="_Toc286342085"/>
      <w:bookmarkStart w:id="76" w:name="_Toc286781160"/>
      <w:bookmarkStart w:id="77" w:name="_Toc286781887"/>
      <w:bookmarkStart w:id="78" w:name="_Toc287013626"/>
      <w:bookmarkStart w:id="79" w:name="_Toc288140986"/>
      <w:bookmarkStart w:id="80" w:name="_Toc288142364"/>
      <w:bookmarkStart w:id="81" w:name="_Toc288488896"/>
      <w:r w:rsidRPr="00034E9E">
        <w:rPr>
          <w:b/>
          <w:i/>
        </w:rPr>
        <w:t>Susižeidimai ir kiti nelaimingi atsitikimai</w:t>
      </w:r>
      <w:bookmarkEnd w:id="72"/>
      <w:bookmarkEnd w:id="73"/>
      <w:bookmarkEnd w:id="74"/>
      <w:bookmarkEnd w:id="75"/>
      <w:bookmarkEnd w:id="76"/>
      <w:bookmarkEnd w:id="77"/>
      <w:bookmarkEnd w:id="78"/>
      <w:r w:rsidRPr="00004DEC">
        <w:t>.</w:t>
      </w:r>
      <w:r>
        <w:t xml:space="preserve"> </w:t>
      </w:r>
      <w:r w:rsidRPr="00850096">
        <w:rPr>
          <w:rStyle w:val="prastasistinklapisDiagrama"/>
        </w:rPr>
        <w:t>Tyrimo metu pasitvirtino tai, jog dažniau traumas ar sužeidimus patiria berniukai nei mergaitės. Nei karto nesusižeidė daugiau nei trečdalis berniukų (36,9 proc.) ir daugiau nei pusė mergaičių (55,7 proc.) (</w:t>
      </w:r>
      <w:r>
        <w:rPr>
          <w:rStyle w:val="prastasistinklapisDiagrama"/>
        </w:rPr>
        <w:t>23</w:t>
      </w:r>
      <w:r w:rsidRPr="00850096">
        <w:rPr>
          <w:rStyle w:val="prastasistinklapisDiagrama"/>
        </w:rPr>
        <w:t xml:space="preserve"> pav.).</w:t>
      </w:r>
      <w:bookmarkEnd w:id="79"/>
      <w:bookmarkEnd w:id="80"/>
      <w:r>
        <w:rPr>
          <w:rStyle w:val="prastasistinklapisDiagrama"/>
        </w:rPr>
        <w:t xml:space="preserve"> Dažniausiai susižeidžiama namuose (</w:t>
      </w:r>
      <w:r w:rsidRPr="00231700">
        <w:rPr>
          <w:rStyle w:val="prastasistinklapisDiagrama"/>
        </w:rPr>
        <w:t>7 priedo 7 pav</w:t>
      </w:r>
      <w:r w:rsidRPr="00454170">
        <w:rPr>
          <w:rStyle w:val="prastasistinklapisDiagrama"/>
        </w:rPr>
        <w:t>.).</w:t>
      </w:r>
      <w:bookmarkEnd w:id="81"/>
      <w:r>
        <w:rPr>
          <w:rStyle w:val="prastasistinklapisDiagrama"/>
        </w:rPr>
        <w:t xml:space="preserve"> Nedidelė dalis mokinių dedasi šalmą važinėdami dviračiu (7 priedo 8 pav.), atšvaitus tamsiu paros metu didžioji dalis mokinių nešioja kartais (7 priedo 9 pav.).</w:t>
      </w:r>
    </w:p>
    <w:p w:rsidR="00995BE0" w:rsidRPr="001D71BB" w:rsidRDefault="00A54FAC" w:rsidP="00832857">
      <w:pPr>
        <w:spacing w:line="360" w:lineRule="auto"/>
        <w:jc w:val="center"/>
      </w:pPr>
      <w:r>
        <w:rPr>
          <w:noProof/>
        </w:rPr>
        <w:lastRenderedPageBreak/>
        <w:drawing>
          <wp:inline distT="0" distB="0" distL="0" distR="0">
            <wp:extent cx="6061075" cy="1842135"/>
            <wp:effectExtent l="0" t="0" r="0" b="0"/>
            <wp:docPr id="24" name="Objekta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95BE0" w:rsidRPr="00BC0060" w:rsidRDefault="00995BE0" w:rsidP="00832857">
      <w:pPr>
        <w:spacing w:line="360" w:lineRule="auto"/>
        <w:jc w:val="center"/>
        <w:rPr>
          <w:b/>
          <w:sz w:val="22"/>
          <w:szCs w:val="22"/>
        </w:rPr>
      </w:pPr>
      <w:r>
        <w:rPr>
          <w:b/>
          <w:sz w:val="22"/>
          <w:szCs w:val="22"/>
        </w:rPr>
        <w:t xml:space="preserve">23 </w:t>
      </w:r>
      <w:r w:rsidRPr="00BC0060">
        <w:rPr>
          <w:b/>
          <w:sz w:val="22"/>
          <w:szCs w:val="22"/>
        </w:rPr>
        <w:t>pav</w:t>
      </w:r>
      <w:r w:rsidRPr="00BC0060">
        <w:rPr>
          <w:sz w:val="22"/>
          <w:szCs w:val="22"/>
        </w:rPr>
        <w:t>. Mokinių pasiskirstymas pagal tai kiek kartų per pastaruosius 12 mėn. buvo susižeidę (proc.)</w:t>
      </w:r>
    </w:p>
    <w:p w:rsidR="00995BE0" w:rsidRDefault="00995BE0" w:rsidP="001A6855">
      <w:pPr>
        <w:jc w:val="center"/>
        <w:rPr>
          <w:sz w:val="20"/>
          <w:szCs w:val="20"/>
        </w:rPr>
      </w:pPr>
      <w:r>
        <w:rPr>
          <w:sz w:val="20"/>
          <w:szCs w:val="20"/>
        </w:rPr>
        <w:t xml:space="preserve">Šaltinis: Šiaulių miesto mokinių gyvensenos tyrimas. (2011). Šiaulių miesto savivaldybės visuomenės sveikatos biuras [interaktyvus] [žiūrėta 2010-12-15]. Prieiga per internetą: </w:t>
      </w:r>
      <w:hyperlink r:id="rId51" w:history="1">
        <w:r w:rsidRPr="00B57A80">
          <w:rPr>
            <w:rStyle w:val="Hipersaitas"/>
            <w:sz w:val="20"/>
            <w:szCs w:val="20"/>
          </w:rPr>
          <w:t>http://www.sveikatos-biuras.lt/index.php?id=672</w:t>
        </w:r>
      </w:hyperlink>
    </w:p>
    <w:p w:rsidR="00995BE0" w:rsidRPr="00231700" w:rsidRDefault="00995BE0" w:rsidP="00832857">
      <w:pPr>
        <w:spacing w:line="360" w:lineRule="auto"/>
        <w:jc w:val="center"/>
        <w:rPr>
          <w:sz w:val="20"/>
          <w:szCs w:val="20"/>
        </w:rPr>
      </w:pPr>
    </w:p>
    <w:p w:rsidR="00995BE0" w:rsidRDefault="00995BE0" w:rsidP="00D83247">
      <w:pPr>
        <w:spacing w:line="360" w:lineRule="auto"/>
        <w:ind w:firstLine="567"/>
        <w:jc w:val="both"/>
      </w:pPr>
    </w:p>
    <w:p w:rsidR="00995BE0" w:rsidRDefault="00995BE0" w:rsidP="00D83247">
      <w:pPr>
        <w:spacing w:line="360" w:lineRule="auto"/>
        <w:ind w:firstLine="567"/>
        <w:jc w:val="both"/>
      </w:pPr>
      <w:r w:rsidRPr="001D71BB">
        <w:t>Analizuojant Lietuvos vaikų traumatizmo padėtį 2006 m. vykusio HBSC tyrimo rezultatų duomenimis, Lietuva buvo tarp pirmaujančių šalių pagal traumų patyrimą per pastaruosius 12 mėnesių.</w:t>
      </w:r>
    </w:p>
    <w:p w:rsidR="00995BE0" w:rsidRPr="001D71BB" w:rsidRDefault="00995BE0" w:rsidP="00D83247">
      <w:pPr>
        <w:spacing w:line="360" w:lineRule="auto"/>
        <w:ind w:firstLine="567"/>
        <w:jc w:val="both"/>
        <w:textAlignment w:val="top"/>
      </w:pPr>
      <w:r w:rsidRPr="001D71BB">
        <w:t xml:space="preserve"> Vaikų dantų priežiūra yra labai svarbi sveikatos dalis. Dvi pagrindinės dantų ligos – kariesas ir periodonto ligos – gali būti laikomos kaip tam tikrų įpročių ligos, nuo kurių apsisaugoti yra gana paprasta laikantis teisingos burnos higienos ir ribojant cukraus vartojimą.</w:t>
      </w:r>
    </w:p>
    <w:p w:rsidR="00995BE0" w:rsidRDefault="00995BE0" w:rsidP="00D83247">
      <w:pPr>
        <w:spacing w:line="360" w:lineRule="auto"/>
        <w:ind w:firstLine="567"/>
        <w:jc w:val="both"/>
        <w:textAlignment w:val="top"/>
      </w:pPr>
      <w:r w:rsidRPr="001D71BB">
        <w:t>Visuotinai rekomenduojamas dantų valymo dažnis - du kartus per dieną (Löe, 2000).</w:t>
      </w:r>
      <w:r>
        <w:t xml:space="preserve"> </w:t>
      </w:r>
      <w:r w:rsidRPr="001D71BB">
        <w:t>64,4 proc. mergaičių ir 42,6 proc. berniukų teigė, kad dantis valosi daugiau nei vieną kartą per dieną. Kartą per dieną dantis valosi didesnė dalis berniukų nei mergaičių, atitinkamai: 41,2 proc. ir</w:t>
      </w:r>
      <w:r>
        <w:t xml:space="preserve"> 31 proc. </w:t>
      </w:r>
      <w:r w:rsidRPr="001D71BB">
        <w:t>(p&lt;0,05)</w:t>
      </w:r>
      <w:r>
        <w:t xml:space="preserve"> (</w:t>
      </w:r>
      <w:r w:rsidRPr="00A7019A">
        <w:t>7 priedo 10 pav</w:t>
      </w:r>
      <w:r>
        <w:t>.)</w:t>
      </w:r>
      <w:r w:rsidRPr="001D71BB">
        <w:t xml:space="preserve">. </w:t>
      </w:r>
      <w:r>
        <w:t xml:space="preserve">Lyginant su kitomis pasaulio valstybėmis, </w:t>
      </w:r>
      <w:r w:rsidRPr="001D71BB">
        <w:t>Lietuvos 11-15 m. amžiaus vaikų burnos higienos įpročiai gana prasti. 11 m. ir 13 m. amžiaus vaikus 2006 m. tarptautinio HBSC tyrimo metu lenkė tik Turkija ir Malta, pastarųjų burnos higiena dar prastesnė. Lyginant 15 m. amžiaus vaikų, kurie dantis valosi daugiau nei 1 kartą per dieną, pasiskirstymą, Lietuvos vaikai buvo 4 vietoje nuo pabaigos (58 proc. mergaičių ir 33 proc. berniukų)</w:t>
      </w:r>
      <w:r>
        <w:t xml:space="preserve"> (</w:t>
      </w:r>
      <w:r w:rsidRPr="00A7019A">
        <w:t>9 priedo 2-3 pav.</w:t>
      </w:r>
      <w:r>
        <w:t>)</w:t>
      </w:r>
      <w:r w:rsidRPr="001D71BB">
        <w:t>.</w:t>
      </w:r>
      <w:r>
        <w:t xml:space="preserve"> </w:t>
      </w:r>
    </w:p>
    <w:p w:rsidR="00995BE0" w:rsidRDefault="00995BE0" w:rsidP="00E12D2C">
      <w:pPr>
        <w:autoSpaceDE w:val="0"/>
        <w:autoSpaceDN w:val="0"/>
        <w:adjustRightInd w:val="0"/>
        <w:spacing w:line="360" w:lineRule="auto"/>
        <w:ind w:firstLine="600"/>
        <w:jc w:val="both"/>
      </w:pPr>
      <w:r w:rsidRPr="00755BE9">
        <w:t>Vaikų sveikatą, kaip vieną iš svarbiausių prioritetų pabrėžė ir tyrime dalyvavę ekspertai. E1 mano, kad biurai taip pat turėtų rūpintis ir ikimokyklinio amžiaus vaikų sveikata, t.y., šiose įstaigose turėtų dirbti visuomenės sveikatos specialistai</w:t>
      </w:r>
      <w:r>
        <w:t>: „</w:t>
      </w:r>
      <w:r w:rsidRPr="001D71BB">
        <w:t>Ypatingai turi didelį įnašą daryti nuo  ikimokyklinukų, neaplenkiant ir moksleivių. Kokius jiems įgūdžius įskiepysime tokią kartą ir turėsime. Manau, kad šią sritį reiktų  daugiau stiprinti</w:t>
      </w:r>
      <w:r>
        <w:t>“</w:t>
      </w:r>
      <w:r w:rsidRPr="00755BE9">
        <w:t xml:space="preserve">. E2, E3, E7 ir E8 teigė, kad labai svarbu užtikrinti vaikų ir jaunimo sveikatą, o E2 ir E8 papildomai pridūrė, jog mokyklose turi būti atskira </w:t>
      </w:r>
      <w:r>
        <w:t>programa</w:t>
      </w:r>
      <w:r w:rsidRPr="00755BE9">
        <w:t xml:space="preserve"> sveikai </w:t>
      </w:r>
      <w:r>
        <w:t>gyvensenai propaguoti.</w:t>
      </w:r>
    </w:p>
    <w:p w:rsidR="00995BE0" w:rsidRPr="00755BE9" w:rsidRDefault="00995BE0" w:rsidP="00E12D2C">
      <w:pPr>
        <w:autoSpaceDE w:val="0"/>
        <w:autoSpaceDN w:val="0"/>
        <w:adjustRightInd w:val="0"/>
        <w:spacing w:line="360" w:lineRule="auto"/>
        <w:ind w:firstLine="600"/>
        <w:jc w:val="both"/>
      </w:pPr>
      <w:r>
        <w:t xml:space="preserve">Šioje srityje Šiaulių visuomenės sveikatos biuras skiria didelį dėmesį. Visuomenės sveikatos priežiūros specialistai, dirbantys mokyklose gali kurti sveikatinimo veiklas, organizuoti sveikatos </w:t>
      </w:r>
      <w:r>
        <w:lastRenderedPageBreak/>
        <w:t>mokymus, seminarus, konferencijas ir pan.,</w:t>
      </w:r>
      <w:r w:rsidRPr="00A4007A">
        <w:t xml:space="preserve"> </w:t>
      </w:r>
      <w:r>
        <w:t>padėti mokiniams saugoti ir stiprinti sveikatą, organizuojant ir įgyvendinant priemones, susijusias su ligų ir traumų profilaktika. Būtina įtraukti į šią veiklą ir tėvus, mokyklos bendruomenę, kitus socialinius partnerius.</w:t>
      </w:r>
    </w:p>
    <w:p w:rsidR="00995BE0" w:rsidRPr="00D51B91" w:rsidRDefault="00995BE0" w:rsidP="00D51B91">
      <w:pPr>
        <w:pStyle w:val="Antrat3"/>
        <w:rPr>
          <w:rFonts w:cs="Times New Roman"/>
          <w:szCs w:val="24"/>
        </w:rPr>
      </w:pPr>
      <w:bookmarkStart w:id="82" w:name="_Toc293248637"/>
      <w:r>
        <w:rPr>
          <w:rFonts w:cs="Times New Roman"/>
          <w:szCs w:val="24"/>
        </w:rPr>
        <w:t>2</w:t>
      </w:r>
      <w:r w:rsidRPr="00D51B91">
        <w:rPr>
          <w:rFonts w:cs="Times New Roman"/>
          <w:szCs w:val="24"/>
        </w:rPr>
        <w:t>.</w:t>
      </w:r>
      <w:r>
        <w:rPr>
          <w:rFonts w:cs="Times New Roman"/>
          <w:szCs w:val="24"/>
        </w:rPr>
        <w:t>3</w:t>
      </w:r>
      <w:r w:rsidRPr="00D51B91">
        <w:rPr>
          <w:rFonts w:cs="Times New Roman"/>
          <w:szCs w:val="24"/>
        </w:rPr>
        <w:t xml:space="preserve">.3 </w:t>
      </w:r>
      <w:r>
        <w:rPr>
          <w:rFonts w:cs="Times New Roman"/>
          <w:szCs w:val="24"/>
        </w:rPr>
        <w:t xml:space="preserve">Trečiasis prioritetas: </w:t>
      </w:r>
      <w:r w:rsidRPr="00D51B91">
        <w:rPr>
          <w:rFonts w:cs="Times New Roman"/>
          <w:szCs w:val="24"/>
        </w:rPr>
        <w:t>sveikas senėjimas</w:t>
      </w:r>
      <w:bookmarkEnd w:id="82"/>
    </w:p>
    <w:p w:rsidR="00995BE0" w:rsidRPr="00016E5B" w:rsidRDefault="00995BE0" w:rsidP="00D83247">
      <w:pPr>
        <w:autoSpaceDE w:val="0"/>
        <w:autoSpaceDN w:val="0"/>
        <w:adjustRightInd w:val="0"/>
        <w:spacing w:line="360" w:lineRule="auto"/>
        <w:ind w:firstLine="480"/>
        <w:jc w:val="both"/>
      </w:pPr>
      <w:r>
        <w:t xml:space="preserve">Senėjimas </w:t>
      </w:r>
      <w:r w:rsidRPr="00016E5B">
        <w:t xml:space="preserve">– tai procesas, vykstantis visą žmogaus gyvenimą. Gyventojų rengimas senatvei turi būti socialinės politikos dalis ir apimti fizinį, psichologinį, kultūrinį, ekonominį, medicininį ir kitus pasirengimo būdus (Bagdonas ir kt., 2009). Sveikas senėjimas – tai vienas aktualiausių dalykų Europoje. Vis didėjantis pagyvenusių žmonių skaičius daro didžiulę įtaką Europos šalių ekonomikai, rūpybai, socialinei plėtrai, gerovei ir gerai savijautai, todėl būtina kaupti ir gilinti žinias apie tai, kaip skatinti pagyvenusių žmonių sveikatingumą bei gyvenimo kokybę ir kaip išvengti brangiai kainuojančių šio proceso padarinių visiems gyventojams (Sveikas senėjimas, 2007). </w:t>
      </w:r>
      <w:r w:rsidRPr="00016E5B">
        <w:rPr>
          <w:bCs/>
          <w:iCs/>
        </w:rPr>
        <w:t>Aktyvus sen</w:t>
      </w:r>
      <w:r w:rsidRPr="00016E5B">
        <w:t>ė</w:t>
      </w:r>
      <w:r w:rsidRPr="00016E5B">
        <w:rPr>
          <w:bCs/>
          <w:iCs/>
        </w:rPr>
        <w:t>jimas</w:t>
      </w:r>
      <w:r w:rsidRPr="00016E5B">
        <w:rPr>
          <w:b/>
          <w:bCs/>
          <w:i/>
          <w:iCs/>
        </w:rPr>
        <w:t xml:space="preserve"> </w:t>
      </w:r>
      <w:r w:rsidRPr="00016E5B">
        <w:t>(pagal PSO ir Europos Komisijos apibr</w:t>
      </w:r>
      <w:r>
        <w:t>ė</w:t>
      </w:r>
      <w:r w:rsidRPr="00016E5B">
        <w:t>žimą) apima mokymąsi visą</w:t>
      </w:r>
      <w:r>
        <w:t xml:space="preserve"> </w:t>
      </w:r>
      <w:r w:rsidRPr="00016E5B">
        <w:t>gyvenimą, ilgesnį darbą, v</w:t>
      </w:r>
      <w:r>
        <w:t>ė</w:t>
      </w:r>
      <w:r w:rsidRPr="00016E5B">
        <w:t>lesnį ir laipsniškesnį iš</w:t>
      </w:r>
      <w:r>
        <w:t>ė</w:t>
      </w:r>
      <w:r w:rsidRPr="00016E5B">
        <w:t>jimą į pensiją, ilgesnį aktyvumo išsaugojimą</w:t>
      </w:r>
      <w:r>
        <w:t xml:space="preserve"> </w:t>
      </w:r>
      <w:r w:rsidRPr="00016E5B">
        <w:t>iš</w:t>
      </w:r>
      <w:r>
        <w:t>ė</w:t>
      </w:r>
      <w:r w:rsidRPr="00016E5B">
        <w:t>jus į pensiją, geb</w:t>
      </w:r>
      <w:r>
        <w:t>ė</w:t>
      </w:r>
      <w:r w:rsidRPr="00016E5B">
        <w:t>jimus stiprinančią ir sveikatą palaikančią veiklą.</w:t>
      </w:r>
    </w:p>
    <w:p w:rsidR="00995BE0" w:rsidRPr="001D63BC" w:rsidRDefault="00995BE0" w:rsidP="00034E9E">
      <w:pPr>
        <w:spacing w:line="360" w:lineRule="auto"/>
        <w:ind w:firstLine="567"/>
        <w:jc w:val="both"/>
      </w:pPr>
      <w:bookmarkStart w:id="83" w:name="_Toc288488898"/>
      <w:r w:rsidRPr="00A444F0">
        <w:t>Pagal Pasaulio asamblėjos 1982 metų nutarimą senėjimo klausimais visuomenės senėjimą apibūdina gyventojų, sulaukusių 60 metų ir vyresnių, dalis (LR Seimo nutarimas</w:t>
      </w:r>
      <w:r w:rsidRPr="00B14E6D">
        <w:t xml:space="preserve"> Nr. 95-3501</w:t>
      </w:r>
      <w:r>
        <w:t xml:space="preserve"> 2004</w:t>
      </w:r>
      <w:r w:rsidRPr="00A444F0">
        <w:t xml:space="preserve">). </w:t>
      </w:r>
      <w:r w:rsidRPr="001D63BC">
        <w:t>Senėjimo klausimas problematiškas dėl kelių aspektų. Pirmiausia tai, kad Europos pagyvenusių moterų dalis yra didžiausia visame pasaulyje: 65–79 metų grupėje dviem vyrams tenka trys to paties amžiaus moterys. Todėl tikėtina, kad vienišų pagyvenusių moterų skaičius didės, todėl, kad jos gyvena ilgiau negu vyrai. Vienišos pagyvenusios moterys susijusios su didele skurdo tikimybe dėl mažesnių per savo gyvenimą uždirbtų pajamų bei mažesnės pensijos – tai kelia dar didesnį pavojų jų sveikatos būklei. Kitas aspektas tai, kad dėl gyventojų senėjimo atsiras vis daugiau pagyvenusių neįgalių žmonių, o tai blogina gyvenimo kokybę, didina hospitalizavimo ar gyvenimo slaugos namuose ir per ankstyvos mirties tikimybę, todėl vyresnių žmonių neįgalumo prevencija yra didelė visuomenės sveikatos problema, kuriai spręsti pasitelkiami moksliniai tyrimai ir politika.</w:t>
      </w:r>
      <w:bookmarkEnd w:id="83"/>
    </w:p>
    <w:p w:rsidR="00995BE0" w:rsidRDefault="00995BE0" w:rsidP="009002D5">
      <w:pPr>
        <w:autoSpaceDE w:val="0"/>
        <w:autoSpaceDN w:val="0"/>
        <w:adjustRightInd w:val="0"/>
        <w:spacing w:line="360" w:lineRule="auto"/>
        <w:ind w:firstLine="600"/>
        <w:jc w:val="both"/>
      </w:pPr>
      <w:r>
        <w:t>Siekis skatinti sveiką senatvę buvo išsakytas 1998 m. Europos regiono strategijoje „Sveikata visiems XXI a.“, kurioje teigiama, kad iki 2020 žmonėms, vyresniems nei 65 metai, turi būti užtikrinta galimybė tinkamai prižiūrėti sveikatą ir būti socialiai aktyviems.</w:t>
      </w:r>
    </w:p>
    <w:p w:rsidR="00995BE0" w:rsidRPr="00EA3A91" w:rsidRDefault="00995BE0" w:rsidP="00EA3A91">
      <w:pPr>
        <w:autoSpaceDE w:val="0"/>
        <w:autoSpaceDN w:val="0"/>
        <w:adjustRightInd w:val="0"/>
        <w:spacing w:line="360" w:lineRule="auto"/>
        <w:ind w:firstLine="600"/>
        <w:jc w:val="both"/>
      </w:pPr>
      <w:r w:rsidRPr="00EA3A91">
        <w:t>2005 m. apie trečdalį Europos gyventojų sudar</w:t>
      </w:r>
      <w:r>
        <w:t>ė</w:t>
      </w:r>
      <w:r w:rsidRPr="00EA3A91">
        <w:t xml:space="preserve"> vyresni nei 60 metų asmenys. </w:t>
      </w:r>
      <w:r>
        <w:t>Prognozuojama, kad i</w:t>
      </w:r>
      <w:r w:rsidRPr="00EA3A91">
        <w:t>ki 2014 m. 33 proc. padid</w:t>
      </w:r>
      <w:r>
        <w:t>ė</w:t>
      </w:r>
      <w:r w:rsidRPr="00EA3A91">
        <w:t>s vyresnių nei 80 m.</w:t>
      </w:r>
      <w:r>
        <w:t xml:space="preserve"> </w:t>
      </w:r>
      <w:r w:rsidRPr="00EA3A91">
        <w:t>žmonių skaičius.</w:t>
      </w:r>
    </w:p>
    <w:p w:rsidR="00995BE0" w:rsidRPr="00C33345" w:rsidRDefault="00A54FAC" w:rsidP="00C33345">
      <w:pPr>
        <w:autoSpaceDE w:val="0"/>
        <w:autoSpaceDN w:val="0"/>
        <w:adjustRightInd w:val="0"/>
        <w:spacing w:line="360" w:lineRule="auto"/>
        <w:jc w:val="center"/>
      </w:pPr>
      <w:r>
        <w:rPr>
          <w:noProof/>
        </w:rPr>
        <w:lastRenderedPageBreak/>
        <w:drawing>
          <wp:inline distT="0" distB="0" distL="0" distR="0">
            <wp:extent cx="5747385" cy="2077085"/>
            <wp:effectExtent l="19050" t="0" r="5715" b="0"/>
            <wp:docPr id="25"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52"/>
                    <a:srcRect/>
                    <a:stretch>
                      <a:fillRect/>
                    </a:stretch>
                  </pic:blipFill>
                  <pic:spPr bwMode="auto">
                    <a:xfrm>
                      <a:off x="0" y="0"/>
                      <a:ext cx="5747385" cy="2077085"/>
                    </a:xfrm>
                    <a:prstGeom prst="rect">
                      <a:avLst/>
                    </a:prstGeom>
                    <a:noFill/>
                    <a:ln w="9525">
                      <a:noFill/>
                      <a:miter lim="800000"/>
                      <a:headEnd/>
                      <a:tailEnd/>
                    </a:ln>
                  </pic:spPr>
                </pic:pic>
              </a:graphicData>
            </a:graphic>
          </wp:inline>
        </w:drawing>
      </w:r>
    </w:p>
    <w:p w:rsidR="00995BE0" w:rsidRPr="00B14E6D" w:rsidRDefault="00995BE0" w:rsidP="00F557A4">
      <w:pPr>
        <w:autoSpaceDE w:val="0"/>
        <w:autoSpaceDN w:val="0"/>
        <w:adjustRightInd w:val="0"/>
        <w:jc w:val="center"/>
        <w:rPr>
          <w:b/>
          <w:bCs/>
          <w:sz w:val="22"/>
          <w:szCs w:val="22"/>
        </w:rPr>
      </w:pPr>
      <w:r>
        <w:rPr>
          <w:b/>
          <w:bCs/>
          <w:sz w:val="22"/>
          <w:szCs w:val="22"/>
        </w:rPr>
        <w:t>24</w:t>
      </w:r>
      <w:r w:rsidRPr="00B14E6D">
        <w:rPr>
          <w:b/>
          <w:bCs/>
          <w:sz w:val="22"/>
          <w:szCs w:val="22"/>
        </w:rPr>
        <w:t xml:space="preserve"> pav. </w:t>
      </w:r>
      <w:r w:rsidRPr="00801522">
        <w:rPr>
          <w:bCs/>
          <w:sz w:val="22"/>
          <w:szCs w:val="22"/>
        </w:rPr>
        <w:t>ES valstybi</w:t>
      </w:r>
      <w:r w:rsidRPr="00801522">
        <w:rPr>
          <w:sz w:val="22"/>
          <w:szCs w:val="22"/>
        </w:rPr>
        <w:t xml:space="preserve">ų </w:t>
      </w:r>
      <w:r w:rsidRPr="00801522">
        <w:rPr>
          <w:bCs/>
          <w:sz w:val="22"/>
          <w:szCs w:val="22"/>
        </w:rPr>
        <w:t>nari</w:t>
      </w:r>
      <w:r w:rsidRPr="00801522">
        <w:rPr>
          <w:sz w:val="22"/>
          <w:szCs w:val="22"/>
        </w:rPr>
        <w:t xml:space="preserve">ų </w:t>
      </w:r>
      <w:r w:rsidRPr="00801522">
        <w:rPr>
          <w:bCs/>
          <w:sz w:val="22"/>
          <w:szCs w:val="22"/>
        </w:rPr>
        <w:t>gyventoj</w:t>
      </w:r>
      <w:r w:rsidRPr="00801522">
        <w:rPr>
          <w:sz w:val="22"/>
          <w:szCs w:val="22"/>
        </w:rPr>
        <w:t xml:space="preserve">ų </w:t>
      </w:r>
      <w:r w:rsidRPr="00801522">
        <w:rPr>
          <w:bCs/>
          <w:sz w:val="22"/>
          <w:szCs w:val="22"/>
        </w:rPr>
        <w:t>pasiskirstymas pagal amžiaus grupes (1950–2050 m.)</w:t>
      </w:r>
    </w:p>
    <w:p w:rsidR="00995BE0" w:rsidRDefault="00995BE0" w:rsidP="00801522">
      <w:pPr>
        <w:autoSpaceDE w:val="0"/>
        <w:autoSpaceDN w:val="0"/>
        <w:adjustRightInd w:val="0"/>
        <w:jc w:val="center"/>
        <w:rPr>
          <w:i/>
          <w:iCs/>
          <w:sz w:val="21"/>
          <w:szCs w:val="21"/>
        </w:rPr>
      </w:pPr>
      <w:r>
        <w:rPr>
          <w:sz w:val="21"/>
          <w:szCs w:val="21"/>
        </w:rPr>
        <w:t xml:space="preserve">Šaltinis: </w:t>
      </w:r>
      <w:bookmarkStart w:id="84" w:name="OLE_LINK15"/>
      <w:bookmarkStart w:id="85" w:name="OLE_LINK16"/>
      <w:r w:rsidRPr="00801522">
        <w:rPr>
          <w:iCs/>
          <w:sz w:val="20"/>
          <w:szCs w:val="20"/>
        </w:rPr>
        <w:t>Confronting demographic change: a new solidarity between generations. Com. (2005) 94,</w:t>
      </w:r>
      <w:r>
        <w:rPr>
          <w:iCs/>
          <w:sz w:val="20"/>
          <w:szCs w:val="20"/>
        </w:rPr>
        <w:t xml:space="preserve"> </w:t>
      </w:r>
      <w:r w:rsidRPr="00801522">
        <w:rPr>
          <w:iCs/>
          <w:sz w:val="20"/>
          <w:szCs w:val="20"/>
        </w:rPr>
        <w:t>Brussels</w:t>
      </w:r>
      <w:r>
        <w:rPr>
          <w:iCs/>
          <w:sz w:val="20"/>
          <w:szCs w:val="20"/>
        </w:rPr>
        <w:t>.</w:t>
      </w:r>
      <w:bookmarkEnd w:id="84"/>
      <w:bookmarkEnd w:id="85"/>
    </w:p>
    <w:p w:rsidR="00995BE0" w:rsidRDefault="00995BE0" w:rsidP="00C33345">
      <w:pPr>
        <w:autoSpaceDE w:val="0"/>
        <w:autoSpaceDN w:val="0"/>
        <w:adjustRightInd w:val="0"/>
      </w:pPr>
    </w:p>
    <w:p w:rsidR="00995BE0" w:rsidRPr="00EA3A91" w:rsidRDefault="00995BE0" w:rsidP="00EA3A91">
      <w:pPr>
        <w:autoSpaceDE w:val="0"/>
        <w:autoSpaceDN w:val="0"/>
        <w:adjustRightInd w:val="0"/>
        <w:spacing w:line="360" w:lineRule="auto"/>
        <w:ind w:firstLine="480"/>
        <w:jc w:val="both"/>
      </w:pPr>
      <w:r w:rsidRPr="00EA3A91">
        <w:t>Visa tai reiškia, kad maž</w:t>
      </w:r>
      <w:r>
        <w:t>ė</w:t>
      </w:r>
      <w:r w:rsidRPr="00EA3A91">
        <w:t>janti darbingo amžiaus žmonių dalis tur</w:t>
      </w:r>
      <w:r>
        <w:t>ė</w:t>
      </w:r>
      <w:r w:rsidRPr="00EA3A91">
        <w:t>s išlaikyti pensininkus.</w:t>
      </w:r>
      <w:r>
        <w:t xml:space="preserve"> </w:t>
      </w:r>
      <w:r w:rsidRPr="00EA3A91">
        <w:t>Nustojančių dirbti žmonių skaičius viršys pradedančiųjų dirbti skaičių, ir šalims iškils</w:t>
      </w:r>
      <w:r>
        <w:t xml:space="preserve"> </w:t>
      </w:r>
      <w:r w:rsidRPr="00EA3A91">
        <w:t>kvalifikuotų darbuotojų stygiaus problema</w:t>
      </w:r>
      <w:r>
        <w:t xml:space="preserve"> (Pagyvenusių žmonių sveikatos stiprinimas, 2008)</w:t>
      </w:r>
      <w:r w:rsidRPr="00EA3A91">
        <w:t>.</w:t>
      </w:r>
    </w:p>
    <w:p w:rsidR="00995BE0" w:rsidRPr="003922D2" w:rsidRDefault="00995BE0" w:rsidP="00016E5B">
      <w:pPr>
        <w:autoSpaceDE w:val="0"/>
        <w:autoSpaceDN w:val="0"/>
        <w:adjustRightInd w:val="0"/>
        <w:spacing w:line="360" w:lineRule="auto"/>
        <w:ind w:firstLine="600"/>
        <w:jc w:val="both"/>
      </w:pPr>
      <w:r w:rsidRPr="00016E5B">
        <w:t>Lietuvoje vyresni nei 60 m. gyventojai 1990 m. sudar</w:t>
      </w:r>
      <w:r>
        <w:t>ė</w:t>
      </w:r>
      <w:r w:rsidRPr="00016E5B">
        <w:t xml:space="preserve"> 16 proc., 2003 m. – 20 proc.;</w:t>
      </w:r>
      <w:r>
        <w:t xml:space="preserve"> </w:t>
      </w:r>
      <w:r w:rsidRPr="00016E5B">
        <w:t>prognozuojama, kad 2030 m. tokie asmenys sudarys apie 27 procentus.</w:t>
      </w:r>
      <w:r>
        <w:t xml:space="preserve"> </w:t>
      </w:r>
      <w:r w:rsidRPr="003922D2">
        <w:t xml:space="preserve">Pagal tarptautiniu mastu priimtais vertinimais, Lietuva priskiriama prie demografiškai senėjančių šalių grupės, tai yra didėja senyvo amžiaus (60 metų ir vyresnių) žmonių skaičius bendrame gyventojų skaičiuje. Lietuvoje demografai fiksuoja antrąją senėjimo bangą. 2009 metų pradžioje Lietuvoje buvo 692,6 tūkst. pagyvenusių (60 m. ir vyresnių) žmonių, jie sudarė 20,7 proc. bendro gyventojų skaičiaus. Šiaulių miesto savivaldybėje pagyvenusių žmonių buvo – 18,8 proc., o apskrityje 20,7 proc. Vaikai (0 -14 metų amžiaus) šalyje sudarė 15,1 proc., Šiaulių mieste – 13,7 proc., o  </w:t>
      </w:r>
      <w:r>
        <w:t xml:space="preserve">apskrityje – 15,3 proc. </w:t>
      </w:r>
      <w:r w:rsidRPr="003922D2">
        <w:t xml:space="preserve">Taigi šiuo metu tėvų kartą keičia ženkliai mažesnė vaikų karta. Nors nuo 2003 metų gimusiųjų skaičius šalyje didėja, gimstamumo lygis neužtikrina teigiamos kartų kaitos. </w:t>
      </w:r>
    </w:p>
    <w:p w:rsidR="00995BE0" w:rsidRPr="00F07234" w:rsidRDefault="00995BE0" w:rsidP="001C3765">
      <w:pPr>
        <w:spacing w:line="360" w:lineRule="auto"/>
        <w:ind w:firstLine="720"/>
        <w:jc w:val="both"/>
      </w:pPr>
      <w:r w:rsidRPr="003922D2">
        <w:t xml:space="preserve">2009 m. pradžioje vaikų iki 15 metų amžiaus buvo beveik trečdaliu (27,1 proc.) mažiau nei pagyvenusių žmonių, o 2000 m. pradžioje jų buvo 6,2 procento daugiau. </w:t>
      </w:r>
      <w:r w:rsidRPr="00FC76DE">
        <w:rPr>
          <w:bCs/>
        </w:rPr>
        <w:t>Demografinės senatvės koeficientas</w:t>
      </w:r>
      <w:r w:rsidRPr="00FC76DE">
        <w:t xml:space="preserve"> </w:t>
      </w:r>
      <w:r w:rsidRPr="00F07234">
        <w:t>nurodo pagyvenusių (60 metų ir vyresnio amžiaus) žmonių skaičių, tenkantį šimtui vaikų iki 15 metų amžiaus. Šalyje šis koeficientas - 137, Šiaulių miesto savivaldybėje - 139 (</w:t>
      </w:r>
      <w:r w:rsidRPr="00A7019A">
        <w:t>15 priedas</w:t>
      </w:r>
      <w:r w:rsidRPr="00F07234">
        <w:t xml:space="preserve">). </w:t>
      </w:r>
    </w:p>
    <w:p w:rsidR="00995BE0" w:rsidRDefault="00995BE0" w:rsidP="00004DEC">
      <w:pPr>
        <w:spacing w:line="360" w:lineRule="auto"/>
        <w:ind w:firstLine="567"/>
        <w:jc w:val="both"/>
        <w:rPr>
          <w:color w:val="000000"/>
        </w:rPr>
      </w:pPr>
      <w:r w:rsidRPr="009C51DC">
        <w:rPr>
          <w:color w:val="000000"/>
        </w:rPr>
        <w:t>Demografinis senėjimas, vykstantis dėl ilgesnės gyvenimo trukmės ir mažėjančio gimstamumo, sukelia gilius gyventojų struktūros pokyčius. Taigi pagyvenusių žmonių vis daugėja ir jie tampa vis svarbesni tiek pačiai ekonomikai, tiek žmonių bendruomenėms, auga jų, kaip vartotojų, poreikiai ir jų, kaip piliečių, lūkesčiai</w:t>
      </w:r>
      <w:r>
        <w:rPr>
          <w:color w:val="000000"/>
        </w:rPr>
        <w:t xml:space="preserve"> (</w:t>
      </w:r>
      <w:r w:rsidRPr="009C51DC">
        <w:rPr>
          <w:sz w:val="22"/>
          <w:szCs w:val="22"/>
        </w:rPr>
        <w:t>Ferry</w:t>
      </w:r>
      <w:r>
        <w:rPr>
          <w:sz w:val="22"/>
          <w:szCs w:val="22"/>
        </w:rPr>
        <w:t xml:space="preserve">, </w:t>
      </w:r>
      <w:r w:rsidRPr="009C51DC">
        <w:rPr>
          <w:sz w:val="22"/>
          <w:szCs w:val="22"/>
        </w:rPr>
        <w:t>Baker, 2006</w:t>
      </w:r>
      <w:r>
        <w:rPr>
          <w:color w:val="000000"/>
        </w:rPr>
        <w:t>)</w:t>
      </w:r>
      <w:r w:rsidRPr="009C51DC">
        <w:rPr>
          <w:color w:val="000000"/>
        </w:rPr>
        <w:t xml:space="preserve">. </w:t>
      </w:r>
    </w:p>
    <w:p w:rsidR="00995BE0" w:rsidRDefault="00995BE0" w:rsidP="00004DEC">
      <w:pPr>
        <w:spacing w:line="360" w:lineRule="auto"/>
        <w:ind w:firstLine="567"/>
        <w:jc w:val="both"/>
        <w:rPr>
          <w:color w:val="000000"/>
        </w:rPr>
      </w:pPr>
      <w:r>
        <w:rPr>
          <w:color w:val="000000"/>
        </w:rPr>
        <w:t xml:space="preserve">Pagrindinės problemos, su kuriomis susiduria pagyvenę žmonės Lietuvoje yra užimtumas, pajamos ir jų garantijos, sveikata ir socialinės paslaugos, visaverčio gyvenimo galimybės, į kurias </w:t>
      </w:r>
      <w:r>
        <w:rPr>
          <w:color w:val="000000"/>
        </w:rPr>
        <w:lastRenderedPageBreak/>
        <w:t>įeina švietimas ir integracija į informacinę visuomenę, būstas ir aplinkos pritaikymas, kultūrinio gyvenimo prieinamumas, transportas, asmens saugumas.</w:t>
      </w:r>
    </w:p>
    <w:p w:rsidR="00995BE0" w:rsidRDefault="00995BE0" w:rsidP="00004DEC">
      <w:pPr>
        <w:spacing w:line="360" w:lineRule="auto"/>
        <w:ind w:firstLine="567"/>
        <w:jc w:val="both"/>
        <w:rPr>
          <w:color w:val="000000"/>
        </w:rPr>
      </w:pPr>
      <w:r>
        <w:rPr>
          <w:color w:val="000000"/>
        </w:rPr>
        <w:t>E4 mano, kad norint pilnai užtikrinti sveiką senėjimą, reikia tarpžinybinio bendradarbiavimo. Šiaulių miesto visuomenės sveikatos biuras nėra pats pajėgus to užtikrinti, nes didelė dalis darbo priklauso nuo kitų sektorių (pvz. finansiniai klausimai, kurie labai svarbūs užtikrinant kokybiškas paslaugas) bendradarbiavimo. E7 bei E2 sutiko, kad šis prioritetas yra reikalingas ir svarbus įgyvendinant visuomenės sveikatos politiką. Ypatingai atsižvelgiant į dabarties aktualijas ir perspektyvas, kai numatomas pagyvenusių žmonių didėjimas.</w:t>
      </w:r>
    </w:p>
    <w:p w:rsidR="00995BE0" w:rsidRDefault="00995BE0" w:rsidP="00004DEC">
      <w:pPr>
        <w:spacing w:line="360" w:lineRule="auto"/>
        <w:ind w:firstLine="567"/>
        <w:jc w:val="both"/>
        <w:rPr>
          <w:color w:val="000000"/>
        </w:rPr>
      </w:pPr>
      <w:r>
        <w:rPr>
          <w:color w:val="000000"/>
        </w:rPr>
        <w:t>Taigi Šiaulių VS biuras gali prisidėti prie šios problemos sprendimo bendradarbiaudamas su kitomis institucijomis, rengti įvairius mokymus, seminarus, konferencijas, paskaitas, konsultacijas atitinkamo amžiaus gyventojams, padėti jiems stiprinti ir išsaugoti sveikatą, išvengti traumų ir invalidumo.</w:t>
      </w:r>
    </w:p>
    <w:p w:rsidR="00995BE0" w:rsidRPr="00201FEA" w:rsidRDefault="00995BE0" w:rsidP="00414616">
      <w:pPr>
        <w:pStyle w:val="Antrat3"/>
      </w:pPr>
      <w:bookmarkStart w:id="86" w:name="_Toc293248638"/>
      <w:r>
        <w:t>2.3.4 Ketvirtasis prioritetas: socialinių netolygumų visuomenės sveikatos sistemoje mažinimas</w:t>
      </w:r>
      <w:bookmarkEnd w:id="86"/>
    </w:p>
    <w:p w:rsidR="00995BE0" w:rsidRDefault="00995BE0" w:rsidP="00414616">
      <w:pPr>
        <w:autoSpaceDE w:val="0"/>
        <w:autoSpaceDN w:val="0"/>
        <w:adjustRightInd w:val="0"/>
        <w:spacing w:line="360" w:lineRule="auto"/>
        <w:ind w:firstLine="567"/>
        <w:jc w:val="both"/>
      </w:pPr>
      <w:r w:rsidRPr="001D71BB">
        <w:t>Dauguma pasaulio šalių susiduria su regioninių socialinių-ekonominių skirtumų problema, todėl daugelis autorių bando analizuoti ir nustatyti regionų skirtumų ir netolygumų atsiradimo priežastis. Regionų skirtumai yra gana problemiškas dalykas, jie svarbūs, nes stabdo tokių nacionalinės regioninės politikos tikslų įgyvendinimą, kaip vienodų įsidarbinimo galimybių suteikimas, socialinių sąlygų užtikrinimas, pakankamo augimo lygio pasiekimas, tolygesnis pajamų ir turto pasiskirstymas ir pan. Europos Sąjunga yra viena labiausiai klestinčių ekonominių erdvių pasaulyje, tačiau skirtumai tarp šalių yra ryšk</w:t>
      </w:r>
      <w:r>
        <w:t>ūs, o tarp regionų – stulbinami</w:t>
      </w:r>
      <w:r w:rsidRPr="001D71BB">
        <w:t xml:space="preserve"> (Kasinskaitė, 2005).</w:t>
      </w:r>
    </w:p>
    <w:p w:rsidR="00995BE0" w:rsidRPr="00080AEC" w:rsidRDefault="00995BE0" w:rsidP="00414616">
      <w:pPr>
        <w:autoSpaceDE w:val="0"/>
        <w:autoSpaceDN w:val="0"/>
        <w:adjustRightInd w:val="0"/>
        <w:spacing w:line="360" w:lineRule="auto"/>
        <w:ind w:firstLine="540"/>
        <w:jc w:val="both"/>
      </w:pPr>
      <w:r w:rsidRPr="001D71BB">
        <w:t>1998 m. kovo mėn. PSO priimtame dokumente “</w:t>
      </w:r>
      <w:r>
        <w:t>S</w:t>
      </w:r>
      <w:r w:rsidRPr="001D71BB">
        <w:t>veikat</w:t>
      </w:r>
      <w:r>
        <w:t>a visiems</w:t>
      </w:r>
      <w:r w:rsidRPr="001D71BB">
        <w:t xml:space="preserve"> XXI amžiuje” ypatingas dėmesys kreipiamas į sveikatos santykių teisumo, lygybės ir solidarumo užtikrinimą. Lietuvos sveikatos programoje numatyta iki 2010 m. sumažinti sveikatos ir sveikatos priežiūros skirtumus tarp skirtingų socialinių ekonominių gyventojų grupių 25 proc., gerinant nepalankioje situacijoje esančių gyventojų sveikatą. </w:t>
      </w:r>
      <w:r>
        <w:t>Tačiau, pasak Kalėdien</w:t>
      </w:r>
      <w:r w:rsidRPr="00080AEC">
        <w:t>ė</w:t>
      </w:r>
      <w:r>
        <w:t>s</w:t>
      </w:r>
      <w:r w:rsidRPr="00080AEC">
        <w:t xml:space="preserve"> (2010) socialiniai sveikatos netolygumai Lietuvoje didėjo</w:t>
      </w:r>
      <w:r>
        <w:t>, tai</w:t>
      </w:r>
      <w:r w:rsidRPr="00080AEC">
        <w:t xml:space="preserve"> priklausė nuo skirtingomis kryptimis kintančio mirtingumo įvairiose</w:t>
      </w:r>
      <w:r>
        <w:t xml:space="preserve"> </w:t>
      </w:r>
      <w:r w:rsidRPr="00080AEC">
        <w:t>išsimokslinimo grupėse.</w:t>
      </w:r>
    </w:p>
    <w:p w:rsidR="00995BE0" w:rsidRDefault="00995BE0" w:rsidP="00414616">
      <w:pPr>
        <w:autoSpaceDE w:val="0"/>
        <w:autoSpaceDN w:val="0"/>
        <w:adjustRightInd w:val="0"/>
        <w:spacing w:line="360" w:lineRule="auto"/>
        <w:ind w:firstLine="540"/>
        <w:jc w:val="both"/>
      </w:pPr>
      <w:r w:rsidRPr="001D71BB">
        <w:t>Gyventojų sveikatos skirtumai pastebimi ne tik tarp šalių, bet ir tarp įvairių teritorinių, socialinių ir ekonominių grupių šalyje. Šalyse, kuriose vyksta dideli socialiniai, ekonominiai ar politiniai pokyčiai, sveikatos nelygybės problema yra ypač aktuali (</w:t>
      </w:r>
      <w:r>
        <w:t>Demografiniai, socialiniai ir teritoriniai sveikatos netolygumai, 2002)</w:t>
      </w:r>
      <w:r w:rsidRPr="001D71BB">
        <w:t xml:space="preserve">. </w:t>
      </w:r>
    </w:p>
    <w:p w:rsidR="00995BE0" w:rsidRPr="00904172" w:rsidRDefault="00995BE0" w:rsidP="00414616">
      <w:pPr>
        <w:autoSpaceDE w:val="0"/>
        <w:autoSpaceDN w:val="0"/>
        <w:adjustRightInd w:val="0"/>
        <w:spacing w:line="360" w:lineRule="auto"/>
        <w:ind w:firstLine="540"/>
        <w:jc w:val="both"/>
      </w:pPr>
      <w:r w:rsidRPr="001D71BB">
        <w:t xml:space="preserve">Pasaulinės sveikatos organizacijos pateiktas socialinių ir ekonominių faktorių apibrėžimas teigia, kad labiausiai sveikatą įtakoja žmonių gyvenimo sąlygos: skurdas, socialinė atskirtis, nedarbas, kokybiško būsto trūkumas, ekologinis užterštumas, prasta mityba, sveikatos priežiūros </w:t>
      </w:r>
      <w:r w:rsidRPr="00904172">
        <w:t>paslaugų prieinamumas ir kiti veiksniai.</w:t>
      </w:r>
    </w:p>
    <w:p w:rsidR="00995BE0" w:rsidRDefault="00995BE0" w:rsidP="00414616">
      <w:pPr>
        <w:autoSpaceDE w:val="0"/>
        <w:autoSpaceDN w:val="0"/>
        <w:adjustRightInd w:val="0"/>
        <w:spacing w:line="360" w:lineRule="auto"/>
        <w:ind w:firstLine="540"/>
        <w:jc w:val="both"/>
      </w:pPr>
      <w:r>
        <w:lastRenderedPageBreak/>
        <w:t>25 paveikslo kairėje pusėje</w:t>
      </w:r>
      <w:r w:rsidRPr="00447732">
        <w:t xml:space="preserve"> susum</w:t>
      </w:r>
      <w:r>
        <w:t>uoti</w:t>
      </w:r>
      <w:r w:rsidRPr="00447732">
        <w:t xml:space="preserve"> svarbiausi socialinio ir politinio konteksto element</w:t>
      </w:r>
      <w:r>
        <w:t>ai</w:t>
      </w:r>
      <w:r w:rsidRPr="00447732">
        <w:t>, k</w:t>
      </w:r>
      <w:r>
        <w:t>urie</w:t>
      </w:r>
      <w:r w:rsidRPr="00447732">
        <w:t xml:space="preserve"> tiesiogiai daro įtaką socialinės stratifikacijos ir socialinės klasės</w:t>
      </w:r>
      <w:r w:rsidRPr="00C77822">
        <w:t xml:space="preserve"> </w:t>
      </w:r>
      <w:r w:rsidRPr="00447732">
        <w:t xml:space="preserve">struktūrai. </w:t>
      </w:r>
      <w:r>
        <w:t xml:space="preserve">Taip pat tai apima </w:t>
      </w:r>
      <w:r w:rsidRPr="00447732">
        <w:t>svarbiausi</w:t>
      </w:r>
      <w:r>
        <w:t>us</w:t>
      </w:r>
      <w:r w:rsidRPr="00447732">
        <w:t xml:space="preserve"> konteksto aspekt</w:t>
      </w:r>
      <w:r>
        <w:t xml:space="preserve">us, kurie </w:t>
      </w:r>
      <w:r w:rsidRPr="00447732">
        <w:t>veikia neteisingumą sveikatoje, pavyzdžiui, valdym</w:t>
      </w:r>
      <w:r>
        <w:t>as</w:t>
      </w:r>
      <w:r w:rsidRPr="00447732">
        <w:t>, makroekonominė, socialinė politik</w:t>
      </w:r>
      <w:r>
        <w:t>a. Dešinėje</w:t>
      </w:r>
      <w:r w:rsidRPr="00C77822">
        <w:t xml:space="preserve"> diagramos skiltyje, </w:t>
      </w:r>
      <w:r>
        <w:t>i</w:t>
      </w:r>
      <w:r w:rsidRPr="00C77822">
        <w:t>šdėst</w:t>
      </w:r>
      <w:r>
        <w:t>yti</w:t>
      </w:r>
      <w:r w:rsidRPr="00C77822">
        <w:t xml:space="preserve"> svarbiausi socialinės hierarchijos aspekt</w:t>
      </w:r>
      <w:r>
        <w:t>ai</w:t>
      </w:r>
      <w:r w:rsidRPr="00C77822">
        <w:t xml:space="preserve">, kurie apibrėžia socialinę struktūrą ir socialinius klasės santykius visuomenės viduje. </w:t>
      </w:r>
    </w:p>
    <w:p w:rsidR="00995BE0" w:rsidRPr="001D71BB" w:rsidRDefault="00CB16CF" w:rsidP="00414616">
      <w:pPr>
        <w:spacing w:line="360" w:lineRule="auto"/>
        <w:jc w:val="both"/>
        <w:rPr>
          <w:lang w:eastAsia="en-US"/>
        </w:rPr>
      </w:pPr>
      <w:r>
        <w:rPr>
          <w:noProof/>
        </w:rPr>
        <w:pict>
          <v:rect id="_x0000_s1053" style="position:absolute;left:0;text-align:left;margin-left:6.75pt;margin-top:1.95pt;width:125.4pt;height:376.95pt;z-index:251666432" strokecolor="#f2f2f2" strokeweight="3pt">
            <v:shadow on="t" type="perspective" color="#622423" opacity=".5" offset="1pt" offset2="-1pt"/>
            <v:textbox style="mso-next-textbox:#_x0000_s1053">
              <w:txbxContent>
                <w:p w:rsidR="00995BE0" w:rsidRDefault="00995BE0" w:rsidP="00414616">
                  <w:pPr>
                    <w:jc w:val="center"/>
                  </w:pPr>
                  <w:r>
                    <w:t>Socialinė ekonominė padėtis</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54" type="#_x0000_t32" style="position:absolute;left:0;text-align:left;margin-left:143.55pt;margin-top:9.75pt;width:297pt;height:0;flip:x;z-index:251705344" o:connectortype="straight" strokecolor="#a5a5a5">
            <v:stroke dashstyle="dash" endarrow="block"/>
          </v:shape>
        </w:pict>
      </w:r>
      <w:r w:rsidRPr="00CB16CF">
        <w:rPr>
          <w:noProof/>
        </w:rPr>
        <w:pict>
          <v:shape id="_x0000_s1055" type="#_x0000_t32" style="position:absolute;left:0;text-align:left;margin-left:440.55pt;margin-top:9.75pt;width:0;height:57.6pt;flip:y;z-index:251704320" o:connectortype="straight" strokecolor="#a5a5a5">
            <v:stroke dashstyle="dash"/>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56" type="#_x0000_t32" style="position:absolute;left:0;text-align:left;margin-left:230.55pt;margin-top:12.15pt;width:0;height:6pt;z-index:251703296" o:connectortype="straight">
            <v:stroke endarrow="block"/>
          </v:shape>
        </w:pict>
      </w:r>
      <w:r w:rsidRPr="00CB16CF">
        <w:rPr>
          <w:noProof/>
        </w:rPr>
        <w:pict>
          <v:shape id="_x0000_s1057" type="#_x0000_t32" style="position:absolute;left:0;text-align:left;margin-left:230.55pt;margin-top:12.15pt;width:189pt;height:0;flip:x;z-index:251702272" o:connectortype="straight">
            <v:stroke dashstyle="dash"/>
          </v:shape>
        </w:pict>
      </w:r>
      <w:r w:rsidRPr="00CB16CF">
        <w:rPr>
          <w:noProof/>
        </w:rPr>
        <w:pict>
          <v:shape id="_x0000_s1058" type="#_x0000_t32" style="position:absolute;left:0;text-align:left;margin-left:419.55pt;margin-top:12.15pt;width:0;height:41.4pt;flip:y;z-index:251701248" o:connectortype="straight">
            <v:stroke dashstyle="dash"/>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rect id="_x0000_s1059" style="position:absolute;left:0;text-align:left;margin-left:9pt;margin-top:9.9pt;width:113.4pt;height:24.6pt;z-index:251667456">
            <v:textbox style="mso-next-textbox:#_x0000_s1059">
              <w:txbxContent>
                <w:p w:rsidR="00995BE0" w:rsidRDefault="00995BE0" w:rsidP="00414616">
                  <w:r>
                    <w:t>Valdymas</w:t>
                  </w:r>
                </w:p>
              </w:txbxContent>
            </v:textbox>
          </v:rect>
        </w:pict>
      </w:r>
      <w:r w:rsidRPr="00CB16CF">
        <w:rPr>
          <w:noProof/>
        </w:rPr>
        <w:pict>
          <v:rect id="_x0000_s1060" style="position:absolute;left:0;text-align:left;margin-left:159.15pt;margin-top:4.35pt;width:112.2pt;height:303pt;z-index:251672576" strokecolor="#f2f2f2" strokeweight="3pt">
            <v:shadow on="t" type="perspective" color="#622423" opacity=".5" offset="1pt" offset2="-1pt"/>
            <v:textbox style="mso-next-textbox:#_x0000_s1060">
              <w:txbxContent>
                <w:p w:rsidR="00995BE0" w:rsidRDefault="00995BE0" w:rsidP="00414616"/>
              </w:txbxContent>
            </v:textbox>
          </v:rect>
        </w:pict>
      </w:r>
      <w:r w:rsidRPr="00CB16CF">
        <w:rPr>
          <w:noProof/>
        </w:rPr>
        <w:pict>
          <v:rect id="_x0000_s1061" style="position:absolute;left:0;text-align:left;margin-left:170.55pt;margin-top:4.35pt;width:87.6pt;height:51pt;z-index:251674624">
            <v:textbox style="mso-next-textbox:#_x0000_s1061">
              <w:txbxContent>
                <w:p w:rsidR="00995BE0" w:rsidRDefault="00995BE0" w:rsidP="00414616">
                  <w:pPr>
                    <w:jc w:val="center"/>
                  </w:pPr>
                  <w:r>
                    <w:t>Socialinė ekonominė padėtis</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62" type="#_x0000_t32" style="position:absolute;left:0;text-align:left;margin-left:297pt;margin-top:7.2pt;width:7.8pt;height:0;z-index:251689984" o:connectortype="straight">
            <v:stroke endarrow="block"/>
          </v:shape>
        </w:pict>
      </w:r>
      <w:r w:rsidRPr="00CB16CF">
        <w:rPr>
          <w:noProof/>
        </w:rPr>
        <w:pict>
          <v:shape id="_x0000_s1063" type="#_x0000_t32" style="position:absolute;left:0;text-align:left;margin-left:297pt;margin-top:7.2pt;width:.6pt;height:112.2pt;flip:x;z-index:251688960" o:connectortype="straight"/>
        </w:pict>
      </w:r>
      <w:r w:rsidRPr="00CB16CF">
        <w:rPr>
          <w:noProof/>
        </w:rPr>
        <w:pict>
          <v:rect id="_x0000_s1064" style="position:absolute;left:0;text-align:left;margin-left:289.35pt;margin-top:.15pt;width:96.6pt;height:278pt;z-index:251673600" strokecolor="#f2f2f2" strokeweight="3pt">
            <v:shadow on="t" type="perspective" color="#622423" opacity=".5" offset="1pt" offset2="-1pt"/>
            <v:textbox style="mso-next-textbox:#_x0000_s1064">
              <w:txbxContent>
                <w:p w:rsidR="00995BE0" w:rsidRDefault="00995BE0" w:rsidP="00414616">
                  <w:pPr>
                    <w:ind w:left="142"/>
                  </w:pPr>
                  <w:r>
                    <w:t>Materialinė padėtis</w:t>
                  </w:r>
                </w:p>
                <w:p w:rsidR="00995BE0" w:rsidRDefault="00995BE0" w:rsidP="00414616">
                  <w:pPr>
                    <w:ind w:left="142"/>
                    <w:rPr>
                      <w:sz w:val="20"/>
                      <w:szCs w:val="20"/>
                    </w:rPr>
                  </w:pPr>
                  <w:r>
                    <w:t>(</w:t>
                  </w:r>
                  <w:r w:rsidRPr="00D75C61">
                    <w:rPr>
                      <w:sz w:val="20"/>
                      <w:szCs w:val="20"/>
                    </w:rPr>
                    <w:t>pragyvenimas ir darbas, sąlygos, maisto buvimas)</w:t>
                  </w:r>
                </w:p>
                <w:p w:rsidR="00995BE0" w:rsidRDefault="00995BE0" w:rsidP="00414616">
                  <w:pPr>
                    <w:ind w:left="142"/>
                    <w:rPr>
                      <w:sz w:val="20"/>
                      <w:szCs w:val="20"/>
                    </w:rPr>
                  </w:pPr>
                </w:p>
                <w:p w:rsidR="00995BE0" w:rsidRDefault="00995BE0" w:rsidP="00414616">
                  <w:pPr>
                    <w:ind w:left="142"/>
                    <w:rPr>
                      <w:sz w:val="20"/>
                      <w:szCs w:val="20"/>
                    </w:rPr>
                  </w:pPr>
                  <w:r>
                    <w:rPr>
                      <w:sz w:val="20"/>
                      <w:szCs w:val="20"/>
                    </w:rPr>
                    <w:t>Elgesys ir biologiniai veiksniai</w:t>
                  </w:r>
                </w:p>
                <w:p w:rsidR="00995BE0" w:rsidRDefault="00995BE0" w:rsidP="00414616">
                  <w:pPr>
                    <w:ind w:left="142"/>
                    <w:rPr>
                      <w:sz w:val="20"/>
                      <w:szCs w:val="20"/>
                    </w:rPr>
                  </w:pPr>
                </w:p>
                <w:p w:rsidR="00995BE0" w:rsidRPr="00B53404" w:rsidRDefault="00995BE0" w:rsidP="00414616">
                  <w:pPr>
                    <w:ind w:left="142"/>
                  </w:pPr>
                  <w:r>
                    <w:rPr>
                      <w:sz w:val="20"/>
                      <w:szCs w:val="20"/>
                    </w:rPr>
                    <w:t xml:space="preserve">Psichosocialiniai </w:t>
                  </w:r>
                  <w:r w:rsidRPr="00B53404">
                    <w:rPr>
                      <w:sz w:val="20"/>
                      <w:szCs w:val="20"/>
                    </w:rPr>
                    <w:t>veiksniai</w:t>
                  </w:r>
                </w:p>
              </w:txbxContent>
            </v:textbox>
          </v:rect>
        </w:pict>
      </w:r>
      <w:r w:rsidRPr="00CB16CF">
        <w:rPr>
          <w:noProof/>
        </w:rPr>
        <w:pict>
          <v:rect id="_x0000_s1065" style="position:absolute;left:0;text-align:left;margin-left:9pt;margin-top:16.2pt;width:113.4pt;height:33pt;z-index:251668480">
            <v:textbox style="mso-next-textbox:#_x0000_s1065">
              <w:txbxContent>
                <w:p w:rsidR="00995BE0" w:rsidRDefault="00995BE0" w:rsidP="00414616">
                  <w:r>
                    <w:t>Makroekonominė politika</w:t>
                  </w:r>
                </w:p>
              </w:txbxContent>
            </v:textbox>
          </v:rect>
        </w:pict>
      </w:r>
      <w:r w:rsidRPr="00CB16CF">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left:0;text-align:left;margin-left:140.55pt;margin-top:8.55pt;width:18.6pt;height:24pt;z-index:251684864" fillcolor="#d99594" strokecolor="#c0504d" strokeweight="1pt">
            <v:fill color2="#c0504d" focus="50%" type="gradient"/>
            <v:shadow on="t" type="perspective" color="#622423" offset="1pt" offset2="-3pt"/>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67" type="#_x0000_t13" style="position:absolute;left:0;text-align:left;margin-left:274.35pt;margin-top:7.35pt;width:10.2pt;height:25.2pt;z-index:251696128" fillcolor="#d99594" strokecolor="#c0504d" strokeweight="1pt">
            <v:fill color2="#c0504d" focus="50%" type="gradient"/>
            <v:shadow on="t" type="perspective" color="#622423" offset="1pt" offset2="-3pt"/>
          </v:shape>
        </w:pict>
      </w:r>
      <w:r w:rsidRPr="00CB16CF">
        <w:rPr>
          <w:noProof/>
        </w:rPr>
        <w:pict>
          <v:rect id="_x0000_s1068" style="position:absolute;left:0;text-align:left;margin-left:400.95pt;margin-top:12.15pt;width:67.2pt;height:78.6pt;z-index:251695104">
            <v:textbox style="mso-next-textbox:#_x0000_s1068">
              <w:txbxContent>
                <w:p w:rsidR="00995BE0" w:rsidRPr="00DD2B51" w:rsidRDefault="00995BE0" w:rsidP="00414616">
                  <w:pPr>
                    <w:rPr>
                      <w:sz w:val="20"/>
                      <w:szCs w:val="20"/>
                    </w:rPr>
                  </w:pPr>
                  <w:r w:rsidRPr="00DD2B51">
                    <w:rPr>
                      <w:sz w:val="20"/>
                      <w:szCs w:val="20"/>
                    </w:rPr>
                    <w:t>Poveikis vienodoms sveikatos ir gerovės galimybėms</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rect id="_x0000_s1069" style="position:absolute;left:0;text-align:left;margin-left:159.15pt;margin-top:10.4pt;width:91.2pt;height:69pt;z-index:251675648" strokecolor="#f2f2f2" strokeweight="3pt">
            <v:shadow on="t" type="perspective" color="#622423" opacity=".5" offset="1pt" offset2="-1pt"/>
            <v:textbox style="mso-next-textbox:#_x0000_s1069">
              <w:txbxContent>
                <w:p w:rsidR="00995BE0" w:rsidRPr="0017050F" w:rsidRDefault="00995BE0" w:rsidP="00414616">
                  <w:pPr>
                    <w:jc w:val="center"/>
                  </w:pPr>
                  <w:r w:rsidRPr="0017050F">
                    <w:t>Socialinė klasė</w:t>
                  </w:r>
                </w:p>
                <w:p w:rsidR="00995BE0" w:rsidRPr="0017050F" w:rsidRDefault="00995BE0" w:rsidP="00414616">
                  <w:pPr>
                    <w:jc w:val="center"/>
                  </w:pPr>
                  <w:r w:rsidRPr="0017050F">
                    <w:t>Lytis</w:t>
                  </w:r>
                </w:p>
                <w:p w:rsidR="00995BE0" w:rsidRPr="0017050F" w:rsidRDefault="00995BE0" w:rsidP="00414616">
                  <w:pPr>
                    <w:jc w:val="center"/>
                  </w:pPr>
                  <w:r w:rsidRPr="0017050F">
                    <w:t>Etniškumas (rasizmas)</w:t>
                  </w:r>
                </w:p>
              </w:txbxContent>
            </v:textbox>
          </v:rect>
        </w:pict>
      </w:r>
      <w:r w:rsidRPr="00CB16CF">
        <w:rPr>
          <w:noProof/>
        </w:rPr>
        <w:pict>
          <v:rect id="_x0000_s1070" style="position:absolute;left:0;text-align:left;margin-left:9pt;margin-top:19.8pt;width:113.4pt;height:53.4pt;z-index:251669504">
            <v:textbox style="mso-next-textbox:#_x0000_s1070">
              <w:txbxContent>
                <w:p w:rsidR="00995BE0" w:rsidRDefault="00995BE0" w:rsidP="00414616">
                  <w:r>
                    <w:t>Socialinė politika</w:t>
                  </w:r>
                </w:p>
                <w:p w:rsidR="00995BE0" w:rsidRPr="00810FE4" w:rsidRDefault="00995BE0" w:rsidP="00414616">
                  <w:pPr>
                    <w:rPr>
                      <w:i/>
                    </w:rPr>
                  </w:pPr>
                  <w:r w:rsidRPr="00810FE4">
                    <w:rPr>
                      <w:i/>
                    </w:rPr>
                    <w:t>Darbo rinka, būstas, žemė</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1" type="#_x0000_t66" style="position:absolute;left:0;text-align:left;margin-left:140.55pt;margin-top:5pt;width:18.6pt;height:26.4pt;z-index:251685888" fillcolor="#d99594" strokecolor="#c0504d" strokeweight="1pt">
            <v:fill color2="#c0504d" focus="50%" type="gradient"/>
            <v:shadow on="t" type="perspective" color="#622423" offset="1pt" offset2="-3pt"/>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72" type="#_x0000_t13" style="position:absolute;left:0;text-align:left;margin-left:274.35pt;margin-top:8.6pt;width:10.2pt;height:20.4pt;z-index:251697152" fillcolor="#d99594" strokecolor="#c0504d" strokeweight="1pt">
            <v:fill color2="#c0504d" focus="50%" type="gradient"/>
            <v:shadow on="t" type="perspective" color="#622423" offset="1pt" offset2="-3pt"/>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73" type="#_x0000_t32" style="position:absolute;left:0;text-align:left;margin-left:297pt;margin-top:11.7pt;width:7.2pt;height:0;z-index:251691008" o:connectortype="straight">
            <v:stroke endarrow="block"/>
          </v:shape>
        </w:pict>
      </w:r>
      <w:r w:rsidRPr="00CB16CF">
        <w:rPr>
          <w:noProof/>
        </w:rPr>
        <w:pict>
          <v:shape id="_x0000_s1074" type="#_x0000_t32" style="position:absolute;left:0;text-align:left;margin-left:6in;margin-top:11.7pt;width:0;height:124.8pt;flip:y;z-index:251700224" o:connectortype="straight">
            <v:stroke dashstyle="dash" endarrow="block"/>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5" type="#_x0000_t69" style="position:absolute;left:0;text-align:left;margin-left:162pt;margin-top:9pt;width:104.4pt;height:18pt;z-index:251677696"/>
        </w:pict>
      </w:r>
      <w:r w:rsidRPr="00CB16CF">
        <w:rPr>
          <w:noProof/>
        </w:rPr>
        <w:pict>
          <v:rect id="_x0000_s1076" style="position:absolute;left:0;text-align:left;margin-left:9pt;margin-top:9pt;width:117.6pt;height:64.8pt;z-index:251670528">
            <v:textbox style="mso-next-textbox:#_x0000_s1076">
              <w:txbxContent>
                <w:p w:rsidR="00995BE0" w:rsidRDefault="00995BE0" w:rsidP="00414616">
                  <w:r>
                    <w:t>Viešoji politika</w:t>
                  </w:r>
                </w:p>
                <w:p w:rsidR="00995BE0" w:rsidRPr="00810FE4" w:rsidRDefault="00995BE0" w:rsidP="00414616">
                  <w:pPr>
                    <w:rPr>
                      <w:i/>
                    </w:rPr>
                  </w:pPr>
                  <w:r w:rsidRPr="00810FE4">
                    <w:rPr>
                      <w:i/>
                    </w:rPr>
                    <w:t>Išsilavinimas, sveikata, socialinė apsauga</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77" type="#_x0000_t32" style="position:absolute;left:0;text-align:left;margin-left:315pt;margin-top:16.2pt;width:0;height:89.4pt;flip:y;z-index:251694080" o:connectortype="straight">
            <v:stroke dashstyle="dash" endarrow="block"/>
          </v:shape>
        </w:pict>
      </w:r>
      <w:r w:rsidRPr="00CB16CF">
        <w:rPr>
          <w:noProof/>
        </w:rPr>
        <w:pict>
          <v:rect id="_x0000_s1078" style="position:absolute;left:0;text-align:left;margin-left:171pt;margin-top:15.3pt;width:85.8pt;height:24.6pt;z-index:251678720" strokecolor="#c0504d" strokeweight="2.5pt">
            <v:shadow color="#868686"/>
            <v:textbox style="mso-next-textbox:#_x0000_s1078">
              <w:txbxContent>
                <w:p w:rsidR="00995BE0" w:rsidRPr="0017050F" w:rsidRDefault="00995BE0" w:rsidP="00414616">
                  <w:r w:rsidRPr="0017050F">
                    <w:t>Išsilavinimas</w:t>
                  </w:r>
                </w:p>
              </w:txbxContent>
            </v:textbox>
          </v:rect>
        </w:pict>
      </w:r>
      <w:r w:rsidRPr="00CB16CF">
        <w:rPr>
          <w:noProof/>
        </w:rPr>
        <w:pict>
          <v:shape id="_x0000_s1079" type="#_x0000_t13" style="position:absolute;left:0;text-align:left;margin-left:274.35pt;margin-top:8pt;width:10.2pt;height:29.4pt;z-index:251698176" fillcolor="#d99594" strokecolor="#c0504d" strokeweight="1pt">
            <v:fill color2="#c0504d" focus="50%" type="gradient"/>
            <v:shadow on="t" type="perspective" color="#622423" offset="1pt" offset2="-3pt"/>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position:absolute;left:0;text-align:left;margin-left:198pt;margin-top:12.6pt;width:31.2pt;height:18pt;z-index:251679744"/>
        </w:pict>
      </w:r>
      <w:r w:rsidRPr="00CB16CF">
        <w:rPr>
          <w:noProof/>
        </w:rPr>
        <w:pict>
          <v:shape id="_x0000_s1081" type="#_x0000_t13" style="position:absolute;left:0;text-align:left;margin-left:140.55pt;margin-top:.8pt;width:15.6pt;height:31.2pt;z-index:251686912" fillcolor="#d99594" strokecolor="#c0504d" strokeweight="1pt">
            <v:fill color2="#c0504d" focus="50%" type="gradient"/>
            <v:shadow on="t" type="perspective" color="#622423" offset="1pt" offset2="-3pt"/>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rect id="_x0000_s1082" style="position:absolute;left:0;text-align:left;margin-left:162pt;margin-top:9.9pt;width:104.4pt;height:24pt;z-index:251680768" strokecolor="#c0504d" strokeweight="2.5pt">
            <v:shadow color="#868686"/>
            <v:textbox style="mso-next-textbox:#_x0000_s1082">
              <w:txbxContent>
                <w:p w:rsidR="00995BE0" w:rsidRPr="0017050F" w:rsidRDefault="00995BE0" w:rsidP="00414616">
                  <w:pPr>
                    <w:rPr>
                      <w:sz w:val="20"/>
                      <w:szCs w:val="20"/>
                    </w:rPr>
                  </w:pPr>
                  <w:r w:rsidRPr="0017050F">
                    <w:rPr>
                      <w:sz w:val="20"/>
                      <w:szCs w:val="20"/>
                    </w:rPr>
                    <w:t>Užimtumas/profesija</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rect id="_x0000_s1083" style="position:absolute;left:0;text-align:left;margin-left:9pt;margin-top:8.15pt;width:113.4pt;height:38.4pt;z-index:251671552">
            <v:textbox style="mso-next-textbox:#_x0000_s1083">
              <w:txbxContent>
                <w:p w:rsidR="00995BE0" w:rsidRDefault="00995BE0" w:rsidP="00414616">
                  <w:r>
                    <w:t>Kultūra ir socialinės vertybės</w:t>
                  </w:r>
                </w:p>
              </w:txbxContent>
            </v:textbox>
          </v:rect>
        </w:pict>
      </w:r>
      <w:r w:rsidRPr="00CB16CF">
        <w:rPr>
          <w:noProof/>
        </w:rPr>
        <w:pict>
          <v:shape id="_x0000_s1084" type="#_x0000_t67" style="position:absolute;left:0;text-align:left;margin-left:207pt;margin-top:7.2pt;width:26.4pt;height:14.4pt;z-index:251681792"/>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rect id="_x0000_s1085" style="position:absolute;left:0;text-align:left;margin-left:171pt;margin-top:4.55pt;width:87.6pt;height:24pt;z-index:251682816" strokecolor="#c0504d" strokeweight="2.5pt">
            <v:shadow color="#868686"/>
            <v:textbox style="mso-next-textbox:#_x0000_s1085">
              <w:txbxContent>
                <w:p w:rsidR="00995BE0" w:rsidRPr="0017050F" w:rsidRDefault="00995BE0" w:rsidP="00414616">
                  <w:pPr>
                    <w:jc w:val="center"/>
                  </w:pPr>
                  <w:r w:rsidRPr="0017050F">
                    <w:t>Pajamos</w:t>
                  </w:r>
                </w:p>
              </w:txbxContent>
            </v:textbox>
          </v:rect>
        </w:pict>
      </w:r>
      <w:r w:rsidRPr="00CB16CF">
        <w:rPr>
          <w:noProof/>
        </w:rPr>
        <w:pict>
          <v:rect id="_x0000_s1086" style="position:absolute;left:0;text-align:left;margin-left:378pt;margin-top:13.55pt;width:79.8pt;height:36.6pt;z-index:251693056">
            <v:textbox style="mso-next-textbox:#_x0000_s1086">
              <w:txbxContent>
                <w:p w:rsidR="00995BE0" w:rsidRPr="00D75C61" w:rsidRDefault="00995BE0" w:rsidP="00414616">
                  <w:pPr>
                    <w:rPr>
                      <w:sz w:val="22"/>
                      <w:szCs w:val="22"/>
                    </w:rPr>
                  </w:pPr>
                  <w:r w:rsidRPr="00D75C61">
                    <w:rPr>
                      <w:sz w:val="22"/>
                      <w:szCs w:val="22"/>
                    </w:rPr>
                    <w:t>SVEIKATOS sistema</w:t>
                  </w:r>
                </w:p>
              </w:txbxContent>
            </v:textbox>
          </v:rect>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shape id="_x0000_s1087" type="#_x0000_t32" style="position:absolute;left:0;text-align:left;margin-left:351pt;margin-top:2.75pt;width:7.8pt;height:0;z-index:251692032" o:connectortype="straight">
            <v:stroke endarrow="block"/>
          </v:shape>
        </w:pict>
      </w:r>
      <w:r w:rsidRPr="00CB16CF">
        <w:rPr>
          <w:noProof/>
        </w:rPr>
        <w:pict>
          <v:shape id="_x0000_s1088" type="#_x0000_t32" style="position:absolute;left:0;text-align:left;margin-left:315pt;margin-top:1.85pt;width:27.6pt;height:0;z-index:251699200" o:connectortype="straight">
            <v:stroke dashstyle="dash"/>
          </v:shape>
        </w:pict>
      </w:r>
      <w:r w:rsidRPr="00CB16CF">
        <w:rPr>
          <w:noProof/>
        </w:rPr>
        <w:pict>
          <v:rect id="_x0000_s1089" style="position:absolute;left:0;text-align:left;margin-left:153pt;margin-top:11.75pt;width:202.8pt;height:24.6pt;z-index:251683840" strokecolor="#f2f2f2" strokeweight="3pt">
            <v:shadow on="t" type="perspective" color="#622423" opacity=".5" offset="1pt" offset2="-1pt"/>
            <v:textbox style="mso-next-textbox:#_x0000_s1089">
              <w:txbxContent>
                <w:p w:rsidR="00995BE0" w:rsidRDefault="00995BE0" w:rsidP="00414616">
                  <w:r>
                    <w:t>Socialinis ryšys ir socialinis kapitalas</w:t>
                  </w:r>
                </w:p>
              </w:txbxContent>
            </v:textbox>
          </v:rect>
        </w:pict>
      </w:r>
      <w:r w:rsidRPr="00CB16CF">
        <w:rPr>
          <w:noProof/>
        </w:rPr>
        <w:pict>
          <v:shape id="_x0000_s1090" type="#_x0000_t66" style="position:absolute;left:0;text-align:left;margin-left:140.55pt;margin-top:2.6pt;width:15.6pt;height:35.4pt;z-index:251687936" fillcolor="#d99594" strokecolor="#c0504d" strokeweight="1pt">
            <v:fill color2="#c0504d" focus="50%" type="gradient"/>
            <v:shadow on="t" type="perspective" color="#622423" offset="1pt" offset2="-3pt"/>
          </v:shape>
        </w:pict>
      </w:r>
    </w:p>
    <w:p w:rsidR="00995BE0" w:rsidRPr="001D71BB" w:rsidRDefault="00CB16CF"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r w:rsidRPr="00CB16CF">
        <w:rPr>
          <w:noProof/>
        </w:rPr>
        <w:pict>
          <v:rect id="_x0000_s1091" style="position:absolute;left:0;text-align:left;margin-left:18pt;margin-top:18.05pt;width:281.4pt;height:36.9pt;z-index:251676672">
            <v:textbox style="mso-next-textbox:#_x0000_s1091">
              <w:txbxContent>
                <w:p w:rsidR="00995BE0" w:rsidRDefault="00995BE0" w:rsidP="00414616">
                  <w:pPr>
                    <w:jc w:val="center"/>
                  </w:pPr>
                  <w:r>
                    <w:t>Struktūriniai sveikatos skirtumų veiksniai/determinantai</w:t>
                  </w:r>
                </w:p>
              </w:txbxContent>
            </v:textbox>
          </v:rect>
        </w:pict>
      </w:r>
    </w:p>
    <w:p w:rsidR="00995BE0" w:rsidRPr="001D71BB" w:rsidRDefault="00995BE0"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p>
    <w:p w:rsidR="00995BE0" w:rsidRPr="001D71BB" w:rsidRDefault="00995BE0" w:rsidP="00414616">
      <w:pPr>
        <w:tabs>
          <w:tab w:val="left" w:pos="0"/>
          <w:tab w:val="left" w:pos="900"/>
          <w:tab w:val="left" w:pos="3888"/>
          <w:tab w:val="left" w:pos="5185"/>
          <w:tab w:val="left" w:pos="6481"/>
          <w:tab w:val="left" w:pos="7777"/>
          <w:tab w:val="left" w:pos="9072"/>
          <w:tab w:val="left" w:pos="10335"/>
        </w:tabs>
        <w:spacing w:line="360" w:lineRule="auto"/>
        <w:ind w:firstLine="567"/>
        <w:jc w:val="both"/>
        <w:rPr>
          <w:bCs/>
        </w:rPr>
      </w:pPr>
    </w:p>
    <w:p w:rsidR="00995BE0" w:rsidRPr="00993A98" w:rsidRDefault="00995BE0" w:rsidP="00414616">
      <w:pPr>
        <w:tabs>
          <w:tab w:val="left" w:pos="0"/>
          <w:tab w:val="left" w:pos="900"/>
          <w:tab w:val="left" w:pos="3888"/>
          <w:tab w:val="left" w:pos="5185"/>
          <w:tab w:val="left" w:pos="6481"/>
          <w:tab w:val="left" w:pos="7777"/>
          <w:tab w:val="left" w:pos="9072"/>
          <w:tab w:val="left" w:pos="10335"/>
        </w:tabs>
        <w:ind w:firstLine="567"/>
        <w:jc w:val="center"/>
        <w:rPr>
          <w:bCs/>
          <w:sz w:val="22"/>
          <w:szCs w:val="22"/>
        </w:rPr>
      </w:pPr>
      <w:r>
        <w:rPr>
          <w:b/>
          <w:bCs/>
          <w:sz w:val="22"/>
          <w:szCs w:val="22"/>
        </w:rPr>
        <w:t>25</w:t>
      </w:r>
      <w:r w:rsidRPr="0032473D">
        <w:rPr>
          <w:b/>
          <w:bCs/>
          <w:sz w:val="22"/>
          <w:szCs w:val="22"/>
        </w:rPr>
        <w:t xml:space="preserve"> </w:t>
      </w:r>
      <w:r>
        <w:rPr>
          <w:b/>
          <w:bCs/>
          <w:sz w:val="22"/>
          <w:szCs w:val="22"/>
        </w:rPr>
        <w:t>p</w:t>
      </w:r>
      <w:r w:rsidRPr="0032473D">
        <w:rPr>
          <w:b/>
          <w:bCs/>
          <w:sz w:val="22"/>
          <w:szCs w:val="22"/>
        </w:rPr>
        <w:t>av.</w:t>
      </w:r>
      <w:r w:rsidRPr="00993A98">
        <w:rPr>
          <w:bCs/>
          <w:sz w:val="22"/>
          <w:szCs w:val="22"/>
        </w:rPr>
        <w:t xml:space="preserve"> Socialinių – ekonominių veiksnių poveikis gyventojų sveikatai</w:t>
      </w:r>
    </w:p>
    <w:p w:rsidR="00995BE0" w:rsidRPr="001D71BB" w:rsidRDefault="00995BE0" w:rsidP="00414616">
      <w:pPr>
        <w:tabs>
          <w:tab w:val="left" w:pos="0"/>
          <w:tab w:val="left" w:pos="900"/>
          <w:tab w:val="left" w:pos="3888"/>
          <w:tab w:val="left" w:pos="5185"/>
          <w:tab w:val="left" w:pos="6481"/>
          <w:tab w:val="left" w:pos="7777"/>
          <w:tab w:val="left" w:pos="9072"/>
          <w:tab w:val="left" w:pos="10335"/>
        </w:tabs>
        <w:ind w:firstLine="567"/>
        <w:jc w:val="center"/>
        <w:rPr>
          <w:sz w:val="20"/>
          <w:szCs w:val="20"/>
        </w:rPr>
      </w:pPr>
      <w:r>
        <w:rPr>
          <w:bCs/>
          <w:sz w:val="20"/>
          <w:szCs w:val="20"/>
        </w:rPr>
        <w:t>Sudaryta autoriaus, remiantis</w:t>
      </w:r>
      <w:r w:rsidRPr="001D71BB">
        <w:rPr>
          <w:bCs/>
        </w:rPr>
        <w:t xml:space="preserve"> </w:t>
      </w:r>
      <w:r>
        <w:rPr>
          <w:bCs/>
        </w:rPr>
        <w:t>š</w:t>
      </w:r>
      <w:r w:rsidRPr="001D71BB">
        <w:rPr>
          <w:bCs/>
          <w:sz w:val="20"/>
          <w:szCs w:val="20"/>
        </w:rPr>
        <w:t>altini</w:t>
      </w:r>
      <w:r>
        <w:rPr>
          <w:bCs/>
          <w:sz w:val="20"/>
          <w:szCs w:val="20"/>
        </w:rPr>
        <w:t>u</w:t>
      </w:r>
      <w:r w:rsidRPr="001D71BB">
        <w:rPr>
          <w:bCs/>
          <w:sz w:val="20"/>
          <w:szCs w:val="20"/>
        </w:rPr>
        <w:t>:</w:t>
      </w:r>
      <w:r>
        <w:rPr>
          <w:bCs/>
          <w:sz w:val="20"/>
          <w:szCs w:val="20"/>
        </w:rPr>
        <w:t xml:space="preserve"> </w:t>
      </w:r>
      <w:r w:rsidRPr="001D71BB">
        <w:rPr>
          <w:sz w:val="20"/>
          <w:szCs w:val="20"/>
        </w:rPr>
        <w:t>A Conceptual Framework for Action on the Social Determinants of Health (2007). WHO CSDH.</w:t>
      </w:r>
    </w:p>
    <w:p w:rsidR="00995BE0" w:rsidRPr="001D71BB" w:rsidRDefault="00995BE0" w:rsidP="00414616">
      <w:pPr>
        <w:tabs>
          <w:tab w:val="left" w:pos="0"/>
          <w:tab w:val="left" w:pos="900"/>
          <w:tab w:val="left" w:pos="3888"/>
          <w:tab w:val="left" w:pos="5185"/>
          <w:tab w:val="left" w:pos="6481"/>
          <w:tab w:val="left" w:pos="7777"/>
          <w:tab w:val="left" w:pos="9072"/>
          <w:tab w:val="left" w:pos="10335"/>
        </w:tabs>
        <w:spacing w:line="360" w:lineRule="auto"/>
        <w:ind w:firstLine="567"/>
        <w:jc w:val="center"/>
        <w:rPr>
          <w:bCs/>
        </w:rPr>
      </w:pPr>
    </w:p>
    <w:p w:rsidR="00995BE0" w:rsidRDefault="00995BE0" w:rsidP="00414616">
      <w:pPr>
        <w:autoSpaceDE w:val="0"/>
        <w:autoSpaceDN w:val="0"/>
        <w:adjustRightInd w:val="0"/>
        <w:spacing w:line="360" w:lineRule="auto"/>
        <w:ind w:firstLine="540"/>
        <w:jc w:val="both"/>
      </w:pPr>
      <w:r w:rsidRPr="00904172">
        <w:t>Kai kurios sveikatos paslaugos (pvz.: odontologinės paslaugos, sanatorinis</w:t>
      </w:r>
      <w:r>
        <w:t xml:space="preserve"> </w:t>
      </w:r>
      <w:r w:rsidRPr="00904172">
        <w:t>gydymas) tapo sunkiau prieinamomis mažas pajamas turintiems gyventojams.</w:t>
      </w:r>
      <w:r>
        <w:t xml:space="preserve"> </w:t>
      </w:r>
      <w:r w:rsidRPr="00904172">
        <w:t>O tai kartu su nemažėjančiais socialiniais ir sveikatos netolygumais</w:t>
      </w:r>
      <w:r>
        <w:t xml:space="preserve"> </w:t>
      </w:r>
      <w:r w:rsidRPr="00904172">
        <w:t xml:space="preserve">rodo į teisumo sveikatos santykiuose problemų paaštrėjimą </w:t>
      </w:r>
      <w:r w:rsidRPr="00C32F95">
        <w:t>(</w:t>
      </w:r>
      <w:r w:rsidRPr="00C32F95">
        <w:rPr>
          <w:sz w:val="22"/>
          <w:szCs w:val="22"/>
        </w:rPr>
        <w:t>Černiauskas, Jankauskienė</w:t>
      </w:r>
      <w:r w:rsidRPr="00671C8F">
        <w:t>, 2010</w:t>
      </w:r>
      <w:r w:rsidRPr="00904172">
        <w:t>). Sveikatos santykių teisumo problemos ryškėja ir nepagerėjusiame sveikatos</w:t>
      </w:r>
      <w:r>
        <w:t xml:space="preserve"> </w:t>
      </w:r>
      <w:r w:rsidRPr="00904172">
        <w:t>sistemos išteklių paskirstymo tolygume tarp šalies regionų</w:t>
      </w:r>
      <w:r>
        <w:t>.</w:t>
      </w:r>
    </w:p>
    <w:p w:rsidR="00995BE0" w:rsidRPr="001D71BB" w:rsidRDefault="00995BE0" w:rsidP="00414616">
      <w:pPr>
        <w:pStyle w:val="Pagrindiniotekstotrauka"/>
        <w:spacing w:after="0" w:line="360" w:lineRule="auto"/>
        <w:ind w:left="0" w:firstLine="600"/>
        <w:jc w:val="both"/>
      </w:pPr>
      <w:r w:rsidRPr="001D71BB">
        <w:lastRenderedPageBreak/>
        <w:t>Lietuvoje tik pastaraisiais metais atkreiptas dėmesys į ekonominės ir socialinės raidos netolygumus kai kuriuose regionuose, didelius jų gyventojų užimtumo, gyvenimo sąlygų, išsilavinimo lygio skirtumus (Astrauskas, 2004). Todėl bendruomenės lygmenyje labai svarbus socialinės paramos, vaiko teisių tarnybos, mokyklų bei kitų švietimo institucijų, sveikatos priežiūros į</w:t>
      </w:r>
      <w:r>
        <w:t>staigų ir kt. bendradarbiavimas</w:t>
      </w:r>
      <w:r w:rsidRPr="001D71BB">
        <w:t xml:space="preserve"> (2007–2013 m. Žmogiškųjų išteklių plėtros veiksmų programa, 2006)</w:t>
      </w:r>
      <w:r w:rsidRPr="001D71BB">
        <w:rPr>
          <w:i/>
        </w:rPr>
        <w:t>.</w:t>
      </w:r>
      <w:r w:rsidRPr="001D71BB">
        <w:t xml:space="preserve"> </w:t>
      </w:r>
    </w:p>
    <w:p w:rsidR="00995BE0" w:rsidRPr="001D71BB" w:rsidRDefault="00995BE0" w:rsidP="00414616">
      <w:pPr>
        <w:autoSpaceDE w:val="0"/>
        <w:autoSpaceDN w:val="0"/>
        <w:adjustRightInd w:val="0"/>
        <w:spacing w:line="360" w:lineRule="auto"/>
        <w:ind w:firstLine="540"/>
        <w:jc w:val="both"/>
      </w:pPr>
      <w:r w:rsidRPr="00E5196A">
        <w:t>Atskirtis ir skurdas</w:t>
      </w:r>
      <w:r w:rsidRPr="001D71BB">
        <w:rPr>
          <w:rFonts w:ascii="TTE1C646F0t00" w:hAnsi="TTE1C646F0t00" w:cs="TTE1C646F0t00"/>
          <w:sz w:val="18"/>
          <w:szCs w:val="18"/>
        </w:rPr>
        <w:t xml:space="preserve"> </w:t>
      </w:r>
      <w:r w:rsidRPr="001D71BB">
        <w:t>tiesiogiai įtakoja gyventojų galimybes pasinaudoti sveikatos apsaugos, švietimo, socialinės apsaugos ir kitomis, būtinomis paslaugomis</w:t>
      </w:r>
      <w:r>
        <w:t>,</w:t>
      </w:r>
      <w:r w:rsidRPr="001D71BB">
        <w:t xml:space="preserve"> sąlygoja asmenų padėtį darbo rinkoje, gaunamas pajamas, namų ūkio padėtį,</w:t>
      </w:r>
      <w:r>
        <w:t xml:space="preserve"> </w:t>
      </w:r>
      <w:r w:rsidRPr="001D71BB">
        <w:t>nam</w:t>
      </w:r>
      <w:r>
        <w:t>ų</w:t>
      </w:r>
      <w:r w:rsidRPr="001D71BB">
        <w:t xml:space="preserve"> ūkio perspektyvas, finansinius sunkumus, gyvenamosios aplinkos sąlygas, socialinius santykius ir pan. </w:t>
      </w:r>
    </w:p>
    <w:p w:rsidR="00995BE0" w:rsidRDefault="00995BE0" w:rsidP="00414616">
      <w:pPr>
        <w:autoSpaceDE w:val="0"/>
        <w:autoSpaceDN w:val="0"/>
        <w:adjustRightInd w:val="0"/>
        <w:spacing w:line="360" w:lineRule="auto"/>
        <w:ind w:firstLine="540"/>
        <w:jc w:val="both"/>
      </w:pPr>
      <w:r w:rsidRPr="00111997">
        <w:rPr>
          <w:bCs/>
        </w:rPr>
        <w:t>Šeim</w:t>
      </w:r>
      <w:r>
        <w:rPr>
          <w:bCs/>
        </w:rPr>
        <w:t>yn</w:t>
      </w:r>
      <w:r w:rsidRPr="00111997">
        <w:rPr>
          <w:bCs/>
        </w:rPr>
        <w:t>in</w:t>
      </w:r>
      <w:r w:rsidRPr="00111997">
        <w:t xml:space="preserve">ė </w:t>
      </w:r>
      <w:r w:rsidRPr="00111997">
        <w:rPr>
          <w:bCs/>
        </w:rPr>
        <w:t>pad</w:t>
      </w:r>
      <w:r w:rsidRPr="00111997">
        <w:t>ė</w:t>
      </w:r>
      <w:r w:rsidRPr="00111997">
        <w:rPr>
          <w:bCs/>
        </w:rPr>
        <w:t>tis</w:t>
      </w:r>
      <w:r w:rsidRPr="00111997">
        <w:rPr>
          <w:b/>
          <w:bCs/>
        </w:rPr>
        <w:t xml:space="preserve"> </w:t>
      </w:r>
      <w:r w:rsidRPr="00111997">
        <w:t>taip pat turi įtakos sveikatai. Ji susijusi su įvairiomis specifinėmis</w:t>
      </w:r>
      <w:r>
        <w:t xml:space="preserve"> </w:t>
      </w:r>
      <w:r w:rsidRPr="00111997">
        <w:t>socialinėmis ekonominėmis charakteristikomis, psichologine būkle, gyvensenos</w:t>
      </w:r>
      <w:r>
        <w:t xml:space="preserve"> </w:t>
      </w:r>
      <w:r w:rsidRPr="00111997">
        <w:t>veiksniais. Vienišų žmonių sveikata yra blogesnė negu gyvenančių šeimose.</w:t>
      </w:r>
      <w:r>
        <w:t xml:space="preserve"> </w:t>
      </w:r>
      <w:r w:rsidRPr="00111997">
        <w:t>Lietuvoje žemiausi mirtingumo rodikliai yra vedusių ir ištekėjusių, o aukščiausi –</w:t>
      </w:r>
      <w:r>
        <w:t xml:space="preserve"> </w:t>
      </w:r>
      <w:r w:rsidRPr="00111997">
        <w:t>netekėjusių moterų ir našlių vyrų</w:t>
      </w:r>
      <w:r>
        <w:t xml:space="preserve"> (Kalėdienė, </w:t>
      </w:r>
      <w:r w:rsidRPr="00111997">
        <w:t>2010</w:t>
      </w:r>
      <w:r>
        <w:t>)</w:t>
      </w:r>
      <w:r w:rsidRPr="00111997">
        <w:t xml:space="preserve">. </w:t>
      </w:r>
    </w:p>
    <w:p w:rsidR="00995BE0" w:rsidRDefault="00995BE0" w:rsidP="00414616">
      <w:pPr>
        <w:autoSpaceDE w:val="0"/>
        <w:autoSpaceDN w:val="0"/>
        <w:adjustRightInd w:val="0"/>
        <w:spacing w:line="360" w:lineRule="auto"/>
        <w:ind w:firstLine="540"/>
        <w:jc w:val="both"/>
      </w:pPr>
      <w:bookmarkStart w:id="87" w:name="OLE_LINK19"/>
      <w:bookmarkStart w:id="88" w:name="OLE_LINK20"/>
      <w:r>
        <w:t>Analizuojant Šiaulių miesto atvejį, kai kuriuos sveikatos netolygumus galima vertinti remiantis 2008 m. atliktu Šiaulių suaugusių žmonių gyvensenos tyrimu. Jame išryškėja sveikatos skirtumai priklausantys nuo įgyto išsilavinimo (savo sveikatą geriau vertina aukštesnį išsilavinimą įgiję respondentai, sunkų fizinį darbą dažniau dirbo nebaigtą vidurinį išsilavinimą įgiję gyventojai), šeimyninės padėties (depresiją dažniau patiria našliai, išsiskyrę asmenys; vienišų žmonių grupėje buvo mažesnė pusryčiaujančių dalis, tačiau didesnė vartojančių alkoholį), bei lyties (daugiau nei 100 cigarečių per gyvenimą didesnė dalis surūkiusių buvo vyrų nei moterų, be to vyrai geriau vertina savo gyvenimo kokybę).</w:t>
      </w:r>
    </w:p>
    <w:bookmarkEnd w:id="87"/>
    <w:bookmarkEnd w:id="88"/>
    <w:p w:rsidR="00995BE0" w:rsidRDefault="00995BE0" w:rsidP="00414616">
      <w:pPr>
        <w:autoSpaceDE w:val="0"/>
        <w:autoSpaceDN w:val="0"/>
        <w:adjustRightInd w:val="0"/>
        <w:spacing w:line="360" w:lineRule="auto"/>
        <w:ind w:firstLine="600"/>
        <w:jc w:val="both"/>
      </w:pPr>
      <w:r>
        <w:t>G</w:t>
      </w:r>
      <w:r w:rsidRPr="00C41618">
        <w:t>yventojų vi</w:t>
      </w:r>
      <w:r>
        <w:t>dutinė tikėtina gyvenimo trukmės žinojimas kiekvienai s</w:t>
      </w:r>
      <w:r w:rsidRPr="00C41618">
        <w:t xml:space="preserve">avivaldybei padeda politikams priimti reikalingus sprendimus, susijusius su gyventojų sveikatos stiprinimu ir socialinės bei ekonominės būklės gerinimu. Nors Šiaulių miesto savivaldybė </w:t>
      </w:r>
      <w:r>
        <w:t>jau</w:t>
      </w:r>
      <w:r w:rsidRPr="00C41618">
        <w:t xml:space="preserve"> 200</w:t>
      </w:r>
      <w:r>
        <w:t>8</w:t>
      </w:r>
      <w:r w:rsidRPr="00C41618">
        <w:t xml:space="preserve"> m. pasiekė Lietuvos sveikatos programoje užsibrėžtą tikslą (prailginti Lietuvos gyventojų vidutinę gyvenimo trukmę iki 73 met</w:t>
      </w:r>
      <w:r>
        <w:t>ų), tačiau skirtumas tarp lyčių</w:t>
      </w:r>
      <w:r w:rsidRPr="00C41618">
        <w:t xml:space="preserve"> </w:t>
      </w:r>
      <w:r>
        <w:t>yra didelis</w:t>
      </w:r>
      <w:r w:rsidRPr="00C41618">
        <w:t xml:space="preserve"> </w:t>
      </w:r>
      <w:r>
        <w:t>(2006-</w:t>
      </w:r>
      <w:r w:rsidRPr="00C41618">
        <w:t>200</w:t>
      </w:r>
      <w:r>
        <w:t>8</w:t>
      </w:r>
      <w:r w:rsidRPr="00C41618">
        <w:t xml:space="preserve"> m.</w:t>
      </w:r>
      <w:r>
        <w:t xml:space="preserve"> vidurkis</w:t>
      </w:r>
      <w:r w:rsidRPr="00C41618">
        <w:t xml:space="preserve"> buvo </w:t>
      </w:r>
      <w:r>
        <w:t>10,27</w:t>
      </w:r>
      <w:r w:rsidRPr="00C41618">
        <w:t xml:space="preserve"> metų</w:t>
      </w:r>
      <w:r>
        <w:t>, 26</w:t>
      </w:r>
      <w:r w:rsidRPr="007C69B9">
        <w:t xml:space="preserve"> pav</w:t>
      </w:r>
      <w:r>
        <w:t>.)</w:t>
      </w:r>
      <w:r w:rsidRPr="00C41618">
        <w:t>.</w:t>
      </w:r>
    </w:p>
    <w:p w:rsidR="00995BE0" w:rsidRPr="00233035" w:rsidRDefault="00A54FAC" w:rsidP="00414616">
      <w:pPr>
        <w:spacing w:line="360" w:lineRule="auto"/>
        <w:jc w:val="center"/>
        <w:rPr>
          <w:sz w:val="20"/>
          <w:szCs w:val="20"/>
        </w:rPr>
      </w:pPr>
      <w:r>
        <w:rPr>
          <w:noProof/>
          <w:sz w:val="20"/>
          <w:szCs w:val="20"/>
        </w:rPr>
        <w:drawing>
          <wp:inline distT="0" distB="0" distL="0" distR="0">
            <wp:extent cx="5617210" cy="1228090"/>
            <wp:effectExtent l="0" t="0" r="0" b="0"/>
            <wp:docPr id="26" name="Objekta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95BE0" w:rsidRDefault="00995BE0" w:rsidP="00414616">
      <w:pPr>
        <w:ind w:left="709"/>
        <w:jc w:val="center"/>
        <w:rPr>
          <w:b/>
          <w:sz w:val="22"/>
          <w:szCs w:val="22"/>
        </w:rPr>
      </w:pPr>
      <w:r w:rsidRPr="0004720F">
        <w:rPr>
          <w:b/>
        </w:rPr>
        <w:t>2</w:t>
      </w:r>
      <w:r>
        <w:rPr>
          <w:b/>
        </w:rPr>
        <w:t>6</w:t>
      </w:r>
      <w:r w:rsidRPr="006A49ED">
        <w:rPr>
          <w:b/>
        </w:rPr>
        <w:t xml:space="preserve"> pav. </w:t>
      </w:r>
      <w:r w:rsidRPr="007C69B9">
        <w:rPr>
          <w:sz w:val="22"/>
          <w:szCs w:val="22"/>
        </w:rPr>
        <w:t>Vidutinė tikėtina gyvenimo trukmė Šiaulių mieste, Lietuvos Respublikoje ir ES pagal lytį. 2006-2008 metų vidurkis (metais)</w:t>
      </w:r>
    </w:p>
    <w:p w:rsidR="00995BE0" w:rsidRPr="0004720F" w:rsidRDefault="00995BE0" w:rsidP="00414616">
      <w:pPr>
        <w:ind w:left="360"/>
        <w:jc w:val="both"/>
        <w:rPr>
          <w:sz w:val="20"/>
          <w:szCs w:val="20"/>
          <w:highlight w:val="yellow"/>
        </w:rPr>
      </w:pPr>
      <w:r w:rsidRPr="00E52834">
        <w:rPr>
          <w:sz w:val="20"/>
          <w:szCs w:val="20"/>
        </w:rPr>
        <w:t>Sudaryta autoriaus, remiantis</w:t>
      </w:r>
      <w:r>
        <w:rPr>
          <w:sz w:val="20"/>
          <w:szCs w:val="20"/>
        </w:rPr>
        <w:t xml:space="preserve"> šaltiniais: Kauno medicinos universiteto</w:t>
      </w:r>
      <w:r w:rsidRPr="00E52834">
        <w:rPr>
          <w:sz w:val="20"/>
          <w:szCs w:val="20"/>
        </w:rPr>
        <w:t xml:space="preserve"> Sveikatos vadybos katedr</w:t>
      </w:r>
      <w:r>
        <w:rPr>
          <w:sz w:val="20"/>
          <w:szCs w:val="20"/>
        </w:rPr>
        <w:t xml:space="preserve">a; </w:t>
      </w:r>
      <w:r w:rsidRPr="0004720F">
        <w:rPr>
          <w:sz w:val="20"/>
          <w:szCs w:val="20"/>
        </w:rPr>
        <w:t xml:space="preserve">Eurostat regional yearbook (2010). Eurostat Statistical books </w:t>
      </w:r>
      <w:r>
        <w:rPr>
          <w:sz w:val="20"/>
          <w:szCs w:val="20"/>
        </w:rPr>
        <w:t xml:space="preserve">[interaktyvus] </w:t>
      </w:r>
      <w:r w:rsidRPr="0004720F">
        <w:rPr>
          <w:sz w:val="20"/>
          <w:szCs w:val="20"/>
        </w:rPr>
        <w:t xml:space="preserve">[žiūrėta 2010-11-25]. Prieiga per internetą: </w:t>
      </w:r>
      <w:hyperlink r:id="rId54" w:history="1">
        <w:r w:rsidRPr="0004720F">
          <w:rPr>
            <w:rStyle w:val="Hipersaitas"/>
            <w:sz w:val="20"/>
            <w:szCs w:val="20"/>
          </w:rPr>
          <w:t>http://epp.eurostat.ec.europa.eu/cache/ITY_OFFPUB/KS-HA-10-001/EN/KS-HA-10-001-EN.PDF</w:t>
        </w:r>
      </w:hyperlink>
      <w:r w:rsidRPr="0004720F">
        <w:rPr>
          <w:sz w:val="20"/>
          <w:szCs w:val="20"/>
        </w:rPr>
        <w:t>.</w:t>
      </w:r>
    </w:p>
    <w:p w:rsidR="00995BE0" w:rsidRDefault="00995BE0" w:rsidP="00414616">
      <w:pPr>
        <w:autoSpaceDE w:val="0"/>
        <w:autoSpaceDN w:val="0"/>
        <w:adjustRightInd w:val="0"/>
        <w:spacing w:line="360" w:lineRule="auto"/>
        <w:ind w:firstLine="600"/>
        <w:jc w:val="both"/>
      </w:pPr>
      <w:r>
        <w:lastRenderedPageBreak/>
        <w:t>V</w:t>
      </w:r>
      <w:r w:rsidRPr="00C41618">
        <w:t>idutinė gyvenimo trukmė</w:t>
      </w:r>
      <w:r>
        <w:t xml:space="preserve"> savivaldybėse gali skirtis dėl keleto priežasčių: nevienodo mirtingumo lygio; nevienodo naujagimių mirtingumo; skirtingo sveikatos priežiūros paslaugų prieinamumo; savivaldybėje ir visoje šaltyje esančios socioekonominės padėties skirtumų. </w:t>
      </w:r>
    </w:p>
    <w:p w:rsidR="00995BE0" w:rsidRDefault="00995BE0" w:rsidP="00414616">
      <w:pPr>
        <w:spacing w:line="360" w:lineRule="auto"/>
        <w:ind w:firstLine="600"/>
        <w:jc w:val="both"/>
      </w:pPr>
      <w:r w:rsidRPr="003922D2">
        <w:t>2008 m.</w:t>
      </w:r>
      <w:r>
        <w:t xml:space="preserve"> birželio mėnesio</w:t>
      </w:r>
      <w:r w:rsidRPr="003922D2">
        <w:t xml:space="preserve"> </w:t>
      </w:r>
      <w:r>
        <w:t xml:space="preserve">PSO Europos regiono biuro duomenimis, </w:t>
      </w:r>
      <w:r w:rsidRPr="003922D2">
        <w:t>Lietuvoje mirusiųjų skaičius 1</w:t>
      </w:r>
      <w:r>
        <w:t xml:space="preserve"> </w:t>
      </w:r>
      <w:r w:rsidRPr="003922D2">
        <w:t>000 gyventojų 1,</w:t>
      </w:r>
      <w:r>
        <w:t>3</w:t>
      </w:r>
      <w:r w:rsidRPr="003922D2">
        <w:t xml:space="preserve"> karto viršijo ES vidurkį (9,</w:t>
      </w:r>
      <w:r>
        <w:t>8/</w:t>
      </w:r>
      <w:r w:rsidRPr="004D1E2C">
        <w:t>1 000 gyv.</w:t>
      </w:r>
      <w:r w:rsidRPr="003922D2">
        <w:t>), bet buvo mažesnis negu Bulgarijoje (14</w:t>
      </w:r>
      <w:r>
        <w:t>,15/1 000 gyv.</w:t>
      </w:r>
      <w:r w:rsidRPr="003922D2">
        <w:t>) ir Latvijoje (14,</w:t>
      </w:r>
      <w:r>
        <w:t>47/1 000 gyv.</w:t>
      </w:r>
      <w:r w:rsidRPr="003922D2">
        <w:t>)</w:t>
      </w:r>
      <w:r>
        <w:t xml:space="preserve"> (27 pav.)</w:t>
      </w:r>
      <w:r w:rsidRPr="003922D2">
        <w:t xml:space="preserve">. </w:t>
      </w:r>
      <w:r>
        <w:t>ES mirtingumo rodiklis siekė 9,82/1 000 gyventojų.</w:t>
      </w:r>
    </w:p>
    <w:p w:rsidR="00995BE0" w:rsidRDefault="00A54FAC" w:rsidP="00414616">
      <w:pPr>
        <w:jc w:val="center"/>
        <w:rPr>
          <w:b/>
        </w:rPr>
      </w:pPr>
      <w:r>
        <w:rPr>
          <w:b/>
          <w:noProof/>
        </w:rPr>
        <w:drawing>
          <wp:inline distT="0" distB="0" distL="0" distR="0">
            <wp:extent cx="5891530" cy="1358265"/>
            <wp:effectExtent l="0" t="0" r="0" b="0"/>
            <wp:docPr id="27" name="Objekta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95BE0" w:rsidRPr="007C69B9" w:rsidRDefault="00995BE0" w:rsidP="00414616">
      <w:pPr>
        <w:jc w:val="center"/>
        <w:rPr>
          <w:sz w:val="22"/>
          <w:szCs w:val="22"/>
        </w:rPr>
      </w:pPr>
      <w:r w:rsidRPr="007C69B9">
        <w:rPr>
          <w:b/>
          <w:sz w:val="22"/>
          <w:szCs w:val="22"/>
        </w:rPr>
        <w:t>2</w:t>
      </w:r>
      <w:r>
        <w:rPr>
          <w:b/>
          <w:sz w:val="22"/>
          <w:szCs w:val="22"/>
        </w:rPr>
        <w:t>7</w:t>
      </w:r>
      <w:r w:rsidRPr="007C69B9">
        <w:rPr>
          <w:b/>
          <w:sz w:val="22"/>
          <w:szCs w:val="22"/>
        </w:rPr>
        <w:t xml:space="preserve"> pav.</w:t>
      </w:r>
      <w:r w:rsidRPr="007C69B9">
        <w:rPr>
          <w:sz w:val="22"/>
          <w:szCs w:val="22"/>
        </w:rPr>
        <w:t xml:space="preserve"> Gyventojų mirtingumas ES, Lietuvoje, Šiaulių mieste ir apskrityje 2008 m. (1 000 gyv.)</w:t>
      </w:r>
    </w:p>
    <w:p w:rsidR="00995BE0" w:rsidRPr="00BA5550" w:rsidRDefault="00995BE0" w:rsidP="00414616">
      <w:pPr>
        <w:ind w:right="38"/>
        <w:jc w:val="center"/>
        <w:rPr>
          <w:i/>
          <w:iCs/>
          <w:sz w:val="20"/>
          <w:szCs w:val="20"/>
        </w:rPr>
      </w:pPr>
      <w:r>
        <w:rPr>
          <w:sz w:val="20"/>
          <w:szCs w:val="20"/>
        </w:rPr>
        <w:t>S</w:t>
      </w:r>
      <w:r w:rsidRPr="00E52834">
        <w:rPr>
          <w:sz w:val="20"/>
          <w:szCs w:val="20"/>
        </w:rPr>
        <w:t>udaryta autoriaus, remiantis</w:t>
      </w:r>
      <w:r>
        <w:rPr>
          <w:b/>
          <w:sz w:val="20"/>
          <w:szCs w:val="20"/>
        </w:rPr>
        <w:t xml:space="preserve"> š</w:t>
      </w:r>
      <w:r>
        <w:rPr>
          <w:sz w:val="20"/>
          <w:szCs w:val="20"/>
        </w:rPr>
        <w:t>altiniais</w:t>
      </w:r>
      <w:r w:rsidRPr="00E52834">
        <w:rPr>
          <w:sz w:val="20"/>
          <w:szCs w:val="20"/>
        </w:rPr>
        <w:t>:</w:t>
      </w:r>
      <w:r>
        <w:rPr>
          <w:sz w:val="20"/>
          <w:szCs w:val="20"/>
        </w:rPr>
        <w:t xml:space="preserve"> </w:t>
      </w:r>
      <w:r w:rsidRPr="000F5AD6">
        <w:rPr>
          <w:iCs/>
          <w:sz w:val="20"/>
          <w:szCs w:val="20"/>
        </w:rPr>
        <w:t>Europos šalių duomenys iš HFA duomenų bazės 2008m. birželio mėn. versija;  Higienos instituto sveikatos informacijos centras</w:t>
      </w:r>
      <w:r>
        <w:rPr>
          <w:i/>
          <w:iCs/>
          <w:sz w:val="20"/>
          <w:szCs w:val="20"/>
        </w:rPr>
        <w:t>.</w:t>
      </w:r>
    </w:p>
    <w:p w:rsidR="00995BE0" w:rsidRDefault="00995BE0" w:rsidP="00414616">
      <w:pPr>
        <w:spacing w:line="360" w:lineRule="auto"/>
        <w:ind w:left="1418" w:right="1274"/>
        <w:rPr>
          <w:b/>
        </w:rPr>
      </w:pPr>
    </w:p>
    <w:p w:rsidR="00995BE0" w:rsidRPr="001D71BB" w:rsidRDefault="00995BE0" w:rsidP="00414616">
      <w:pPr>
        <w:autoSpaceDE w:val="0"/>
        <w:autoSpaceDN w:val="0"/>
        <w:adjustRightInd w:val="0"/>
        <w:spacing w:line="360" w:lineRule="auto"/>
        <w:ind w:firstLine="540"/>
        <w:jc w:val="both"/>
      </w:pPr>
      <w:r w:rsidRPr="00E5196A">
        <w:t xml:space="preserve">Darbingumas </w:t>
      </w:r>
      <w:r w:rsidRPr="001D71BB">
        <w:t>įvardijamas kaip ypatingai svarbus socioekonominis rodiklis, kuris tiesiogiai įtakoja materialinę – ekonominę gyventojų padėtį: galimybę turėti geresnį būstą, naudoti kokybiškus maisto produktus, skirti daugiau lėšų medikamentams ir asmens higienos reikmėms</w:t>
      </w:r>
      <w:r>
        <w:t xml:space="preserve"> </w:t>
      </w:r>
      <w:r w:rsidRPr="001D71BB">
        <w:t>įsigyti. Užimtumas turi įtakos kriminogeninei situacijai ir savižudybių skaičiui bei socialinės atskirties lygiui. Bendros nuotaikos visuomenėje, užsitęsusios bejėgiškumo nuostatos, kai nemažai gyventojų jaučiasi praradę ryšį su valstybės ir visuomenės raida, gali būti tiesiogiai susijusios su save žalojančio elgesio ir kitokio sergamumo (pvz., širdies ir kraujagyslių ligomis) paplitimu. Ne mažiau svarbus faktorius yra užimamų pareigų lygis, žmogaus saugumas dėl turimo darbo trukmės, darbo vietos stabilumo, atlyginimo dydžio. Šie faktoriai taip pat turi stiprų poveikį žmonių elgsenai, gyvensenai ir sveikatos būklei (Eurostat regional yearbook, 2010).</w:t>
      </w:r>
    </w:p>
    <w:p w:rsidR="00995BE0" w:rsidRPr="001D71BB" w:rsidRDefault="00995BE0" w:rsidP="00414616">
      <w:pPr>
        <w:spacing w:line="360" w:lineRule="auto"/>
        <w:ind w:firstLine="720"/>
        <w:jc w:val="both"/>
      </w:pPr>
      <w:r w:rsidRPr="001D71BB">
        <w:t>2004 m. Lietuva Europos Komisijos vertinimui pateikė Nacionalinį kovos su skurdu ir socialine atskirtimi veiksmų planą 2004–2006 m. Pagrįstai tikimasi, kad didžiausią impulsą kovoje su socialine atskirtimi gali duoti aktyvus Lietuvos dalyvavimas įvairiose su Europos Sąjunga susijusiose ir Europos Sąj</w:t>
      </w:r>
      <w:r>
        <w:t>ungos finansuojamose programose</w:t>
      </w:r>
      <w:r w:rsidRPr="001D71BB">
        <w:t xml:space="preserve"> (Lietuvos Respublikos 2004 – 2006 metų Nacionalinės kovos su skurdu ir socialine atskirtimi</w:t>
      </w:r>
      <w:r>
        <w:t xml:space="preserve"> veiksmų planas, </w:t>
      </w:r>
      <w:r w:rsidRPr="000F5AD6">
        <w:t>2004</w:t>
      </w:r>
      <w:r w:rsidRPr="001D71BB">
        <w:t>).</w:t>
      </w:r>
    </w:p>
    <w:p w:rsidR="00995BE0" w:rsidRPr="001D71BB" w:rsidRDefault="00995BE0" w:rsidP="00414616">
      <w:pPr>
        <w:spacing w:line="360" w:lineRule="auto"/>
        <w:ind w:firstLine="360"/>
        <w:jc w:val="both"/>
        <w:rPr>
          <w:lang w:eastAsia="en-US"/>
        </w:rPr>
      </w:pPr>
      <w:r>
        <w:rPr>
          <w:bCs/>
          <w:noProof/>
        </w:rPr>
        <w:t>Siekimas gerinti</w:t>
      </w:r>
      <w:r w:rsidRPr="001D71BB">
        <w:rPr>
          <w:noProof/>
        </w:rPr>
        <w:t xml:space="preserve"> sveikatos priežiūros paslaugų prieinamumą ir kokybę šalyje</w:t>
      </w:r>
      <w:r w:rsidRPr="00D14D87">
        <w:rPr>
          <w:bCs/>
          <w:noProof/>
        </w:rPr>
        <w:t xml:space="preserve"> </w:t>
      </w:r>
      <w:r>
        <w:rPr>
          <w:bCs/>
          <w:noProof/>
        </w:rPr>
        <w:t>- v</w:t>
      </w:r>
      <w:r w:rsidRPr="001D71BB">
        <w:rPr>
          <w:bCs/>
          <w:noProof/>
        </w:rPr>
        <w:t>ienas iš regionų plėtros Lietuvoje gerinimo planų</w:t>
      </w:r>
      <w:r w:rsidRPr="001D71BB">
        <w:rPr>
          <w:noProof/>
        </w:rPr>
        <w:t xml:space="preserve">. </w:t>
      </w:r>
      <w:r>
        <w:rPr>
          <w:noProof/>
        </w:rPr>
        <w:t xml:space="preserve">Anot A. </w:t>
      </w:r>
      <w:r w:rsidRPr="001D71BB">
        <w:rPr>
          <w:rStyle w:val="HTMLcitata"/>
          <w:i w:val="0"/>
          <w:iCs w:val="0"/>
        </w:rPr>
        <w:t>Kilijonienė</w:t>
      </w:r>
      <w:r>
        <w:rPr>
          <w:rStyle w:val="HTMLcitata"/>
          <w:i w:val="0"/>
          <w:iCs w:val="0"/>
        </w:rPr>
        <w:t>s ir kt. (</w:t>
      </w:r>
      <w:r w:rsidRPr="001D71BB">
        <w:rPr>
          <w:rStyle w:val="HTMLcitata"/>
          <w:i w:val="0"/>
          <w:iCs w:val="0"/>
        </w:rPr>
        <w:t>2010</w:t>
      </w:r>
      <w:r>
        <w:rPr>
          <w:rStyle w:val="HTMLcitata"/>
          <w:i w:val="0"/>
          <w:iCs w:val="0"/>
        </w:rPr>
        <w:t>), b</w:t>
      </w:r>
      <w:r w:rsidRPr="001D71BB">
        <w:rPr>
          <w:noProof/>
        </w:rPr>
        <w:t>us mažinami regioniniai skirtumai ne tik sveikatos priežiūros sektoriuje – tai atitinka horizontalaus lygio regioninės plėtros srities prioritetus.</w:t>
      </w:r>
      <w:r>
        <w:rPr>
          <w:noProof/>
        </w:rPr>
        <w:t xml:space="preserve"> </w:t>
      </w:r>
      <w:r w:rsidRPr="001D71BB">
        <w:rPr>
          <w:sz w:val="22"/>
          <w:szCs w:val="22"/>
          <w:lang w:eastAsia="en-US"/>
        </w:rPr>
        <w:t xml:space="preserve">Svarbiausia regioninės plėtros pusė yra susijusi su gyvenimo kokybės užtikrinimu, tai, </w:t>
      </w:r>
      <w:r w:rsidRPr="001D71BB">
        <w:rPr>
          <w:sz w:val="22"/>
          <w:szCs w:val="22"/>
          <w:lang w:eastAsia="en-US"/>
        </w:rPr>
        <w:lastRenderedPageBreak/>
        <w:t xml:space="preserve">visų pirma, gyventojų skurdo, </w:t>
      </w:r>
      <w:r w:rsidRPr="001D71BB">
        <w:rPr>
          <w:lang w:eastAsia="en-US"/>
        </w:rPr>
        <w:t>aprūpinimo gyvenamuoju plotu, viešųjų paslaugų kokybės ir galimybės jas gauti bei darbo pasiūlos problemų sprendimas.</w:t>
      </w:r>
    </w:p>
    <w:p w:rsidR="00995BE0" w:rsidRPr="001D71BB" w:rsidRDefault="00995BE0" w:rsidP="00414616">
      <w:pPr>
        <w:autoSpaceDE w:val="0"/>
        <w:autoSpaceDN w:val="0"/>
        <w:adjustRightInd w:val="0"/>
        <w:spacing w:line="360" w:lineRule="auto"/>
        <w:ind w:firstLine="540"/>
        <w:jc w:val="both"/>
      </w:pPr>
      <w:r w:rsidRPr="001D71BB">
        <w:t>Remiantis patikimų šaltinių duomenimis, jei ES šalys, tame tarpe ir Lietuva, 10 proc. sumažintų neteisingumą sveikatos priežiūros srityje, būtų užtikrinta apčiuopiama ekonominė nauda, nes būtų sutaupyta 18 milijardų eurų, kurių netektų išleisti sveikatos priežiūrai, ir 6 milijardai, kurių netektų išleisti socialinio draudimo reikmėms (Kaip panaikinti atotrūkį per vienos kartos gyvenamąjį laikotarpį, 2009).</w:t>
      </w:r>
    </w:p>
    <w:p w:rsidR="00995BE0" w:rsidRDefault="00995BE0" w:rsidP="00414616">
      <w:pPr>
        <w:spacing w:line="360" w:lineRule="auto"/>
        <w:ind w:firstLine="600"/>
        <w:jc w:val="both"/>
        <w:rPr>
          <w:lang w:eastAsia="ar-SA"/>
        </w:rPr>
      </w:pPr>
      <w:r>
        <w:rPr>
          <w:lang w:eastAsia="ar-SA"/>
        </w:rPr>
        <w:t>Aptariant ekspertų nuostatas šiuo klausimu, reikia pabrėžti, jog šis prioritetas atrodė per daug platus ir nelabai tinkamas biurui (E4). E7 teigė, kad VS biuras nėra ta organizacija, kuri būtų pajėgi šį prioritetą įgyvendinti. Tam reikalingas tarpinstitutinis bendradarbiavimas. Vis tik ekspertas E7 sutiko, kad dalinai Šiaulių visuomenės sveikatos biuras gali prisidėti mažinant socialinių netolygumų skirtumus. E2 mano, kad globaliniu aspektu prioritetas tinkamas.</w:t>
      </w:r>
    </w:p>
    <w:p w:rsidR="00995BE0" w:rsidRPr="00F74A90" w:rsidRDefault="00995BE0" w:rsidP="00414616">
      <w:pPr>
        <w:spacing w:line="360" w:lineRule="auto"/>
        <w:ind w:firstLine="600"/>
        <w:jc w:val="both"/>
        <w:rPr>
          <w:lang w:eastAsia="ar-SA"/>
        </w:rPr>
      </w:pPr>
      <w:r>
        <w:rPr>
          <w:lang w:eastAsia="ar-SA"/>
        </w:rPr>
        <w:t>Šiaulių visuomenės sveikatos biuras šiuo atveju gali prisidėti kuriant vietines sveikatos programas, ugdant ir keičiant gyventojų požiūrį į savo sveikatą, ypatingai skiriant dėmesį į rizikingos elgsenos paplitimą (rūkymo, alkoholio vartojimo paplitimo mažinimą, fizinio aktyvumo skatinimą). Tokiu būdu galima tikėtis, kad mažės gyventojų sergamumas ir mirtingumas nuo pagrindinių ligų, ilgės vidutinė būsimo gyvenimo trukmė. Atliekama visuomenės sveikatos būklės analizė leidžia identifikuoti kokios gyventojų grupės yra pažeidžiamiausios ir kur turėtų būti nukreipta sveikatos stiprinimo veikla. VS biuras gali bendradarbiauti su kitomis institucijomis, kurios suinteresuotos šios problemos sprendimu.</w:t>
      </w:r>
    </w:p>
    <w:p w:rsidR="00995BE0" w:rsidRPr="004D15B6" w:rsidRDefault="00995BE0" w:rsidP="00EF2CB7">
      <w:pPr>
        <w:pStyle w:val="Antrat2"/>
        <w:rPr>
          <w:sz w:val="28"/>
          <w:szCs w:val="28"/>
          <w:lang w:val="lt-LT"/>
        </w:rPr>
      </w:pPr>
      <w:bookmarkStart w:id="89" w:name="_Toc293248639"/>
      <w:r w:rsidRPr="004D15B6">
        <w:rPr>
          <w:sz w:val="28"/>
          <w:szCs w:val="28"/>
          <w:lang w:val="lt-LT"/>
        </w:rPr>
        <w:t xml:space="preserve">2.4 Ekspertų </w:t>
      </w:r>
      <w:r>
        <w:rPr>
          <w:sz w:val="28"/>
          <w:szCs w:val="28"/>
          <w:lang w:val="lt-LT"/>
        </w:rPr>
        <w:t>nuostatų</w:t>
      </w:r>
      <w:r w:rsidRPr="004D15B6">
        <w:rPr>
          <w:sz w:val="28"/>
          <w:szCs w:val="28"/>
          <w:lang w:val="lt-LT"/>
        </w:rPr>
        <w:t xml:space="preserve"> analizė</w:t>
      </w:r>
      <w:bookmarkEnd w:id="89"/>
    </w:p>
    <w:p w:rsidR="00995BE0" w:rsidRDefault="00995BE0" w:rsidP="00743BE6">
      <w:pPr>
        <w:spacing w:line="360" w:lineRule="auto"/>
        <w:ind w:firstLine="540"/>
        <w:jc w:val="both"/>
        <w:rPr>
          <w:bCs/>
        </w:rPr>
      </w:pPr>
      <w:r>
        <w:rPr>
          <w:bCs/>
        </w:rPr>
        <w:t>Analizuojant tyrimo duomenis, viena bendriausių visų ekspertų nuostatų – savivaldybių visuomenės sveikatos biurai yra reikalingos įstaigos, kurios rūpinasi savivaldybės gyventojų sveikata, yra arčiau bendruomenės.</w:t>
      </w:r>
      <w:r w:rsidRPr="00F87AC1">
        <w:t xml:space="preserve"> </w:t>
      </w:r>
      <w:r>
        <w:t>„</w:t>
      </w:r>
      <w:r w:rsidRPr="001D71BB">
        <w:t>Biurai tikrai reikalingi, nes žmonės dar labai klaidžioja sveikos  gyvensenos ,,sunkiame kelyje". Nors informacijos be galo daug, bet kaip  iš tos daugumos išsirinkti tą vienintelę teisingą. Čia ir turi  darbuotis biurai</w:t>
      </w:r>
      <w:r>
        <w:t>“ – teigė E1</w:t>
      </w:r>
      <w:r w:rsidRPr="001D71BB">
        <w:t xml:space="preserve">. </w:t>
      </w:r>
      <w:r>
        <w:rPr>
          <w:bCs/>
        </w:rPr>
        <w:t xml:space="preserve"> Kita, pas dažną ekspertą vyraujanti nuostata orientuota į savivaldybės darbuotojų, tarybos narių, ir aplamai Lietuvos politikų negatyvią, arba tiksliau tariant, jų nesupratimą apie biurų poreikį, veiklą bei reikšmę. Dažniau politikai išreiškia nepasitikėjimą biurais, nei noru suprasti jų naudą. Taip pat gana aktuali visuomenės sveikatos biurų problema – jų finansavimas. Šis klausimas dar labiau komplikuotas pasidarė nuo 2011 metų. Kai pasirodė pirmieji biurai, finansavimas šaltiniai buvo trys: savivaldybė, PSDF, Lietuvos Respublikos sveikatos apsaugos ministerija. Tačiau nuo 2011 m. savivaldybei yra deleguota funkcija finansuoti Šiaulių visuomenės sveikatos biurą, o Sveikatos apsaugos ministerija skiria lėšas veiklai, tačiau dažniausiai biuro administracijai nėra žinoma nei tiksli suma, nei </w:t>
      </w:r>
      <w:r>
        <w:rPr>
          <w:bCs/>
        </w:rPr>
        <w:lastRenderedPageBreak/>
        <w:t>terminas kada lėšos bus gautos. Palyginus nemaža ekspertų pasisakė už tai, kad iki 2011 m.  susikūrė per daug tokių įstaigų, gana netikėta buvo išgirsti tokią nuomonę iš vieno rajono biuro direktorės (E5), kuri taip pat išreiškė tikimybė, kad ateityje išliks tik biurai esantys apskričių centruose. Ne vienas ekspertas teigė, kad vis dėlto biuruose dirba nepakankamos kompetencijos specialistai.</w:t>
      </w:r>
    </w:p>
    <w:p w:rsidR="00995BE0" w:rsidRDefault="00995BE0" w:rsidP="00743BE6">
      <w:pPr>
        <w:spacing w:line="360" w:lineRule="auto"/>
        <w:ind w:firstLine="540"/>
        <w:jc w:val="both"/>
        <w:rPr>
          <w:bCs/>
        </w:rPr>
      </w:pPr>
      <w:r>
        <w:rPr>
          <w:bCs/>
        </w:rPr>
        <w:t>Kalbinant ekspertus, išryškėjo tai, kad kol kas savivaldybių visuomenės sveikatos biuruose vyrauja didesnė dalis trūkumų nei pranašumų. Tai galima paaiškinti keliais aspektais: visų pirma tai gali atsitikti dėl to, kad šios įstaigos yra dar jaunos, nėra patirties, kol kas darbas tik tobulinamas, nėra bendros sistemos, metodikos. Kaip teigė E7 – „</w:t>
      </w:r>
      <w:r>
        <w:t>Iš 32 Biurų tik 18 turi suformavę pilną komandą (visus specialistus), 7 trūksta visuomenės sveikatos stiprinimo specialisto, 6 – vaikų ir jaunimo sveikatos priežiūros specialisto, 5 – visuomenės sveikatos stebėsenos specialisto. Kaip bebūtų gaila 2 Biuruose Lietuvoje šiuo metu yra tik direktoriai“.</w:t>
      </w:r>
      <w:r>
        <w:rPr>
          <w:bCs/>
        </w:rPr>
        <w:t xml:space="preserve"> Reikia pripažinti, kad apie tokios įstaigos darbą, tuo labiau kokybišką darbą negali būti kalbos. Kitas aspektas gali būti susijęs su Lietuvos sveikatos sistemos reforma, kuri vykdoma per greitai, gerai neapgalvojus visų aspektų. Vis dėlto galų gale, kai visi nori pamatyti akivaizdžių rezultatų, o jų nėra, dažniausiai kalti lieka patys biurai, kurių veikla vertinama kaip neefektyvi. 9 lentelėje yra išdėstyti trūkumai, kuriuos įvardino tyrime dalyvavę ekspertai bei pagrindinės frazės. Pilni interviu rezultatai pateikti 18 priede.</w:t>
      </w:r>
    </w:p>
    <w:p w:rsidR="00995BE0" w:rsidRDefault="00995BE0" w:rsidP="007307D5">
      <w:pPr>
        <w:spacing w:line="360" w:lineRule="auto"/>
        <w:ind w:firstLine="540"/>
        <w:jc w:val="right"/>
        <w:rPr>
          <w:b/>
          <w:bCs/>
        </w:rPr>
      </w:pPr>
      <w:r w:rsidRPr="007307D5">
        <w:rPr>
          <w:b/>
          <w:bCs/>
        </w:rPr>
        <w:t xml:space="preserve"> 9 lentelė</w:t>
      </w:r>
    </w:p>
    <w:p w:rsidR="00995BE0" w:rsidRPr="007307D5" w:rsidRDefault="00995BE0" w:rsidP="007307D5">
      <w:pPr>
        <w:spacing w:line="360" w:lineRule="auto"/>
        <w:ind w:firstLine="540"/>
        <w:jc w:val="center"/>
        <w:rPr>
          <w:b/>
          <w:bCs/>
        </w:rPr>
      </w:pPr>
      <w:r>
        <w:rPr>
          <w:b/>
          <w:bCs/>
        </w:rPr>
        <w:t>Savivaldybių visuomenės sveikatos biurų trūkumai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28"/>
        <w:gridCol w:w="6626"/>
      </w:tblGrid>
      <w:tr w:rsidR="00995BE0" w:rsidTr="00B91ACC">
        <w:tc>
          <w:tcPr>
            <w:tcW w:w="3228" w:type="dxa"/>
          </w:tcPr>
          <w:p w:rsidR="00995BE0" w:rsidRPr="000A0635" w:rsidRDefault="00995BE0" w:rsidP="000A0635">
            <w:pPr>
              <w:jc w:val="center"/>
              <w:rPr>
                <w:bCs/>
              </w:rPr>
            </w:pPr>
            <w:r w:rsidRPr="000A0635">
              <w:rPr>
                <w:bCs/>
                <w:sz w:val="22"/>
                <w:szCs w:val="22"/>
              </w:rPr>
              <w:t>TRŪKUMAS</w:t>
            </w:r>
          </w:p>
        </w:tc>
        <w:tc>
          <w:tcPr>
            <w:tcW w:w="6626" w:type="dxa"/>
          </w:tcPr>
          <w:p w:rsidR="00995BE0" w:rsidRPr="000A0635" w:rsidRDefault="00995BE0" w:rsidP="000A0635">
            <w:pPr>
              <w:jc w:val="center"/>
              <w:rPr>
                <w:bCs/>
              </w:rPr>
            </w:pPr>
            <w:r w:rsidRPr="000A0635">
              <w:rPr>
                <w:bCs/>
                <w:sz w:val="22"/>
                <w:szCs w:val="22"/>
              </w:rPr>
              <w:t>IŠSAKYTOS NUOMONĖS</w:t>
            </w:r>
          </w:p>
        </w:tc>
      </w:tr>
      <w:tr w:rsidR="00995BE0" w:rsidTr="00B91ACC">
        <w:tc>
          <w:tcPr>
            <w:tcW w:w="3228" w:type="dxa"/>
          </w:tcPr>
          <w:p w:rsidR="00995BE0" w:rsidRPr="000A0635" w:rsidRDefault="00995BE0" w:rsidP="000A0635">
            <w:pPr>
              <w:jc w:val="both"/>
              <w:rPr>
                <w:bCs/>
              </w:rPr>
            </w:pPr>
            <w:r w:rsidRPr="000A0635">
              <w:rPr>
                <w:bCs/>
                <w:sz w:val="22"/>
                <w:szCs w:val="22"/>
              </w:rPr>
              <w:t>Finansavimo problemas</w:t>
            </w:r>
          </w:p>
        </w:tc>
        <w:tc>
          <w:tcPr>
            <w:tcW w:w="6626" w:type="dxa"/>
          </w:tcPr>
          <w:p w:rsidR="00995BE0" w:rsidRPr="000A0635" w:rsidRDefault="00995BE0" w:rsidP="000A0635">
            <w:pPr>
              <w:jc w:val="both"/>
              <w:rPr>
                <w:bCs/>
              </w:rPr>
            </w:pPr>
            <w:r w:rsidRPr="000A0635">
              <w:rPr>
                <w:sz w:val="22"/>
                <w:szCs w:val="22"/>
              </w:rPr>
              <w:t>„Tobulinti reikėtų biurų finansavimą...“ Nėra išspręstas finansavimo klausimas“, „Atlyginimų skyrimas nesutvarkytas“, „nesutvarkytas finansavimas“, „Visuomenės sveikatos priežiūros sektorius nepakankamai finansuojamas. Nesutvarkytas iki galo ir Biurų finansavimo mechanizmas.“, „Kai nežinai kada ir kiek lėšų gausi – negali planuoti savo veiklų...“</w:t>
            </w:r>
          </w:p>
        </w:tc>
      </w:tr>
      <w:tr w:rsidR="00995BE0" w:rsidTr="00B91ACC">
        <w:tc>
          <w:tcPr>
            <w:tcW w:w="3228" w:type="dxa"/>
          </w:tcPr>
          <w:p w:rsidR="00995BE0" w:rsidRPr="000A0635" w:rsidRDefault="00995BE0" w:rsidP="000A0635">
            <w:pPr>
              <w:jc w:val="both"/>
              <w:rPr>
                <w:bCs/>
              </w:rPr>
            </w:pPr>
            <w:r>
              <w:rPr>
                <w:bCs/>
                <w:sz w:val="22"/>
                <w:szCs w:val="22"/>
              </w:rPr>
              <w:t>Nesutvarkyta e</w:t>
            </w:r>
            <w:r w:rsidRPr="000A0635">
              <w:rPr>
                <w:bCs/>
                <w:sz w:val="22"/>
                <w:szCs w:val="22"/>
              </w:rPr>
              <w:t>tatinė struktūra</w:t>
            </w:r>
          </w:p>
        </w:tc>
        <w:tc>
          <w:tcPr>
            <w:tcW w:w="6626" w:type="dxa"/>
          </w:tcPr>
          <w:p w:rsidR="00995BE0" w:rsidRPr="000A0635" w:rsidRDefault="00995BE0" w:rsidP="000A0635">
            <w:pPr>
              <w:jc w:val="both"/>
              <w:rPr>
                <w:bCs/>
              </w:rPr>
            </w:pPr>
            <w:r w:rsidRPr="000A0635">
              <w:rPr>
                <w:sz w:val="22"/>
                <w:szCs w:val="22"/>
              </w:rPr>
              <w:t>„Tobulinti reikėtų biurų etatinę  struktūrą“</w:t>
            </w:r>
          </w:p>
        </w:tc>
      </w:tr>
      <w:tr w:rsidR="00995BE0" w:rsidTr="00B91ACC">
        <w:tc>
          <w:tcPr>
            <w:tcW w:w="3228" w:type="dxa"/>
          </w:tcPr>
          <w:p w:rsidR="00995BE0" w:rsidRPr="000A0635" w:rsidRDefault="00995BE0" w:rsidP="000A0635">
            <w:pPr>
              <w:jc w:val="both"/>
              <w:rPr>
                <w:bCs/>
              </w:rPr>
            </w:pPr>
            <w:r w:rsidRPr="000A0635">
              <w:rPr>
                <w:bCs/>
                <w:sz w:val="22"/>
                <w:szCs w:val="22"/>
              </w:rPr>
              <w:t>Savivaldybių, politikų</w:t>
            </w:r>
            <w:r>
              <w:rPr>
                <w:bCs/>
                <w:sz w:val="22"/>
                <w:szCs w:val="22"/>
              </w:rPr>
              <w:t xml:space="preserve"> negatyvi</w:t>
            </w:r>
            <w:r w:rsidRPr="000A0635">
              <w:rPr>
                <w:bCs/>
                <w:sz w:val="22"/>
                <w:szCs w:val="22"/>
              </w:rPr>
              <w:t xml:space="preserve"> nuostata</w:t>
            </w:r>
            <w:r>
              <w:rPr>
                <w:bCs/>
                <w:sz w:val="22"/>
                <w:szCs w:val="22"/>
              </w:rPr>
              <w:t xml:space="preserve"> dėl visuomenės sveikatos biurų</w:t>
            </w:r>
            <w:r w:rsidRPr="000A0635">
              <w:rPr>
                <w:bCs/>
                <w:sz w:val="22"/>
                <w:szCs w:val="22"/>
              </w:rPr>
              <w:t>, jie nepakankamai įtraukiami į biurų veiklą</w:t>
            </w:r>
          </w:p>
        </w:tc>
        <w:tc>
          <w:tcPr>
            <w:tcW w:w="6626" w:type="dxa"/>
          </w:tcPr>
          <w:p w:rsidR="00995BE0" w:rsidRPr="000A0635" w:rsidRDefault="00995BE0" w:rsidP="000A0635">
            <w:pPr>
              <w:jc w:val="both"/>
              <w:rPr>
                <w:bCs/>
              </w:rPr>
            </w:pPr>
            <w:r w:rsidRPr="000A0635">
              <w:rPr>
                <w:sz w:val="22"/>
                <w:szCs w:val="22"/>
              </w:rPr>
              <w:t xml:space="preserve">„Ypatingai su biurų veikla turėtų būti supažindinti  politikai, kad juos pasikviestų ministerija ir išaiškintų visą biurų  </w:t>
            </w:r>
            <w:r w:rsidRPr="000A0635">
              <w:rPr>
                <w:sz w:val="22"/>
                <w:szCs w:val="22"/>
              </w:rPr>
              <w:br/>
              <w:t>veiklą, nes mes jiems ne rodiklis.“, „...būtina bendradarbiauti, palaikyti ryšius su politikais.</w:t>
            </w:r>
            <w:r>
              <w:rPr>
                <w:sz w:val="22"/>
                <w:szCs w:val="22"/>
              </w:rPr>
              <w:t>“</w:t>
            </w:r>
            <w:r w:rsidRPr="000A0635">
              <w:rPr>
                <w:sz w:val="22"/>
                <w:szCs w:val="22"/>
              </w:rPr>
              <w:t xml:space="preserve"> </w:t>
            </w:r>
            <w:r>
              <w:rPr>
                <w:sz w:val="22"/>
                <w:szCs w:val="22"/>
              </w:rPr>
              <w:t>„J</w:t>
            </w:r>
            <w:r w:rsidRPr="000A0635">
              <w:rPr>
                <w:sz w:val="22"/>
                <w:szCs w:val="22"/>
              </w:rPr>
              <w:t xml:space="preserve">uos reikia įtraukti į biuro gyvenimą, nes nuo jų sprendimų daug priklauso.“, „...jie žiūri į biurus kaip į dar vieną, nereikalingą biudžetinę įstaigą, kuri ima žmonių pinigus, kuri nieko nedaro.“ </w:t>
            </w:r>
            <w:r>
              <w:rPr>
                <w:sz w:val="22"/>
                <w:szCs w:val="22"/>
              </w:rPr>
              <w:t>„</w:t>
            </w:r>
            <w:r w:rsidRPr="000A0635">
              <w:rPr>
                <w:sz w:val="22"/>
                <w:szCs w:val="22"/>
              </w:rPr>
              <w:t>Didžioji dalis mūsų politikų nesuvokia visos visuomenės sveikatos esmės, kas įtakoja visuomenės sveikatą ir kas turėtų ką daryti, kad ta sveikata gerėtų.“, „...savivaldybė per mažai skiria visuomenei sveikatai.“, „...stinga politinės paramos, jo svarba neįvertinta ne tik valstybiniu mąstu, bet ir SAM viduje, o ypač - savivaldybėse.“</w:t>
            </w:r>
          </w:p>
        </w:tc>
      </w:tr>
      <w:tr w:rsidR="00995BE0" w:rsidTr="00B91ACC">
        <w:tc>
          <w:tcPr>
            <w:tcW w:w="3228" w:type="dxa"/>
          </w:tcPr>
          <w:p w:rsidR="00995BE0" w:rsidRPr="000A0635" w:rsidRDefault="00995BE0" w:rsidP="000A0635">
            <w:pPr>
              <w:jc w:val="both"/>
              <w:rPr>
                <w:bCs/>
              </w:rPr>
            </w:pPr>
            <w:r>
              <w:rPr>
                <w:bCs/>
                <w:sz w:val="22"/>
                <w:szCs w:val="22"/>
              </w:rPr>
              <w:t>Nepakankamas s</w:t>
            </w:r>
            <w:r w:rsidRPr="000A0635">
              <w:rPr>
                <w:bCs/>
                <w:sz w:val="22"/>
                <w:szCs w:val="22"/>
              </w:rPr>
              <w:t>tebėsenos</w:t>
            </w:r>
            <w:r>
              <w:rPr>
                <w:bCs/>
                <w:sz w:val="22"/>
                <w:szCs w:val="22"/>
              </w:rPr>
              <w:t xml:space="preserve"> skyriaus</w:t>
            </w:r>
            <w:r w:rsidRPr="000A0635">
              <w:rPr>
                <w:bCs/>
                <w:sz w:val="22"/>
                <w:szCs w:val="22"/>
              </w:rPr>
              <w:t xml:space="preserve"> darbas</w:t>
            </w:r>
          </w:p>
        </w:tc>
        <w:tc>
          <w:tcPr>
            <w:tcW w:w="6626" w:type="dxa"/>
          </w:tcPr>
          <w:p w:rsidR="00995BE0" w:rsidRPr="000A0635" w:rsidRDefault="00995BE0" w:rsidP="000A0635">
            <w:pPr>
              <w:jc w:val="both"/>
              <w:rPr>
                <w:bCs/>
              </w:rPr>
            </w:pPr>
            <w:r w:rsidRPr="000A0635">
              <w:rPr>
                <w:sz w:val="22"/>
                <w:szCs w:val="22"/>
              </w:rPr>
              <w:t>„Ne visi rodikliai, patvirtinti SAM, adekvačiai atspindi gyventojų šiuolaikinę sveikatą.“ „Stebėsena turi žinoti ką konkrečiai ir kokiai problemai spręsti darė (pranešimus, akcijos, paskaitos...“</w:t>
            </w:r>
          </w:p>
        </w:tc>
      </w:tr>
      <w:tr w:rsidR="00995BE0" w:rsidTr="00B91ACC">
        <w:tc>
          <w:tcPr>
            <w:tcW w:w="3228" w:type="dxa"/>
          </w:tcPr>
          <w:p w:rsidR="00995BE0" w:rsidRPr="000A0635" w:rsidRDefault="00995BE0" w:rsidP="000A0635">
            <w:pPr>
              <w:jc w:val="both"/>
              <w:rPr>
                <w:bCs/>
              </w:rPr>
            </w:pPr>
            <w:r w:rsidRPr="000A0635">
              <w:rPr>
                <w:bCs/>
                <w:sz w:val="22"/>
                <w:szCs w:val="22"/>
              </w:rPr>
              <w:t xml:space="preserve">Žiniasklaida </w:t>
            </w:r>
            <w:r>
              <w:rPr>
                <w:bCs/>
                <w:sz w:val="22"/>
                <w:szCs w:val="22"/>
              </w:rPr>
              <w:t>per mažai įsitraukia į sveikatinimo viešinimą</w:t>
            </w:r>
          </w:p>
        </w:tc>
        <w:tc>
          <w:tcPr>
            <w:tcW w:w="6626" w:type="dxa"/>
          </w:tcPr>
          <w:p w:rsidR="00995BE0" w:rsidRPr="000A0635" w:rsidRDefault="00995BE0" w:rsidP="000A0635">
            <w:pPr>
              <w:jc w:val="both"/>
              <w:rPr>
                <w:bCs/>
              </w:rPr>
            </w:pPr>
            <w:r w:rsidRPr="000A0635">
              <w:rPr>
                <w:sz w:val="22"/>
                <w:szCs w:val="22"/>
              </w:rPr>
              <w:t xml:space="preserve">„Kita problema - žiniasklaida, prie sveikatinimo prisiliečia labai minimaliai.“, </w:t>
            </w:r>
          </w:p>
        </w:tc>
      </w:tr>
      <w:tr w:rsidR="00995BE0" w:rsidTr="00B91ACC">
        <w:tc>
          <w:tcPr>
            <w:tcW w:w="3228" w:type="dxa"/>
          </w:tcPr>
          <w:p w:rsidR="00995BE0" w:rsidRPr="000A0635" w:rsidRDefault="00995BE0" w:rsidP="000A0635">
            <w:pPr>
              <w:jc w:val="both"/>
              <w:rPr>
                <w:bCs/>
              </w:rPr>
            </w:pPr>
            <w:r w:rsidRPr="000A0635">
              <w:rPr>
                <w:bCs/>
                <w:sz w:val="22"/>
                <w:szCs w:val="22"/>
              </w:rPr>
              <w:t>Mokyklose nėra sveikos gyvensenos disciplinos</w:t>
            </w:r>
          </w:p>
        </w:tc>
        <w:tc>
          <w:tcPr>
            <w:tcW w:w="6626" w:type="dxa"/>
          </w:tcPr>
          <w:p w:rsidR="00995BE0" w:rsidRPr="000A0635" w:rsidRDefault="00995BE0" w:rsidP="000A0635">
            <w:pPr>
              <w:jc w:val="both"/>
              <w:rPr>
                <w:bCs/>
              </w:rPr>
            </w:pPr>
            <w:r w:rsidRPr="000A0635">
              <w:rPr>
                <w:sz w:val="22"/>
                <w:szCs w:val="22"/>
              </w:rPr>
              <w:t xml:space="preserve">„Kitą, dar vieną labai svarbią problemą, kurią būtiną spręsti – kad mokyklose būtų atitinkama disciplina, skirta sveikatos ugdymui </w:t>
            </w:r>
            <w:r w:rsidRPr="000A0635">
              <w:rPr>
                <w:sz w:val="22"/>
                <w:szCs w:val="22"/>
              </w:rPr>
              <w:lastRenderedPageBreak/>
              <w:t>mokyti.“, „...į bendrojo ugdymo sistemą reikia integruoti bent vieną pamoką per savaitę skirtą sveikai gyvensenai.“</w:t>
            </w:r>
          </w:p>
        </w:tc>
      </w:tr>
      <w:tr w:rsidR="00995BE0" w:rsidTr="00B91ACC">
        <w:tc>
          <w:tcPr>
            <w:tcW w:w="3228" w:type="dxa"/>
          </w:tcPr>
          <w:p w:rsidR="00995BE0" w:rsidRPr="000A0635" w:rsidRDefault="00995BE0" w:rsidP="000A0635">
            <w:pPr>
              <w:jc w:val="both"/>
              <w:rPr>
                <w:bCs/>
              </w:rPr>
            </w:pPr>
            <w:r w:rsidRPr="000A0635">
              <w:rPr>
                <w:bCs/>
                <w:sz w:val="22"/>
                <w:szCs w:val="22"/>
              </w:rPr>
              <w:lastRenderedPageBreak/>
              <w:t>Specialistų komandos nebuvimas mokyklose</w:t>
            </w:r>
          </w:p>
        </w:tc>
        <w:tc>
          <w:tcPr>
            <w:tcW w:w="6626" w:type="dxa"/>
          </w:tcPr>
          <w:p w:rsidR="00995BE0" w:rsidRPr="000A0635" w:rsidRDefault="00995BE0" w:rsidP="000A0635">
            <w:pPr>
              <w:jc w:val="both"/>
              <w:rPr>
                <w:bCs/>
              </w:rPr>
            </w:pPr>
            <w:r w:rsidRPr="000A0635">
              <w:rPr>
                <w:sz w:val="22"/>
                <w:szCs w:val="22"/>
              </w:rPr>
              <w:t>„Komandos kiekvienoje mokykloje, į kurią įeina socialinis pedagogas, visuomenės sveikatos priežiūros specialistas, psichologas.“</w:t>
            </w:r>
          </w:p>
        </w:tc>
      </w:tr>
      <w:tr w:rsidR="00995BE0" w:rsidTr="00B91ACC">
        <w:tc>
          <w:tcPr>
            <w:tcW w:w="3228" w:type="dxa"/>
          </w:tcPr>
          <w:p w:rsidR="00995BE0" w:rsidRPr="000A0635" w:rsidRDefault="00995BE0" w:rsidP="000A0635">
            <w:pPr>
              <w:jc w:val="both"/>
              <w:rPr>
                <w:bCs/>
              </w:rPr>
            </w:pPr>
            <w:r w:rsidRPr="000A0635">
              <w:rPr>
                <w:bCs/>
                <w:sz w:val="22"/>
                <w:szCs w:val="22"/>
              </w:rPr>
              <w:t>Specialistų kompetencijų trūkumas</w:t>
            </w:r>
          </w:p>
        </w:tc>
        <w:tc>
          <w:tcPr>
            <w:tcW w:w="6626" w:type="dxa"/>
          </w:tcPr>
          <w:p w:rsidR="00995BE0" w:rsidRPr="000A0635" w:rsidRDefault="00995BE0" w:rsidP="000A0635">
            <w:pPr>
              <w:jc w:val="both"/>
              <w:rPr>
                <w:bCs/>
              </w:rPr>
            </w:pPr>
            <w:r w:rsidRPr="000A0635">
              <w:rPr>
                <w:sz w:val="22"/>
                <w:szCs w:val="22"/>
              </w:rPr>
              <w:t>„...tam, kad galėtų visuomenės sveikatos priežiūros specialistai, dirbantys mokyklose tai padaryti, jie turi būti tam kompetentingi.“</w:t>
            </w:r>
          </w:p>
        </w:tc>
      </w:tr>
      <w:tr w:rsidR="00995BE0" w:rsidTr="00B91ACC">
        <w:tc>
          <w:tcPr>
            <w:tcW w:w="3228" w:type="dxa"/>
          </w:tcPr>
          <w:p w:rsidR="00995BE0" w:rsidRPr="000A0635" w:rsidRDefault="00995BE0" w:rsidP="000A0635">
            <w:pPr>
              <w:jc w:val="both"/>
              <w:rPr>
                <w:bCs/>
              </w:rPr>
            </w:pPr>
            <w:r w:rsidRPr="000A0635">
              <w:rPr>
                <w:bCs/>
                <w:sz w:val="22"/>
                <w:szCs w:val="22"/>
              </w:rPr>
              <w:t>Kvalifikuotų specialistų trūkumas</w:t>
            </w:r>
          </w:p>
        </w:tc>
        <w:tc>
          <w:tcPr>
            <w:tcW w:w="6626" w:type="dxa"/>
          </w:tcPr>
          <w:p w:rsidR="00995BE0" w:rsidRPr="000A0635" w:rsidRDefault="00995BE0" w:rsidP="000A0635">
            <w:pPr>
              <w:jc w:val="both"/>
              <w:rPr>
                <w:bCs/>
              </w:rPr>
            </w:pPr>
            <w:r w:rsidRPr="000A0635">
              <w:rPr>
                <w:sz w:val="22"/>
                <w:szCs w:val="22"/>
              </w:rPr>
              <w:t>„...vis dar trūksta kvalifikuotų specialistų...“, „</w:t>
            </w:r>
            <w:r w:rsidRPr="00A557F9">
              <w:rPr>
                <w:sz w:val="22"/>
                <w:szCs w:val="22"/>
              </w:rPr>
              <w:t>žmogiškųjų resursų trūkumas</w:t>
            </w:r>
            <w:r w:rsidRPr="000A0635">
              <w:rPr>
                <w:i/>
                <w:sz w:val="22"/>
                <w:szCs w:val="22"/>
              </w:rPr>
              <w:t>“</w:t>
            </w:r>
          </w:p>
        </w:tc>
      </w:tr>
      <w:tr w:rsidR="00995BE0" w:rsidTr="00B91ACC">
        <w:tc>
          <w:tcPr>
            <w:tcW w:w="3228" w:type="dxa"/>
          </w:tcPr>
          <w:p w:rsidR="00995BE0" w:rsidRPr="000A0635" w:rsidRDefault="00995BE0" w:rsidP="000A0635">
            <w:pPr>
              <w:jc w:val="both"/>
              <w:rPr>
                <w:bCs/>
              </w:rPr>
            </w:pPr>
            <w:r w:rsidRPr="000A0635">
              <w:rPr>
                <w:bCs/>
                <w:sz w:val="22"/>
                <w:szCs w:val="22"/>
              </w:rPr>
              <w:t>Bendradarbiavimo trūkumas</w:t>
            </w:r>
          </w:p>
        </w:tc>
        <w:tc>
          <w:tcPr>
            <w:tcW w:w="6626" w:type="dxa"/>
          </w:tcPr>
          <w:p w:rsidR="00995BE0" w:rsidRPr="000A0635" w:rsidRDefault="00995BE0" w:rsidP="000A0635">
            <w:pPr>
              <w:jc w:val="both"/>
              <w:rPr>
                <w:bCs/>
              </w:rPr>
            </w:pPr>
            <w:r w:rsidRPr="000A0635">
              <w:rPr>
                <w:i/>
                <w:sz w:val="22"/>
                <w:szCs w:val="22"/>
              </w:rPr>
              <w:t>„</w:t>
            </w:r>
            <w:r w:rsidRPr="000A0635">
              <w:rPr>
                <w:sz w:val="22"/>
                <w:szCs w:val="22"/>
              </w:rPr>
              <w:t>Biurai Lietuvoje mažai įtraukia kitus savivaldybių skyrius, institucijas ir visuomenines organizacijas.“</w:t>
            </w:r>
          </w:p>
        </w:tc>
      </w:tr>
      <w:tr w:rsidR="00995BE0" w:rsidTr="00B91ACC">
        <w:tc>
          <w:tcPr>
            <w:tcW w:w="3228" w:type="dxa"/>
          </w:tcPr>
          <w:p w:rsidR="00995BE0" w:rsidRPr="000A0635" w:rsidRDefault="00995BE0" w:rsidP="000A0635">
            <w:pPr>
              <w:jc w:val="both"/>
              <w:rPr>
                <w:bCs/>
              </w:rPr>
            </w:pPr>
            <w:r w:rsidRPr="000A0635">
              <w:rPr>
                <w:bCs/>
                <w:sz w:val="22"/>
                <w:szCs w:val="22"/>
              </w:rPr>
              <w:t>Neigiamas mokyklų vadovų požiūris į visuomenės sveikatą</w:t>
            </w:r>
          </w:p>
        </w:tc>
        <w:tc>
          <w:tcPr>
            <w:tcW w:w="6626" w:type="dxa"/>
          </w:tcPr>
          <w:p w:rsidR="00995BE0" w:rsidRPr="000A0635" w:rsidRDefault="00995BE0" w:rsidP="000A0635">
            <w:pPr>
              <w:jc w:val="both"/>
              <w:rPr>
                <w:bCs/>
              </w:rPr>
            </w:pPr>
            <w:r w:rsidRPr="000A0635">
              <w:rPr>
                <w:sz w:val="22"/>
                <w:szCs w:val="22"/>
              </w:rPr>
              <w:t>„Mokyklų vadovai nesupranta biuro veiklos reikšmingumo“.</w:t>
            </w:r>
          </w:p>
        </w:tc>
      </w:tr>
      <w:tr w:rsidR="00995BE0" w:rsidTr="00B91ACC">
        <w:tc>
          <w:tcPr>
            <w:tcW w:w="3228" w:type="dxa"/>
          </w:tcPr>
          <w:p w:rsidR="00995BE0" w:rsidRPr="000A0635" w:rsidRDefault="00995BE0" w:rsidP="000A0635">
            <w:pPr>
              <w:jc w:val="both"/>
              <w:rPr>
                <w:bCs/>
              </w:rPr>
            </w:pPr>
            <w:r w:rsidRPr="000A0635">
              <w:rPr>
                <w:bCs/>
                <w:sz w:val="22"/>
                <w:szCs w:val="22"/>
              </w:rPr>
              <w:t>Per platus veiklos spektras</w:t>
            </w:r>
          </w:p>
        </w:tc>
        <w:tc>
          <w:tcPr>
            <w:tcW w:w="6626" w:type="dxa"/>
          </w:tcPr>
          <w:p w:rsidR="00995BE0" w:rsidRPr="000A0635" w:rsidRDefault="00995BE0" w:rsidP="000A0635">
            <w:pPr>
              <w:jc w:val="both"/>
              <w:rPr>
                <w:bCs/>
              </w:rPr>
            </w:pPr>
            <w:r w:rsidRPr="000A0635">
              <w:rPr>
                <w:sz w:val="22"/>
                <w:szCs w:val="22"/>
              </w:rPr>
              <w:t>„...veikla yra labai plati“</w:t>
            </w:r>
          </w:p>
        </w:tc>
      </w:tr>
      <w:tr w:rsidR="00995BE0" w:rsidTr="00B91ACC">
        <w:tc>
          <w:tcPr>
            <w:tcW w:w="3228" w:type="dxa"/>
          </w:tcPr>
          <w:p w:rsidR="00995BE0" w:rsidRPr="000A0635" w:rsidRDefault="00995BE0" w:rsidP="000A0635">
            <w:pPr>
              <w:jc w:val="both"/>
              <w:rPr>
                <w:bCs/>
              </w:rPr>
            </w:pPr>
            <w:r w:rsidRPr="000A0635">
              <w:rPr>
                <w:bCs/>
                <w:sz w:val="22"/>
                <w:szCs w:val="22"/>
              </w:rPr>
              <w:t>Nėra kasmetinio darbo veiklos planų vertinimo</w:t>
            </w:r>
          </w:p>
        </w:tc>
        <w:tc>
          <w:tcPr>
            <w:tcW w:w="6626" w:type="dxa"/>
          </w:tcPr>
          <w:p w:rsidR="00995BE0" w:rsidRPr="000A0635" w:rsidRDefault="00995BE0" w:rsidP="000A0635">
            <w:pPr>
              <w:jc w:val="both"/>
              <w:rPr>
                <w:bCs/>
              </w:rPr>
            </w:pPr>
            <w:r w:rsidRPr="000A0635">
              <w:rPr>
                <w:bCs/>
                <w:sz w:val="22"/>
                <w:szCs w:val="22"/>
              </w:rPr>
              <w:t>„</w:t>
            </w:r>
            <w:r w:rsidRPr="000A0635">
              <w:rPr>
                <w:sz w:val="22"/>
                <w:szCs w:val="22"/>
              </w:rPr>
              <w:t>Skyriai kiekvienais metai kuriasi savo darbo planus, bet vertinimo nėra, o turėtų būti.“</w:t>
            </w:r>
          </w:p>
        </w:tc>
      </w:tr>
      <w:tr w:rsidR="00995BE0" w:rsidTr="00B91ACC">
        <w:tc>
          <w:tcPr>
            <w:tcW w:w="3228" w:type="dxa"/>
          </w:tcPr>
          <w:p w:rsidR="00995BE0" w:rsidRPr="000A0635" w:rsidRDefault="00995BE0" w:rsidP="000A0635">
            <w:pPr>
              <w:jc w:val="both"/>
              <w:rPr>
                <w:bCs/>
              </w:rPr>
            </w:pPr>
            <w:r w:rsidRPr="000A0635">
              <w:rPr>
                <w:bCs/>
                <w:sz w:val="22"/>
                <w:szCs w:val="22"/>
              </w:rPr>
              <w:t>Nepakankamai pritaikytos įstaigos patalpos darbui</w:t>
            </w:r>
          </w:p>
        </w:tc>
        <w:tc>
          <w:tcPr>
            <w:tcW w:w="6626" w:type="dxa"/>
          </w:tcPr>
          <w:p w:rsidR="00995BE0" w:rsidRPr="000A0635" w:rsidRDefault="00995BE0" w:rsidP="000A0635">
            <w:pPr>
              <w:jc w:val="both"/>
              <w:rPr>
                <w:bCs/>
              </w:rPr>
            </w:pPr>
            <w:r w:rsidRPr="000A0635">
              <w:rPr>
                <w:bCs/>
                <w:sz w:val="22"/>
                <w:szCs w:val="22"/>
              </w:rPr>
              <w:t>„...</w:t>
            </w:r>
            <w:r w:rsidRPr="000A0635">
              <w:rPr>
                <w:sz w:val="22"/>
                <w:szCs w:val="22"/>
              </w:rPr>
              <w:t>nepakanka patalpų mokymams...“</w:t>
            </w:r>
          </w:p>
        </w:tc>
      </w:tr>
      <w:tr w:rsidR="00995BE0" w:rsidTr="00B91ACC">
        <w:tc>
          <w:tcPr>
            <w:tcW w:w="3228" w:type="dxa"/>
          </w:tcPr>
          <w:p w:rsidR="00995BE0" w:rsidRPr="000A0635" w:rsidRDefault="00995BE0" w:rsidP="000A0635">
            <w:pPr>
              <w:jc w:val="both"/>
              <w:rPr>
                <w:bCs/>
              </w:rPr>
            </w:pPr>
            <w:r w:rsidRPr="000A0635">
              <w:rPr>
                <w:bCs/>
                <w:sz w:val="22"/>
                <w:szCs w:val="22"/>
              </w:rPr>
              <w:t>Nesutvarkyta paslaugų nomenklatūra, lėšų poreikio skaičiaus metodika</w:t>
            </w:r>
          </w:p>
        </w:tc>
        <w:tc>
          <w:tcPr>
            <w:tcW w:w="6626" w:type="dxa"/>
          </w:tcPr>
          <w:p w:rsidR="00995BE0" w:rsidRPr="000A0635" w:rsidRDefault="00995BE0" w:rsidP="000A0635">
            <w:pPr>
              <w:jc w:val="both"/>
              <w:rPr>
                <w:bCs/>
              </w:rPr>
            </w:pPr>
            <w:r w:rsidRPr="000A0635">
              <w:rPr>
                <w:sz w:val="22"/>
                <w:szCs w:val="22"/>
              </w:rPr>
              <w:t>„...šiuo metu reikėtų sutvarkyti paslaugų nomenklatūrą, lėšų poreikio skaičiaus metodiką.“</w:t>
            </w:r>
          </w:p>
        </w:tc>
      </w:tr>
      <w:tr w:rsidR="00995BE0" w:rsidTr="00B91ACC">
        <w:tc>
          <w:tcPr>
            <w:tcW w:w="3228" w:type="dxa"/>
          </w:tcPr>
          <w:p w:rsidR="00995BE0" w:rsidRPr="000A0635" w:rsidRDefault="00995BE0" w:rsidP="000A0635">
            <w:pPr>
              <w:jc w:val="both"/>
              <w:rPr>
                <w:bCs/>
              </w:rPr>
            </w:pPr>
            <w:r w:rsidRPr="000A0635">
              <w:rPr>
                <w:bCs/>
                <w:sz w:val="22"/>
                <w:szCs w:val="22"/>
              </w:rPr>
              <w:t>Specialistai darbe naudoja neefektyvias mokymo priemones</w:t>
            </w:r>
          </w:p>
        </w:tc>
        <w:tc>
          <w:tcPr>
            <w:tcW w:w="6626" w:type="dxa"/>
          </w:tcPr>
          <w:p w:rsidR="00995BE0" w:rsidRPr="000A0635" w:rsidRDefault="00995BE0" w:rsidP="000A0635">
            <w:pPr>
              <w:jc w:val="both"/>
              <w:rPr>
                <w:bCs/>
              </w:rPr>
            </w:pPr>
            <w:r w:rsidRPr="000A0635">
              <w:rPr>
                <w:sz w:val="22"/>
                <w:szCs w:val="22"/>
              </w:rPr>
              <w:t>„...nėra efektyvu rengti konkursus ir akcijas.“</w:t>
            </w:r>
          </w:p>
        </w:tc>
      </w:tr>
      <w:tr w:rsidR="00995BE0" w:rsidTr="00B91ACC">
        <w:tc>
          <w:tcPr>
            <w:tcW w:w="3228" w:type="dxa"/>
          </w:tcPr>
          <w:p w:rsidR="00995BE0" w:rsidRPr="000A0635" w:rsidRDefault="00995BE0" w:rsidP="000A0635">
            <w:pPr>
              <w:jc w:val="both"/>
              <w:rPr>
                <w:bCs/>
              </w:rPr>
            </w:pPr>
            <w:r w:rsidRPr="000A0635">
              <w:rPr>
                <w:bCs/>
                <w:sz w:val="22"/>
                <w:szCs w:val="22"/>
              </w:rPr>
              <w:t>Per didelis visuomenės sveikatos biurų skaičius Lietuvoje</w:t>
            </w:r>
          </w:p>
        </w:tc>
        <w:tc>
          <w:tcPr>
            <w:tcW w:w="6626" w:type="dxa"/>
          </w:tcPr>
          <w:p w:rsidR="00995BE0" w:rsidRPr="000A0635" w:rsidRDefault="00995BE0" w:rsidP="000A0635">
            <w:pPr>
              <w:jc w:val="both"/>
              <w:rPr>
                <w:bCs/>
              </w:rPr>
            </w:pPr>
            <w:r w:rsidRPr="000A0635">
              <w:rPr>
                <w:bCs/>
                <w:sz w:val="22"/>
                <w:szCs w:val="22"/>
              </w:rPr>
              <w:t>„...</w:t>
            </w:r>
            <w:r w:rsidRPr="000A0635">
              <w:rPr>
                <w:sz w:val="22"/>
                <w:szCs w:val="22"/>
              </w:rPr>
              <w:t>tikėtina, kad išliks tik apskričių centrai...“, „Kiekvienai savivaldybei biuro nereikia, jų per daug.“, „...pastaruoju metu yra susikūrę per daug biurų – kažin ar tiek reikia...“</w:t>
            </w:r>
          </w:p>
        </w:tc>
      </w:tr>
      <w:tr w:rsidR="00995BE0" w:rsidTr="00B91ACC">
        <w:tc>
          <w:tcPr>
            <w:tcW w:w="3228" w:type="dxa"/>
          </w:tcPr>
          <w:p w:rsidR="00995BE0" w:rsidRPr="000A0635" w:rsidRDefault="00995BE0" w:rsidP="000A0635">
            <w:pPr>
              <w:jc w:val="both"/>
              <w:rPr>
                <w:bCs/>
              </w:rPr>
            </w:pPr>
            <w:r w:rsidRPr="000A0635">
              <w:rPr>
                <w:bCs/>
                <w:sz w:val="22"/>
                <w:szCs w:val="22"/>
              </w:rPr>
              <w:t>Šeimos neprijungiamos į sveikatinimo veiklą</w:t>
            </w:r>
          </w:p>
        </w:tc>
        <w:tc>
          <w:tcPr>
            <w:tcW w:w="6626" w:type="dxa"/>
          </w:tcPr>
          <w:p w:rsidR="00995BE0" w:rsidRPr="000A0635" w:rsidRDefault="00995BE0" w:rsidP="000A0635">
            <w:pPr>
              <w:jc w:val="both"/>
              <w:rPr>
                <w:bCs/>
              </w:rPr>
            </w:pPr>
            <w:r>
              <w:rPr>
                <w:sz w:val="22"/>
                <w:szCs w:val="22"/>
              </w:rPr>
              <w:t>„</w:t>
            </w:r>
            <w:r w:rsidRPr="000A0635">
              <w:rPr>
                <w:sz w:val="22"/>
                <w:szCs w:val="22"/>
              </w:rPr>
              <w:t>Šeimas reikia pajungti į sveikatinimo veiklą</w:t>
            </w:r>
            <w:r>
              <w:rPr>
                <w:sz w:val="22"/>
                <w:szCs w:val="22"/>
              </w:rPr>
              <w:t>.“</w:t>
            </w:r>
          </w:p>
        </w:tc>
      </w:tr>
      <w:tr w:rsidR="00995BE0" w:rsidTr="00B91ACC">
        <w:tc>
          <w:tcPr>
            <w:tcW w:w="3228" w:type="dxa"/>
          </w:tcPr>
          <w:p w:rsidR="00995BE0" w:rsidRPr="000A0635" w:rsidRDefault="00995BE0" w:rsidP="000A0635">
            <w:pPr>
              <w:jc w:val="both"/>
              <w:rPr>
                <w:bCs/>
              </w:rPr>
            </w:pPr>
            <w:r w:rsidRPr="000A0635">
              <w:rPr>
                <w:bCs/>
                <w:sz w:val="22"/>
                <w:szCs w:val="22"/>
              </w:rPr>
              <w:t>Nesuformuotos iki galo visų visuomenės sveikatos biurų struktūros</w:t>
            </w:r>
          </w:p>
        </w:tc>
        <w:tc>
          <w:tcPr>
            <w:tcW w:w="6626" w:type="dxa"/>
          </w:tcPr>
          <w:p w:rsidR="00995BE0" w:rsidRPr="000A0635" w:rsidRDefault="00995BE0" w:rsidP="000A0635">
            <w:pPr>
              <w:jc w:val="both"/>
              <w:rPr>
                <w:bCs/>
              </w:rPr>
            </w:pPr>
            <w:r w:rsidRPr="000A0635">
              <w:rPr>
                <w:i/>
                <w:sz w:val="22"/>
                <w:szCs w:val="22"/>
              </w:rPr>
              <w:t>„</w:t>
            </w:r>
            <w:r w:rsidRPr="00A557F9">
              <w:rPr>
                <w:sz w:val="22"/>
                <w:szCs w:val="22"/>
              </w:rPr>
              <w:t>Nesuformuotos struktūros...“</w:t>
            </w:r>
          </w:p>
        </w:tc>
      </w:tr>
      <w:tr w:rsidR="00995BE0" w:rsidTr="00B91ACC">
        <w:tc>
          <w:tcPr>
            <w:tcW w:w="3228" w:type="dxa"/>
          </w:tcPr>
          <w:p w:rsidR="00995BE0" w:rsidRPr="000A0635" w:rsidRDefault="00995BE0" w:rsidP="000A0635">
            <w:pPr>
              <w:jc w:val="both"/>
              <w:rPr>
                <w:bCs/>
              </w:rPr>
            </w:pPr>
            <w:r w:rsidRPr="000A0635">
              <w:rPr>
                <w:bCs/>
                <w:sz w:val="22"/>
                <w:szCs w:val="22"/>
              </w:rPr>
              <w:t>Nepakankama dirbančių specialistų kvalifikacija</w:t>
            </w:r>
          </w:p>
        </w:tc>
        <w:tc>
          <w:tcPr>
            <w:tcW w:w="6626" w:type="dxa"/>
          </w:tcPr>
          <w:p w:rsidR="00995BE0" w:rsidRPr="000A0635" w:rsidRDefault="00995BE0" w:rsidP="000A0635">
            <w:pPr>
              <w:jc w:val="both"/>
              <w:rPr>
                <w:bCs/>
              </w:rPr>
            </w:pPr>
            <w:r w:rsidRPr="000A0635">
              <w:rPr>
                <w:sz w:val="22"/>
                <w:szCs w:val="22"/>
              </w:rPr>
              <w:t>„...specialistų nekvalifikuotumas...“, „...užsienio kalbų nemokėjimas.“, „...trūksta medicininių žinių...“, nepakankama esamų specialistų kvalifikacija“, „...labai maža dalis darbuotojų, kurie yra „tikri“ visuomenės sveikatos specialistai, t.y. įgijo visuomenės sveikatos bakalauro ar visuomenės sveikatos vadybos išsilavinimą.“</w:t>
            </w:r>
          </w:p>
        </w:tc>
      </w:tr>
      <w:tr w:rsidR="00995BE0" w:rsidTr="00B91ACC">
        <w:tc>
          <w:tcPr>
            <w:tcW w:w="3228" w:type="dxa"/>
          </w:tcPr>
          <w:p w:rsidR="00995BE0" w:rsidRPr="000A0635" w:rsidRDefault="00995BE0" w:rsidP="000A0635">
            <w:pPr>
              <w:jc w:val="both"/>
              <w:rPr>
                <w:bCs/>
              </w:rPr>
            </w:pPr>
            <w:r w:rsidRPr="000A0635">
              <w:rPr>
                <w:bCs/>
                <w:sz w:val="22"/>
                <w:szCs w:val="22"/>
              </w:rPr>
              <w:t>Nėra bendros metodikos</w:t>
            </w:r>
          </w:p>
        </w:tc>
        <w:tc>
          <w:tcPr>
            <w:tcW w:w="6626" w:type="dxa"/>
          </w:tcPr>
          <w:p w:rsidR="00995BE0" w:rsidRPr="000A0635" w:rsidRDefault="00995BE0" w:rsidP="000A0635">
            <w:pPr>
              <w:jc w:val="both"/>
              <w:rPr>
                <w:bCs/>
              </w:rPr>
            </w:pPr>
            <w:r w:rsidRPr="000A0635">
              <w:rPr>
                <w:sz w:val="22"/>
                <w:szCs w:val="22"/>
              </w:rPr>
              <w:t>„Biurams trūksta vieningo metodinio vadovavimo, nėra parengta visuomenės sveikatos specialistų veiklos metodinių rekomendacijų“, „Kol kas nėra darbo metodikos, kiekvienas biuras savo funkcijas atlieka kaip kas nori ir moka, ataskaitas taip pat rengia įvairiai.“</w:t>
            </w:r>
          </w:p>
        </w:tc>
      </w:tr>
      <w:tr w:rsidR="00995BE0" w:rsidTr="00B91ACC">
        <w:tc>
          <w:tcPr>
            <w:tcW w:w="3228" w:type="dxa"/>
          </w:tcPr>
          <w:p w:rsidR="00995BE0" w:rsidRPr="000A0635" w:rsidRDefault="00995BE0" w:rsidP="000A0635">
            <w:pPr>
              <w:jc w:val="both"/>
              <w:rPr>
                <w:bCs/>
              </w:rPr>
            </w:pPr>
            <w:r w:rsidRPr="000A0635">
              <w:rPr>
                <w:bCs/>
                <w:sz w:val="22"/>
                <w:szCs w:val="22"/>
              </w:rPr>
              <w:t>Specialistų kaita</w:t>
            </w:r>
          </w:p>
        </w:tc>
        <w:tc>
          <w:tcPr>
            <w:tcW w:w="6626" w:type="dxa"/>
          </w:tcPr>
          <w:p w:rsidR="00995BE0" w:rsidRPr="000A0635" w:rsidRDefault="00995BE0" w:rsidP="000A0635">
            <w:pPr>
              <w:jc w:val="both"/>
              <w:rPr>
                <w:bCs/>
              </w:rPr>
            </w:pPr>
            <w:r w:rsidRPr="000A0635">
              <w:rPr>
                <w:sz w:val="22"/>
                <w:szCs w:val="22"/>
              </w:rPr>
              <w:t>„...trūkumas Šiaulių miesto biure – darbuotojų kaita..“</w:t>
            </w:r>
          </w:p>
        </w:tc>
      </w:tr>
      <w:tr w:rsidR="00995BE0" w:rsidTr="00B91ACC">
        <w:tc>
          <w:tcPr>
            <w:tcW w:w="3228" w:type="dxa"/>
          </w:tcPr>
          <w:p w:rsidR="00995BE0" w:rsidRPr="000A0635" w:rsidRDefault="00995BE0" w:rsidP="000A0635">
            <w:pPr>
              <w:jc w:val="both"/>
              <w:rPr>
                <w:bCs/>
              </w:rPr>
            </w:pPr>
            <w:r w:rsidRPr="000A0635">
              <w:rPr>
                <w:bCs/>
                <w:sz w:val="22"/>
                <w:szCs w:val="22"/>
              </w:rPr>
              <w:t>Motyvacijos trūkumas</w:t>
            </w:r>
          </w:p>
        </w:tc>
        <w:tc>
          <w:tcPr>
            <w:tcW w:w="6626" w:type="dxa"/>
          </w:tcPr>
          <w:p w:rsidR="00995BE0" w:rsidRPr="000A0635" w:rsidRDefault="00995BE0" w:rsidP="000A0635">
            <w:pPr>
              <w:jc w:val="both"/>
              <w:rPr>
                <w:bCs/>
              </w:rPr>
            </w:pPr>
            <w:r w:rsidRPr="000A0635">
              <w:rPr>
                <w:sz w:val="22"/>
                <w:szCs w:val="22"/>
              </w:rPr>
              <w:t>„...jie nebus patenkinti, motyvuoti.“</w:t>
            </w:r>
          </w:p>
        </w:tc>
      </w:tr>
      <w:tr w:rsidR="00995BE0" w:rsidTr="00B91ACC">
        <w:tc>
          <w:tcPr>
            <w:tcW w:w="3228" w:type="dxa"/>
          </w:tcPr>
          <w:p w:rsidR="00995BE0" w:rsidRPr="000A0635" w:rsidRDefault="00995BE0" w:rsidP="000A0635">
            <w:pPr>
              <w:jc w:val="both"/>
              <w:rPr>
                <w:bCs/>
              </w:rPr>
            </w:pPr>
            <w:r w:rsidRPr="000A0635">
              <w:rPr>
                <w:bCs/>
                <w:sz w:val="22"/>
                <w:szCs w:val="22"/>
              </w:rPr>
              <w:t>Biure nėra komandinio darbo</w:t>
            </w:r>
          </w:p>
        </w:tc>
        <w:tc>
          <w:tcPr>
            <w:tcW w:w="6626" w:type="dxa"/>
          </w:tcPr>
          <w:p w:rsidR="00995BE0" w:rsidRPr="000A0635" w:rsidRDefault="00995BE0" w:rsidP="000A0635">
            <w:pPr>
              <w:jc w:val="both"/>
              <w:rPr>
                <w:bCs/>
              </w:rPr>
            </w:pPr>
            <w:r w:rsidRPr="000A0635">
              <w:rPr>
                <w:sz w:val="22"/>
                <w:szCs w:val="22"/>
              </w:rPr>
              <w:t>„...stinga komandinio darbo...“</w:t>
            </w:r>
          </w:p>
        </w:tc>
      </w:tr>
      <w:tr w:rsidR="00995BE0" w:rsidTr="00B91ACC">
        <w:tc>
          <w:tcPr>
            <w:tcW w:w="3228" w:type="dxa"/>
          </w:tcPr>
          <w:p w:rsidR="00995BE0" w:rsidRPr="000A0635" w:rsidRDefault="00995BE0" w:rsidP="000A0635">
            <w:pPr>
              <w:jc w:val="both"/>
              <w:rPr>
                <w:bCs/>
              </w:rPr>
            </w:pPr>
            <w:r w:rsidRPr="000A0635">
              <w:rPr>
                <w:bCs/>
                <w:sz w:val="22"/>
                <w:szCs w:val="22"/>
              </w:rPr>
              <w:t>Nepakankamas dėmesys ikimokyklinio amžiaus vaikams</w:t>
            </w:r>
          </w:p>
        </w:tc>
        <w:tc>
          <w:tcPr>
            <w:tcW w:w="6626" w:type="dxa"/>
          </w:tcPr>
          <w:p w:rsidR="00995BE0" w:rsidRPr="000A0635" w:rsidRDefault="00995BE0" w:rsidP="000A0635">
            <w:pPr>
              <w:jc w:val="both"/>
              <w:rPr>
                <w:bCs/>
              </w:rPr>
            </w:pPr>
            <w:r>
              <w:rPr>
                <w:sz w:val="22"/>
                <w:szCs w:val="22"/>
              </w:rPr>
              <w:t>„</w:t>
            </w:r>
            <w:r w:rsidRPr="000A0635">
              <w:rPr>
                <w:sz w:val="22"/>
                <w:szCs w:val="22"/>
              </w:rPr>
              <w:t xml:space="preserve">Ypatingai turi didelį įnašą daryti nuo  ikimokyklinukų, neaplenkiant ir moksleivių. Kokius jiems įgūdžius įskiepysime tokią kartą ir turėsime. Manau, kad šią sritį reiktų  </w:t>
            </w:r>
            <w:r w:rsidRPr="000A0635">
              <w:rPr>
                <w:sz w:val="22"/>
                <w:szCs w:val="22"/>
              </w:rPr>
              <w:br/>
              <w:t>daugiau stiprinti.</w:t>
            </w:r>
            <w:r>
              <w:rPr>
                <w:sz w:val="22"/>
                <w:szCs w:val="22"/>
              </w:rPr>
              <w:t>“</w:t>
            </w:r>
          </w:p>
        </w:tc>
      </w:tr>
      <w:tr w:rsidR="00995BE0" w:rsidTr="00B91ACC">
        <w:tc>
          <w:tcPr>
            <w:tcW w:w="3228" w:type="dxa"/>
          </w:tcPr>
          <w:p w:rsidR="00995BE0" w:rsidRPr="000A0635" w:rsidRDefault="00995BE0" w:rsidP="000A0635">
            <w:pPr>
              <w:jc w:val="both"/>
              <w:rPr>
                <w:bCs/>
              </w:rPr>
            </w:pPr>
            <w:r w:rsidRPr="000A0635">
              <w:rPr>
                <w:bCs/>
                <w:sz w:val="22"/>
                <w:szCs w:val="22"/>
              </w:rPr>
              <w:t xml:space="preserve">Nepakankama administracijos kvalifikacija </w:t>
            </w:r>
          </w:p>
        </w:tc>
        <w:tc>
          <w:tcPr>
            <w:tcW w:w="6626" w:type="dxa"/>
          </w:tcPr>
          <w:p w:rsidR="00995BE0" w:rsidRPr="000A0635" w:rsidRDefault="00995BE0" w:rsidP="000A0635">
            <w:pPr>
              <w:jc w:val="both"/>
            </w:pPr>
            <w:r>
              <w:rPr>
                <w:sz w:val="22"/>
                <w:szCs w:val="22"/>
              </w:rPr>
              <w:t>„...</w:t>
            </w:r>
            <w:r w:rsidRPr="000A0635">
              <w:rPr>
                <w:sz w:val="22"/>
                <w:szCs w:val="22"/>
              </w:rPr>
              <w:t>įtraukiant ir nepakankamos kvalifikacijos administracijos darbuotojus.“, „...net ir kiekvienos tokios įstaigos vadovas turi turėti visuomenės sveikatos išsilavinimą...“</w:t>
            </w:r>
          </w:p>
        </w:tc>
      </w:tr>
    </w:tbl>
    <w:p w:rsidR="00995BE0" w:rsidRDefault="00995BE0" w:rsidP="00906DAD">
      <w:pPr>
        <w:jc w:val="both"/>
        <w:rPr>
          <w:bCs/>
          <w:sz w:val="22"/>
          <w:szCs w:val="22"/>
        </w:rPr>
      </w:pPr>
    </w:p>
    <w:p w:rsidR="00995BE0" w:rsidRPr="001733DE" w:rsidRDefault="00995BE0" w:rsidP="00777F15">
      <w:pPr>
        <w:spacing w:line="360" w:lineRule="auto"/>
        <w:ind w:firstLine="600"/>
        <w:jc w:val="both"/>
      </w:pPr>
      <w:r>
        <w:rPr>
          <w:bCs/>
        </w:rPr>
        <w:t>29</w:t>
      </w:r>
      <w:r w:rsidRPr="001733DE">
        <w:rPr>
          <w:bCs/>
        </w:rPr>
        <w:t xml:space="preserve"> paveiksle apibendrintai pateikta schema, kaip ekspertų išvardinti trūkumai priklauso vienas nuo kito.</w:t>
      </w:r>
      <w:r>
        <w:rPr>
          <w:bCs/>
        </w:rPr>
        <w:t xml:space="preserve"> </w:t>
      </w:r>
      <w:r w:rsidRPr="001733DE">
        <w:t xml:space="preserve">Apibendrinant tyrimo rezultatus, galima teigti, kad vienas pagrindinių veiksnių, kurie neleidžia tinkamai biurui funkcionuoti yra savivaldybių ir visų aukštesnių politikų nepakankamas ir dažniai negatyvus požiūris į visuomenės sveikatą. Daugelis ekspertų pareiškė, kad </w:t>
      </w:r>
      <w:r w:rsidRPr="001733DE">
        <w:lastRenderedPageBreak/>
        <w:t xml:space="preserve">su šia problema buvo susidūrę asmeniškai, kai tenka aiškinti kam yra reikalingas visuomenės sveikatos biuras, kokias funkcijas jie atlieka ir pan. Taigi to rezultatas – per mažai skiriamas finansavimas tiek iš sveikatos apsaugos ministerijos pirminei sveikatos priežiūrai, tiek iš savivaldybės visuomenės sveikatos biurui. Kita pasekmė – nėra pakankamų metodikų, kuriomis galėtų vadovautis visi biurai, nors šios įstaigos jau dirba 5 metus, tačiau, kaip paaiškėjo ir ataskaitas, </w:t>
      </w:r>
      <w:r>
        <w:t xml:space="preserve">ir </w:t>
      </w:r>
      <w:r w:rsidRPr="001733DE">
        <w:t>organizacinius darbus atlieka savaip, o tai reiškia – skirtingai. Iš šių dviejų pagrindinių reiškinių seka ir kiti, ne tik Šiaulių visuomenės sveikatos biure, esančių trūkumai, kurie vienaip ar kitaip įtakoja biuro veiklą.</w:t>
      </w:r>
    </w:p>
    <w:p w:rsidR="00995BE0" w:rsidRPr="000611E7" w:rsidRDefault="00CB16CF" w:rsidP="00906DAD">
      <w:pPr>
        <w:spacing w:line="360" w:lineRule="auto"/>
        <w:ind w:firstLine="540"/>
        <w:jc w:val="both"/>
        <w:rPr>
          <w:b/>
        </w:rPr>
      </w:pPr>
      <w:r>
        <w:rPr>
          <w:b/>
        </w:rPr>
      </w:r>
      <w:r>
        <w:rPr>
          <w:b/>
        </w:rPr>
        <w:pict>
          <v:group id="_x0000_s1092" editas="canvas" style="width:480pt;height:324pt;mso-position-horizontal-relative:char;mso-position-vertical-relative:line" coordorigin="2341,11578" coordsize="7200,4860">
            <o:lock v:ext="edit" aspectratio="t"/>
            <v:shape id="_x0000_s1093" type="#_x0000_t75" style="position:absolute;left:2341;top:11578;width:7200;height:4860" o:preferrelative="f">
              <v:fill o:detectmouseclick="t"/>
              <v:path o:extrusionok="t" o:connecttype="none"/>
              <o:lock v:ext="edit" text="t"/>
            </v:shape>
            <v:rect id="_x0000_s1094" style="position:absolute;left:4771;top:11848;width:2520;height:270">
              <v:textbox style="mso-next-textbox:#_x0000_s1094">
                <w:txbxContent>
                  <w:p w:rsidR="00995BE0" w:rsidRPr="00247485" w:rsidRDefault="00995BE0" w:rsidP="00906DAD">
                    <w:pPr>
                      <w:jc w:val="center"/>
                      <w:rPr>
                        <w:sz w:val="20"/>
                        <w:szCs w:val="20"/>
                      </w:rPr>
                    </w:pPr>
                    <w:r w:rsidRPr="00247485">
                      <w:rPr>
                        <w:sz w:val="20"/>
                        <w:szCs w:val="20"/>
                      </w:rPr>
                      <w:t>Politikų nuostatos biurų atžvilgiu</w:t>
                    </w:r>
                  </w:p>
                  <w:p w:rsidR="00995BE0" w:rsidRDefault="00995BE0" w:rsidP="00906DAD"/>
                </w:txbxContent>
              </v:textbox>
            </v:rect>
            <v:rect id="_x0000_s1095" style="position:absolute;left:3331;top:12658;width:2610;height:540">
              <v:textbox style="mso-next-textbox:#_x0000_s1095">
                <w:txbxContent>
                  <w:p w:rsidR="00995BE0" w:rsidRPr="001C03CF" w:rsidRDefault="00995BE0" w:rsidP="00906DAD">
                    <w:pPr>
                      <w:jc w:val="center"/>
                      <w:rPr>
                        <w:sz w:val="20"/>
                        <w:szCs w:val="20"/>
                      </w:rPr>
                    </w:pPr>
                    <w:r w:rsidRPr="001C03CF">
                      <w:rPr>
                        <w:sz w:val="20"/>
                        <w:szCs w:val="20"/>
                      </w:rPr>
                      <w:t>Nepakankamas pirminės sveikatos priežiūros finansavimas</w:t>
                    </w:r>
                  </w:p>
                  <w:p w:rsidR="00995BE0" w:rsidRDefault="00995BE0" w:rsidP="00906DAD"/>
                </w:txbxContent>
              </v:textbox>
            </v:rect>
            <v:rect id="_x0000_s1096" style="position:absolute;left:6121;top:12658;width:2700;height:405">
              <v:textbox style="mso-next-textbox:#_x0000_s1096">
                <w:txbxContent>
                  <w:p w:rsidR="00995BE0" w:rsidRPr="001C03CF" w:rsidRDefault="00995BE0" w:rsidP="00906DAD">
                    <w:pPr>
                      <w:jc w:val="center"/>
                      <w:rPr>
                        <w:sz w:val="20"/>
                        <w:szCs w:val="20"/>
                      </w:rPr>
                    </w:pPr>
                    <w:r>
                      <w:rPr>
                        <w:sz w:val="20"/>
                        <w:szCs w:val="20"/>
                      </w:rPr>
                      <w:t>Ne iki galo sutvarkyta metodika</w:t>
                    </w:r>
                  </w:p>
                  <w:p w:rsidR="00995BE0" w:rsidRDefault="00995BE0" w:rsidP="00906DAD"/>
                </w:txbxContent>
              </v:textbox>
            </v:rect>
            <v:rect id="_x0000_s1097" style="position:absolute;left:2521;top:13603;width:3375;height:2835">
              <v:textbox style="mso-next-textbox:#_x0000_s1097">
                <w:txbxContent>
                  <w:p w:rsidR="00995BE0" w:rsidRPr="00C110C3" w:rsidRDefault="00995BE0" w:rsidP="00906DAD">
                    <w:pPr>
                      <w:rPr>
                        <w:sz w:val="20"/>
                        <w:szCs w:val="20"/>
                      </w:rPr>
                    </w:pPr>
                    <w:r w:rsidRPr="00C110C3">
                      <w:rPr>
                        <w:bCs/>
                        <w:sz w:val="20"/>
                        <w:szCs w:val="20"/>
                      </w:rPr>
                      <w:t>Žiniasklaida nepakankamai įsitraukia į sveikatinimo veiklą;</w:t>
                    </w:r>
                  </w:p>
                  <w:p w:rsidR="00995BE0" w:rsidRPr="00C110C3" w:rsidRDefault="00995BE0" w:rsidP="00906DAD">
                    <w:pPr>
                      <w:rPr>
                        <w:sz w:val="20"/>
                        <w:szCs w:val="20"/>
                      </w:rPr>
                    </w:pPr>
                    <w:r w:rsidRPr="00C110C3">
                      <w:rPr>
                        <w:bCs/>
                        <w:sz w:val="20"/>
                        <w:szCs w:val="20"/>
                      </w:rPr>
                      <w:t>Mokyklose nėra atskiros disciplinos skirtos sveikatos mokymui;</w:t>
                    </w:r>
                  </w:p>
                  <w:p w:rsidR="00995BE0" w:rsidRPr="00C110C3" w:rsidRDefault="00995BE0" w:rsidP="00906DAD">
                    <w:pPr>
                      <w:rPr>
                        <w:sz w:val="20"/>
                        <w:szCs w:val="20"/>
                      </w:rPr>
                    </w:pPr>
                    <w:r w:rsidRPr="00C110C3">
                      <w:rPr>
                        <w:sz w:val="20"/>
                        <w:szCs w:val="20"/>
                      </w:rPr>
                      <w:t>Šeimos pajungimas į sveikatinimo veiklą;</w:t>
                    </w:r>
                  </w:p>
                  <w:p w:rsidR="00995BE0" w:rsidRPr="00C110C3" w:rsidRDefault="00995BE0" w:rsidP="00906DAD">
                    <w:pPr>
                      <w:rPr>
                        <w:sz w:val="20"/>
                        <w:szCs w:val="20"/>
                      </w:rPr>
                    </w:pPr>
                    <w:r w:rsidRPr="00C110C3">
                      <w:rPr>
                        <w:sz w:val="20"/>
                        <w:szCs w:val="20"/>
                      </w:rPr>
                      <w:t>Nuolatinė darbuotojų kaita;</w:t>
                    </w:r>
                  </w:p>
                  <w:p w:rsidR="00995BE0" w:rsidRPr="00C110C3" w:rsidRDefault="00995BE0" w:rsidP="00906DAD">
                    <w:pPr>
                      <w:rPr>
                        <w:sz w:val="20"/>
                        <w:szCs w:val="20"/>
                      </w:rPr>
                    </w:pPr>
                    <w:r w:rsidRPr="00C110C3">
                      <w:rPr>
                        <w:sz w:val="20"/>
                        <w:szCs w:val="20"/>
                      </w:rPr>
                      <w:t>Neigiamas mokyklų vadovų požiūris į visuomenės sveikatos specialistus;</w:t>
                    </w:r>
                  </w:p>
                  <w:p w:rsidR="00995BE0" w:rsidRPr="00C110C3" w:rsidRDefault="00995BE0" w:rsidP="00906DAD">
                    <w:pPr>
                      <w:rPr>
                        <w:sz w:val="20"/>
                        <w:szCs w:val="20"/>
                      </w:rPr>
                    </w:pPr>
                    <w:r w:rsidRPr="00C110C3">
                      <w:rPr>
                        <w:sz w:val="20"/>
                        <w:szCs w:val="20"/>
                      </w:rPr>
                      <w:t>Nepakankamai pritaikytos  patalpos darbui;</w:t>
                    </w:r>
                  </w:p>
                  <w:p w:rsidR="00995BE0" w:rsidRPr="00C110C3" w:rsidRDefault="00995BE0" w:rsidP="00906DAD">
                    <w:pPr>
                      <w:rPr>
                        <w:sz w:val="20"/>
                        <w:szCs w:val="20"/>
                      </w:rPr>
                    </w:pPr>
                    <w:r w:rsidRPr="00C110C3">
                      <w:rPr>
                        <w:sz w:val="20"/>
                        <w:szCs w:val="20"/>
                      </w:rPr>
                      <w:t>Specialistai darbe naudoja neefektyvias mokymo priemones;</w:t>
                    </w:r>
                  </w:p>
                  <w:p w:rsidR="00995BE0" w:rsidRPr="00C110C3" w:rsidRDefault="00995BE0" w:rsidP="00906DAD">
                    <w:pPr>
                      <w:rPr>
                        <w:sz w:val="20"/>
                        <w:szCs w:val="20"/>
                      </w:rPr>
                    </w:pPr>
                    <w:r w:rsidRPr="00C110C3">
                      <w:rPr>
                        <w:sz w:val="20"/>
                        <w:szCs w:val="20"/>
                      </w:rPr>
                      <w:t>Kvalifikuotų specialistų trūkumas;</w:t>
                    </w:r>
                  </w:p>
                  <w:p w:rsidR="00995BE0" w:rsidRPr="00C110C3" w:rsidRDefault="00995BE0" w:rsidP="00906DAD">
                    <w:pPr>
                      <w:rPr>
                        <w:sz w:val="20"/>
                        <w:szCs w:val="20"/>
                      </w:rPr>
                    </w:pPr>
                    <w:r w:rsidRPr="00C110C3">
                      <w:rPr>
                        <w:sz w:val="20"/>
                        <w:szCs w:val="20"/>
                      </w:rPr>
                      <w:t>Specialistų motyvacijos trūkumas;</w:t>
                    </w:r>
                  </w:p>
                  <w:p w:rsidR="00995BE0" w:rsidRDefault="00995BE0" w:rsidP="00906DAD">
                    <w:pPr>
                      <w:rPr>
                        <w:sz w:val="20"/>
                        <w:szCs w:val="20"/>
                      </w:rPr>
                    </w:pPr>
                    <w:r w:rsidRPr="00C110C3">
                      <w:rPr>
                        <w:sz w:val="20"/>
                        <w:szCs w:val="20"/>
                      </w:rPr>
                      <w:t>Ne visur suformuotos biuro struktūros</w:t>
                    </w:r>
                    <w:r>
                      <w:rPr>
                        <w:sz w:val="20"/>
                        <w:szCs w:val="20"/>
                      </w:rPr>
                      <w:t>;</w:t>
                    </w:r>
                  </w:p>
                  <w:p w:rsidR="00995BE0" w:rsidRPr="00C110C3" w:rsidRDefault="00995BE0" w:rsidP="00906DAD">
                    <w:pPr>
                      <w:rPr>
                        <w:sz w:val="20"/>
                        <w:szCs w:val="20"/>
                      </w:rPr>
                    </w:pPr>
                    <w:r w:rsidRPr="00C110C3">
                      <w:rPr>
                        <w:sz w:val="20"/>
                        <w:szCs w:val="20"/>
                      </w:rPr>
                      <w:t>Nepakankamas dėmesys ikimokyklinio amžiaus vaikų sveikatai</w:t>
                    </w:r>
                    <w:r>
                      <w:rPr>
                        <w:sz w:val="20"/>
                        <w:szCs w:val="20"/>
                      </w:rPr>
                      <w:t>.</w:t>
                    </w:r>
                  </w:p>
                  <w:p w:rsidR="00995BE0" w:rsidRDefault="00995BE0" w:rsidP="00906DAD">
                    <w:pPr>
                      <w:rPr>
                        <w:sz w:val="20"/>
                        <w:szCs w:val="20"/>
                      </w:rPr>
                    </w:pPr>
                  </w:p>
                  <w:p w:rsidR="00995BE0" w:rsidRPr="00C110C3" w:rsidRDefault="00995BE0" w:rsidP="00906DAD">
                    <w:pPr>
                      <w:rPr>
                        <w:sz w:val="20"/>
                        <w:szCs w:val="20"/>
                      </w:rPr>
                    </w:pPr>
                  </w:p>
                  <w:p w:rsidR="00995BE0" w:rsidRDefault="00995BE0" w:rsidP="00906DAD">
                    <w:pPr>
                      <w:tabs>
                        <w:tab w:val="num" w:pos="480"/>
                      </w:tabs>
                      <w:ind w:hanging="720"/>
                    </w:pPr>
                  </w:p>
                </w:txbxContent>
              </v:textbox>
            </v:rect>
            <v:rect id="_x0000_s1098" style="position:absolute;left:6301;top:13468;width:3060;height:1350">
              <v:textbox style="mso-next-textbox:#_x0000_s1098">
                <w:txbxContent>
                  <w:p w:rsidR="00995BE0" w:rsidRPr="00C110C3" w:rsidRDefault="00995BE0" w:rsidP="00906DAD">
                    <w:pPr>
                      <w:rPr>
                        <w:sz w:val="20"/>
                        <w:szCs w:val="20"/>
                      </w:rPr>
                    </w:pPr>
                    <w:r w:rsidRPr="00C110C3">
                      <w:rPr>
                        <w:bCs/>
                        <w:sz w:val="20"/>
                        <w:szCs w:val="20"/>
                      </w:rPr>
                      <w:t>Nepakankamas stebėsenos skyriaus darbas;</w:t>
                    </w:r>
                  </w:p>
                  <w:p w:rsidR="00995BE0" w:rsidRPr="00C110C3" w:rsidRDefault="00995BE0" w:rsidP="00906DAD">
                    <w:pPr>
                      <w:rPr>
                        <w:sz w:val="20"/>
                        <w:szCs w:val="20"/>
                      </w:rPr>
                    </w:pPr>
                    <w:r w:rsidRPr="00C110C3">
                      <w:rPr>
                        <w:bCs/>
                        <w:sz w:val="20"/>
                        <w:szCs w:val="20"/>
                      </w:rPr>
                      <w:t>Per platus veiklos spektras;</w:t>
                    </w:r>
                  </w:p>
                  <w:p w:rsidR="00995BE0" w:rsidRPr="00C110C3" w:rsidRDefault="00995BE0" w:rsidP="00906DAD">
                    <w:pPr>
                      <w:rPr>
                        <w:sz w:val="20"/>
                        <w:szCs w:val="20"/>
                      </w:rPr>
                    </w:pPr>
                    <w:r w:rsidRPr="00C110C3">
                      <w:rPr>
                        <w:bCs/>
                        <w:sz w:val="20"/>
                        <w:szCs w:val="20"/>
                      </w:rPr>
                      <w:t>Nėra kasmetinio darbų veiklos planų vertinimo;</w:t>
                    </w:r>
                  </w:p>
                  <w:p w:rsidR="00995BE0" w:rsidRPr="00C110C3" w:rsidRDefault="00995BE0" w:rsidP="00906DAD">
                    <w:pPr>
                      <w:rPr>
                        <w:sz w:val="20"/>
                        <w:szCs w:val="20"/>
                      </w:rPr>
                    </w:pPr>
                    <w:r w:rsidRPr="00C110C3">
                      <w:rPr>
                        <w:sz w:val="20"/>
                        <w:szCs w:val="20"/>
                      </w:rPr>
                      <w:t>Nesutvarkyta paslaugų nomenklatūra, lėšų poreikio skaičiaus metodika;</w:t>
                    </w:r>
                  </w:p>
                  <w:p w:rsidR="00995BE0" w:rsidRPr="00C110C3" w:rsidRDefault="00995BE0" w:rsidP="00906DAD">
                    <w:pPr>
                      <w:rPr>
                        <w:sz w:val="20"/>
                        <w:szCs w:val="20"/>
                      </w:rPr>
                    </w:pPr>
                    <w:r w:rsidRPr="00C110C3">
                      <w:rPr>
                        <w:sz w:val="20"/>
                        <w:szCs w:val="20"/>
                      </w:rPr>
                      <w:t>Nėra bendros metodikos;</w:t>
                    </w:r>
                  </w:p>
                  <w:p w:rsidR="00995BE0" w:rsidRDefault="00995BE0" w:rsidP="00906DAD"/>
                </w:txbxContent>
              </v:textbox>
            </v:rect>
            <v:shape id="_x0000_s1099" type="#_x0000_t67" style="position:absolute;left:7201;top:13063;width:574;height:405">
              <v:textbox style="layout-flow:vertical-ideographic"/>
            </v:shape>
            <v:shape id="_x0000_s1100" type="#_x0000_t67" style="position:absolute;left:4501;top:13198;width:540;height:405">
              <v:textbox style="layout-flow:vertical-ideographic"/>
            </v:shape>
            <v:shape id="_x0000_s1101" type="#_x0000_t67" style="position:absolute;left:4951;top:12118;width:540;height:540">
              <v:textbox style="layout-flow:vertical-ideographic"/>
            </v:shape>
            <v:shape id="_x0000_s1102" type="#_x0000_t67" style="position:absolute;left:6661;top:12118;width:540;height:540">
              <v:textbox style="layout-flow:vertical-ideographic"/>
            </v:shape>
            <w10:wrap type="none"/>
            <w10:anchorlock/>
          </v:group>
        </w:pict>
      </w:r>
    </w:p>
    <w:p w:rsidR="00995BE0" w:rsidRDefault="00995BE0" w:rsidP="00906DAD">
      <w:pPr>
        <w:jc w:val="center"/>
        <w:rPr>
          <w:sz w:val="22"/>
          <w:szCs w:val="22"/>
        </w:rPr>
      </w:pPr>
      <w:r>
        <w:rPr>
          <w:b/>
          <w:sz w:val="22"/>
          <w:szCs w:val="22"/>
        </w:rPr>
        <w:t>28</w:t>
      </w:r>
      <w:r w:rsidRPr="00670D41">
        <w:rPr>
          <w:b/>
          <w:sz w:val="22"/>
          <w:szCs w:val="22"/>
        </w:rPr>
        <w:t xml:space="preserve"> pav.</w:t>
      </w:r>
      <w:r w:rsidRPr="00670D41">
        <w:rPr>
          <w:sz w:val="22"/>
          <w:szCs w:val="22"/>
        </w:rPr>
        <w:t xml:space="preserve"> Šiaulių visuomenės sveikatos biuro </w:t>
      </w:r>
      <w:r>
        <w:rPr>
          <w:sz w:val="22"/>
          <w:szCs w:val="22"/>
        </w:rPr>
        <w:t xml:space="preserve">veiklos </w:t>
      </w:r>
      <w:r w:rsidRPr="00670D41">
        <w:rPr>
          <w:sz w:val="22"/>
          <w:szCs w:val="22"/>
        </w:rPr>
        <w:t>trūkumai ir jų tarpusavio ryšiai</w:t>
      </w:r>
    </w:p>
    <w:p w:rsidR="00995BE0" w:rsidRPr="00670D41" w:rsidRDefault="00995BE0" w:rsidP="00906DAD">
      <w:pPr>
        <w:jc w:val="center"/>
        <w:rPr>
          <w:sz w:val="20"/>
          <w:szCs w:val="20"/>
        </w:rPr>
      </w:pPr>
      <w:r w:rsidRPr="00670D41">
        <w:rPr>
          <w:sz w:val="20"/>
          <w:szCs w:val="20"/>
        </w:rPr>
        <w:t xml:space="preserve">Sudaryta autoriaus, remiantis ekspertų tyrimo rezultatais </w:t>
      </w:r>
    </w:p>
    <w:p w:rsidR="00995BE0" w:rsidRPr="007B5182" w:rsidRDefault="00995BE0" w:rsidP="00906DAD">
      <w:pPr>
        <w:jc w:val="both"/>
      </w:pPr>
    </w:p>
    <w:p w:rsidR="00995BE0" w:rsidRPr="004F494E" w:rsidRDefault="00995BE0" w:rsidP="0007627B">
      <w:pPr>
        <w:tabs>
          <w:tab w:val="left" w:pos="397"/>
        </w:tabs>
        <w:spacing w:line="360" w:lineRule="auto"/>
        <w:ind w:firstLine="480"/>
        <w:jc w:val="both"/>
      </w:pPr>
      <w:r w:rsidRPr="004F494E">
        <w:t xml:space="preserve">Kaip parodo </w:t>
      </w:r>
      <w:r>
        <w:t>28</w:t>
      </w:r>
      <w:r w:rsidRPr="004F494E">
        <w:t xml:space="preserve"> paveikslas, daugiausia biuro veikla priklauso nuo finansavimo. Jei jis būtų pakankamas, užtikrintas ir savalaikis galėtume tikėtis didesnės specialistų motyvacijos, mažesnės jų kaitos. Tuo tarpu dėl iki galo nesutvarkytos metodikos atsiranda tokios problemos kaip per platus veiklos spektras. Spręstinų sveikatos problemų yra nemažai, o visas aprėpti ir išspręsti reikia laiko, žmogiškųjų išteklių ir lėšų. Vienas iš ekspertų pabrėžė būtinumą sukurti bendrą metodiką, pagal kurią būtų galima paskaičiuoti paslaugų nomenklatūra ir lėšų poreikį. </w:t>
      </w:r>
    </w:p>
    <w:p w:rsidR="00995BE0" w:rsidRPr="004F494E" w:rsidRDefault="00995BE0" w:rsidP="0007627B">
      <w:pPr>
        <w:tabs>
          <w:tab w:val="left" w:pos="397"/>
        </w:tabs>
        <w:spacing w:line="360" w:lineRule="auto"/>
        <w:ind w:firstLine="480"/>
        <w:jc w:val="both"/>
      </w:pPr>
      <w:r w:rsidRPr="004F494E">
        <w:t>Visgi reikia pabrėžti, kad ekspertai teigiamai vertina savivaldybių visuomenės sveikatos veiklą, tačiau dirbti ir pasiekti rezultatų kurių tikimasi be politikų pagalbos ir palaikymo nėra lengva.</w:t>
      </w:r>
    </w:p>
    <w:p w:rsidR="00995BE0" w:rsidRPr="00906DAD" w:rsidRDefault="00995BE0" w:rsidP="00906DAD">
      <w:pPr>
        <w:pStyle w:val="Antrat1"/>
      </w:pPr>
      <w:bookmarkStart w:id="90" w:name="_Toc293248640"/>
      <w:r w:rsidRPr="001448D9">
        <w:lastRenderedPageBreak/>
        <w:t>IŠVADOS</w:t>
      </w:r>
      <w:bookmarkEnd w:id="90"/>
    </w:p>
    <w:p w:rsidR="00995BE0" w:rsidRPr="004F03C8" w:rsidRDefault="00995BE0" w:rsidP="006F401E">
      <w:pPr>
        <w:autoSpaceDE w:val="0"/>
        <w:spacing w:line="360" w:lineRule="auto"/>
        <w:ind w:firstLine="1134"/>
        <w:rPr>
          <w:bCs/>
        </w:rPr>
      </w:pPr>
      <w:r w:rsidRPr="004F03C8">
        <w:rPr>
          <w:bCs/>
          <w:i/>
        </w:rPr>
        <w:t>Atlikus mokslinės literatūros analizę galima teigti, kad</w:t>
      </w:r>
      <w:r w:rsidRPr="004F03C8">
        <w:rPr>
          <w:bCs/>
        </w:rPr>
        <w:t xml:space="preserve">: </w:t>
      </w:r>
    </w:p>
    <w:p w:rsidR="00995BE0" w:rsidRPr="006F401E" w:rsidRDefault="00995BE0" w:rsidP="003B2063">
      <w:pPr>
        <w:numPr>
          <w:ilvl w:val="0"/>
          <w:numId w:val="23"/>
        </w:numPr>
        <w:tabs>
          <w:tab w:val="clear" w:pos="1080"/>
          <w:tab w:val="num" w:pos="0"/>
        </w:tabs>
        <w:spacing w:line="360" w:lineRule="auto"/>
        <w:ind w:left="0" w:firstLine="600"/>
        <w:jc w:val="both"/>
        <w:rPr>
          <w:spacing w:val="-4"/>
        </w:rPr>
      </w:pPr>
      <w:r w:rsidRPr="001D71BB">
        <w:t>Strateginis valdymas viešojo sektoriaus organizacijose turi ypatybių, priklausančių nuo aplinkos komponentų, su kuriais sąveikauja. Tai visų pirma politinė aplinka, kuri tvirtina biudžetą, nustato</w:t>
      </w:r>
      <w:r>
        <w:t xml:space="preserve"> taisykles ir teikia subsidijas. T</w:t>
      </w:r>
      <w:r w:rsidRPr="001D71BB">
        <w:t>eisinė aplinka griežtai reglamentuoja veiklos taisykles ir procedūras</w:t>
      </w:r>
      <w:r>
        <w:t>, didesnis</w:t>
      </w:r>
      <w:r w:rsidRPr="001D71BB">
        <w:t xml:space="preserve"> visuomenės dėmes</w:t>
      </w:r>
      <w:r>
        <w:t>ys bei</w:t>
      </w:r>
      <w:r w:rsidRPr="001D71BB">
        <w:t xml:space="preserve"> žiniasklaidos vertinimai. </w:t>
      </w:r>
    </w:p>
    <w:p w:rsidR="00995BE0" w:rsidRDefault="00995BE0" w:rsidP="003B2063">
      <w:pPr>
        <w:numPr>
          <w:ilvl w:val="0"/>
          <w:numId w:val="23"/>
        </w:numPr>
        <w:tabs>
          <w:tab w:val="clear" w:pos="1080"/>
          <w:tab w:val="num" w:pos="0"/>
        </w:tabs>
        <w:spacing w:line="360" w:lineRule="auto"/>
        <w:ind w:left="0" w:firstLine="600"/>
        <w:jc w:val="both"/>
        <w:rPr>
          <w:spacing w:val="-4"/>
        </w:rPr>
      </w:pPr>
      <w:r>
        <w:t>P</w:t>
      </w:r>
      <w:r w:rsidRPr="00F53AA8">
        <w:rPr>
          <w:spacing w:val="-5"/>
        </w:rPr>
        <w:t>agal</w:t>
      </w:r>
      <w:r>
        <w:rPr>
          <w:lang w:eastAsia="ar-SA"/>
        </w:rPr>
        <w:t xml:space="preserve"> nustatytinę metodologiją,</w:t>
      </w:r>
      <w:r>
        <w:rPr>
          <w:spacing w:val="-5"/>
        </w:rPr>
        <w:t xml:space="preserve"> </w:t>
      </w:r>
      <w:r>
        <w:rPr>
          <w:lang w:eastAsia="ar-SA"/>
        </w:rPr>
        <w:t xml:space="preserve">viešojo sektoriaus institucijos strateginis planavimas grindžiamas racionalios visapusiškos sprendimų rengimo ir priėmimo teorijos principais. Šiuo atveju </w:t>
      </w:r>
      <w:r w:rsidRPr="00F53AA8">
        <w:rPr>
          <w:spacing w:val="-4"/>
        </w:rPr>
        <w:t>strateginio planavimo tikslas</w:t>
      </w:r>
      <w:r w:rsidRPr="00F53AA8">
        <w:rPr>
          <w:i/>
          <w:iCs/>
          <w:spacing w:val="-4"/>
        </w:rPr>
        <w:t xml:space="preserve"> </w:t>
      </w:r>
      <w:r w:rsidRPr="00F53AA8">
        <w:rPr>
          <w:spacing w:val="-4"/>
        </w:rPr>
        <w:t>nukreiptas į institucijos strateginio ir jos aplinkos reikala</w:t>
      </w:r>
      <w:r w:rsidRPr="00F53AA8">
        <w:rPr>
          <w:spacing w:val="-4"/>
        </w:rPr>
        <w:softHyphen/>
      </w:r>
      <w:r w:rsidRPr="00F53AA8">
        <w:rPr>
          <w:spacing w:val="-5"/>
        </w:rPr>
        <w:t xml:space="preserve">vimų galimybių atitikimo nustatymą bei kuo geresnį tokių </w:t>
      </w:r>
      <w:r w:rsidRPr="00F53AA8">
        <w:rPr>
          <w:spacing w:val="-4"/>
        </w:rPr>
        <w:t>galimybių naudojimą</w:t>
      </w:r>
      <w:r>
        <w:rPr>
          <w:spacing w:val="-4"/>
        </w:rPr>
        <w:t>.</w:t>
      </w:r>
    </w:p>
    <w:p w:rsidR="00995BE0" w:rsidRPr="006F401E" w:rsidRDefault="00995BE0" w:rsidP="003B2063">
      <w:pPr>
        <w:numPr>
          <w:ilvl w:val="0"/>
          <w:numId w:val="23"/>
        </w:numPr>
        <w:tabs>
          <w:tab w:val="clear" w:pos="1080"/>
          <w:tab w:val="num" w:pos="0"/>
        </w:tabs>
        <w:autoSpaceDE w:val="0"/>
        <w:autoSpaceDN w:val="0"/>
        <w:adjustRightInd w:val="0"/>
        <w:spacing w:line="360" w:lineRule="auto"/>
        <w:ind w:left="0" w:firstLine="720"/>
        <w:jc w:val="both"/>
      </w:pPr>
      <w:r>
        <w:t>Strateginis šiuolaikinės sveikatos priežiūros tikslas – aktyvinti individų, grupių bei organizacijų dalyvavimą diegiant įvairias sveikatos gerinimo programas, skatinant sveikatos paslaugų teikėjų ir vartotojų dialogą, ugdant pacientų atsakomybę už savo sveikatą.</w:t>
      </w:r>
      <w:r w:rsidRPr="004E7018">
        <w:rPr>
          <w:sz w:val="23"/>
          <w:szCs w:val="23"/>
        </w:rPr>
        <w:t xml:space="preserve"> </w:t>
      </w:r>
    </w:p>
    <w:p w:rsidR="00995BE0" w:rsidRPr="00777F15" w:rsidRDefault="00995BE0" w:rsidP="003B2063">
      <w:pPr>
        <w:numPr>
          <w:ilvl w:val="0"/>
          <w:numId w:val="23"/>
        </w:numPr>
        <w:tabs>
          <w:tab w:val="clear" w:pos="1080"/>
          <w:tab w:val="num" w:pos="0"/>
        </w:tabs>
        <w:autoSpaceDE w:val="0"/>
        <w:autoSpaceDN w:val="0"/>
        <w:adjustRightInd w:val="0"/>
        <w:spacing w:line="360" w:lineRule="auto"/>
        <w:ind w:left="0" w:firstLine="720"/>
        <w:jc w:val="both"/>
      </w:pPr>
      <w:r w:rsidRPr="006F401E">
        <w:t>Pirminė sveikatos priežiūra yra valstybės sveikatos priežiūros sistemos pagrindas ir bendros socialinės bei ekonominės raidos dalis, kuri organizuoja ir koordinuoja paciento sveikatos priežiūrą, reguliuoja aukštesnio lygio sveikatos paslaugų prieinamumą bei tikslingumą, orientuota į pacientą, jo sveikatos išsaugojimą</w:t>
      </w:r>
      <w:r>
        <w:rPr>
          <w:sz w:val="23"/>
          <w:szCs w:val="23"/>
        </w:rPr>
        <w:t xml:space="preserve">. </w:t>
      </w:r>
    </w:p>
    <w:p w:rsidR="00995BE0" w:rsidRDefault="00995BE0" w:rsidP="003B2063">
      <w:pPr>
        <w:numPr>
          <w:ilvl w:val="0"/>
          <w:numId w:val="23"/>
        </w:numPr>
        <w:tabs>
          <w:tab w:val="clear" w:pos="1080"/>
          <w:tab w:val="num" w:pos="0"/>
        </w:tabs>
        <w:autoSpaceDE w:val="0"/>
        <w:autoSpaceDN w:val="0"/>
        <w:adjustRightInd w:val="0"/>
        <w:spacing w:line="360" w:lineRule="auto"/>
        <w:ind w:left="0" w:firstLine="720"/>
        <w:jc w:val="both"/>
      </w:pPr>
      <w:r w:rsidRPr="0074346F">
        <w:t>Gerai funkcionuojanti pirminė sveikatos priežiūra gali būti traktuojama kaip priemonė, padedanti užtikrinti šalyje sveikatos paslaugų teikimą bei leidžianti racionaliai naudoti ribotas lėšas, skiriamas sveikatos priežiūrai</w:t>
      </w:r>
      <w:r>
        <w:t>.</w:t>
      </w:r>
    </w:p>
    <w:p w:rsidR="00995BE0" w:rsidRDefault="00995BE0" w:rsidP="003B2063">
      <w:pPr>
        <w:numPr>
          <w:ilvl w:val="0"/>
          <w:numId w:val="23"/>
        </w:numPr>
        <w:tabs>
          <w:tab w:val="clear" w:pos="1080"/>
          <w:tab w:val="num" w:pos="0"/>
        </w:tabs>
        <w:spacing w:line="360" w:lineRule="auto"/>
        <w:ind w:left="0" w:firstLine="720"/>
        <w:jc w:val="both"/>
      </w:pPr>
      <w:r>
        <w:t>Autoriai siūlo savo sukurtą strateginio valdymo modelį, skirtą Lietuvos sveikatos apsaugos sistemai, kurio</w:t>
      </w:r>
      <w:r w:rsidRPr="00484ED7">
        <w:t xml:space="preserve"> </w:t>
      </w:r>
      <w:r>
        <w:t>s</w:t>
      </w:r>
      <w:r w:rsidRPr="00B424A0">
        <w:t>varbiausias rezultatas yra aukščiausios vertės pacientui ir potencialiam klientui sukūrimas.</w:t>
      </w:r>
      <w:r>
        <w:t xml:space="preserve"> Naujam Lietuvos sveikatos priežiūros strateginio valdymo modelyje išskiriamas konkurencijos </w:t>
      </w:r>
      <w:r w:rsidRPr="00135CBE">
        <w:t>skatinimas</w:t>
      </w:r>
      <w:r>
        <w:t xml:space="preserve">, </w:t>
      </w:r>
      <w:r w:rsidRPr="00135CBE">
        <w:t xml:space="preserve">pagrįsto </w:t>
      </w:r>
      <w:r>
        <w:t>rezultatais ir pacientų vertei, o ne tik pagal kainų skirtumą, kai paprastai renkamos įstaigos kur pigesnės paslaugos.</w:t>
      </w:r>
    </w:p>
    <w:p w:rsidR="00995BE0" w:rsidRPr="004F03C8" w:rsidRDefault="00995BE0" w:rsidP="006F401E">
      <w:pPr>
        <w:spacing w:line="360" w:lineRule="auto"/>
        <w:ind w:firstLine="1134"/>
      </w:pPr>
      <w:r w:rsidRPr="004F03C8">
        <w:rPr>
          <w:i/>
        </w:rPr>
        <w:t>Atlikus empirinius tyrimus, galima pateikti tokias pagrindines išvadas</w:t>
      </w:r>
      <w:r w:rsidRPr="004F03C8">
        <w:t>:</w:t>
      </w:r>
    </w:p>
    <w:p w:rsidR="00995BE0" w:rsidRPr="00906DAD" w:rsidRDefault="00995BE0" w:rsidP="00EC053F">
      <w:pPr>
        <w:numPr>
          <w:ilvl w:val="0"/>
          <w:numId w:val="24"/>
        </w:numPr>
        <w:tabs>
          <w:tab w:val="clear" w:pos="720"/>
          <w:tab w:val="num" w:pos="0"/>
          <w:tab w:val="left" w:pos="397"/>
        </w:tabs>
        <w:spacing w:line="360" w:lineRule="auto"/>
        <w:ind w:left="0" w:firstLine="720"/>
        <w:jc w:val="both"/>
      </w:pPr>
      <w:r>
        <w:t>Šiaulių miesto gyventojų sveikatos būklės analizė atskleidžia pagrindines visuomenės sveikatos problemas: populiacijos mažėjimą bei senėjimą, didelį gyventojų mirtingumą, kurių priežastys yra -</w:t>
      </w:r>
      <w:r w:rsidRPr="00906DAD">
        <w:t xml:space="preserve"> širdies ir kraujagyslių ligos, piktybiniai navikai</w:t>
      </w:r>
      <w:r>
        <w:t>,</w:t>
      </w:r>
      <w:r w:rsidRPr="00906DAD">
        <w:t xml:space="preserve"> traumos ir nelaimingi atsitikimai. Kasmet registruojamas didelis vaikų sergamumas, didėja vaikų dalis, kurie turi kelis sveikatos sutrikimus. Vyrauja regioniniai, socialiai ekonominiai skirtumai, sveikatos nelygybė.</w:t>
      </w:r>
    </w:p>
    <w:p w:rsidR="00995BE0" w:rsidRDefault="00995BE0" w:rsidP="003B2063">
      <w:pPr>
        <w:numPr>
          <w:ilvl w:val="0"/>
          <w:numId w:val="24"/>
        </w:numPr>
        <w:tabs>
          <w:tab w:val="clear" w:pos="720"/>
          <w:tab w:val="num" w:pos="0"/>
        </w:tabs>
        <w:spacing w:line="360" w:lineRule="auto"/>
        <w:ind w:left="0" w:firstLine="360"/>
        <w:jc w:val="both"/>
      </w:pPr>
      <w:r w:rsidRPr="00906DAD">
        <w:t xml:space="preserve">Įgyvendinant šalyje visuomenės sveikatos priežiūros reformą, nuo 2006 m. pradėta steigti savivaldybių visuomenės sveikatos biurai. Pagrindinis šių įstaigų veiklos tikslas - rūpintis savivaldybės bendruomenėje visuomenės sveikata ir ją stiprinti. Kadangi jos daugiausia žino apie konkrečios savivaldybės gyventojų sveikatos būklę, gali inicijuoti vietinius politinius sprendimus, ir </w:t>
      </w:r>
      <w:r w:rsidRPr="00906DAD">
        <w:lastRenderedPageBreak/>
        <w:t>turi tapti pagrindiniu visuomenės sveikatos politikos sraigteliu. Apibendrinant šiandieninę situaciją – šito kol kas nėra.</w:t>
      </w:r>
    </w:p>
    <w:p w:rsidR="00995BE0" w:rsidRDefault="00995BE0" w:rsidP="003B2063">
      <w:pPr>
        <w:numPr>
          <w:ilvl w:val="0"/>
          <w:numId w:val="24"/>
        </w:numPr>
        <w:tabs>
          <w:tab w:val="clear" w:pos="720"/>
          <w:tab w:val="num" w:pos="0"/>
        </w:tabs>
        <w:spacing w:line="360" w:lineRule="auto"/>
        <w:ind w:left="0" w:firstLine="360"/>
        <w:jc w:val="both"/>
      </w:pPr>
      <w:r>
        <w:t>Šiaulių miesto savivaldybės VS biuro PEST analizė parodė, kad Lietuvos ir ES visuomenės sveikatos teisinė bazė yra stipri. Formuojant sveikatos politiką Lietuvoje vadovautasi ES patirtimi bei bendraisiais principais. Daug dėmesio skiriama vaikų sveikatai gerinti, lėtinių neinfekcinių ligų prevencijai, infekcinėms ligoms kontrolei, psichinės sveikatos gerinimui.</w:t>
      </w:r>
    </w:p>
    <w:p w:rsidR="00995BE0" w:rsidRDefault="00995BE0" w:rsidP="008B5D9C">
      <w:pPr>
        <w:pStyle w:val="Sraopastraipa"/>
        <w:numPr>
          <w:ilvl w:val="0"/>
          <w:numId w:val="24"/>
        </w:numPr>
        <w:tabs>
          <w:tab w:val="clear" w:pos="720"/>
          <w:tab w:val="num" w:pos="0"/>
          <w:tab w:val="left" w:pos="709"/>
        </w:tabs>
        <w:spacing w:line="360" w:lineRule="auto"/>
        <w:ind w:left="0" w:firstLine="426"/>
        <w:jc w:val="both"/>
      </w:pPr>
      <w:r w:rsidRPr="00A5785C">
        <w:t>Tyrimo metu atlikta Šiaulių miesto savivaldybės VS biuro SSGG analizė parodė, kad pagrindines stiprybės yra platus bendradarbiavimo spektras su socialiniais partneriais, yra gaunamos lėšos už VS biure vykdomus privalomuosius sveikatos mokymus, kurias galima panaudoti vykdant bendruomenės sveikatos stiprinimo veiklą. Kuriamas VS biuro tinklas, įsisteigė VS biurų asociacija.</w:t>
      </w:r>
    </w:p>
    <w:p w:rsidR="00995BE0" w:rsidRDefault="00995BE0" w:rsidP="008B5D9C">
      <w:pPr>
        <w:pStyle w:val="Sraopastraipa"/>
        <w:numPr>
          <w:ilvl w:val="0"/>
          <w:numId w:val="24"/>
        </w:numPr>
        <w:tabs>
          <w:tab w:val="clear" w:pos="720"/>
          <w:tab w:val="num" w:pos="0"/>
        </w:tabs>
        <w:spacing w:line="360" w:lineRule="auto"/>
        <w:ind w:left="0" w:firstLine="360"/>
        <w:jc w:val="both"/>
      </w:pPr>
      <w:r>
        <w:t>Silpnosios vietos remiasi į finansavimo sritį – mažas darbo užmokestis skatina specialistų nuolatinę kaitą bei motyvacijos stygių, nepakankamas pirminės sveikatos priežiūros finansavimas. Kitos ministerijos bei organizacijos nepakankamai įsitraukia į VS politikos formavimo ir įgyvendinimo procesą. Nepakankama VS biuro specialistų kvalifikacija.</w:t>
      </w:r>
    </w:p>
    <w:p w:rsidR="00995BE0" w:rsidRPr="00A5785C" w:rsidRDefault="00995BE0" w:rsidP="008B5D9C">
      <w:pPr>
        <w:pStyle w:val="Sraopastraipa"/>
        <w:numPr>
          <w:ilvl w:val="0"/>
          <w:numId w:val="24"/>
        </w:numPr>
        <w:tabs>
          <w:tab w:val="clear" w:pos="720"/>
          <w:tab w:val="num" w:pos="0"/>
        </w:tabs>
        <w:spacing w:line="360" w:lineRule="auto"/>
        <w:ind w:left="0" w:firstLine="360"/>
        <w:jc w:val="both"/>
      </w:pPr>
      <w:r>
        <w:t>Šiaulių VS biuras turi galimybę formuoti sveikatos politiką atsižvelgiant į ES ir PSO gerąją patirtį ir rekomendacijas, formuoti teigiamą požiūrį į sveiką gyvenseną, sveikatos išsaugojimą ir stiprinimą. Specialistai gali kelti savo kvalifikaciją. Siekti, kad kuo daugiau bendrojo lavinimo įstaigų būtų pripažintos sveikatą stiprinančiomis mokyklomis.</w:t>
      </w:r>
    </w:p>
    <w:p w:rsidR="00995BE0" w:rsidRPr="008B42CF" w:rsidRDefault="00995BE0" w:rsidP="008B5D9C">
      <w:pPr>
        <w:pStyle w:val="Sraopastraipa"/>
        <w:numPr>
          <w:ilvl w:val="0"/>
          <w:numId w:val="24"/>
        </w:numPr>
        <w:tabs>
          <w:tab w:val="clear" w:pos="720"/>
          <w:tab w:val="num" w:pos="0"/>
        </w:tabs>
        <w:spacing w:line="360" w:lineRule="auto"/>
        <w:ind w:left="0" w:firstLine="360"/>
        <w:jc w:val="both"/>
      </w:pPr>
      <w:r>
        <w:t>Pagrindinės grėsmės yra tai, kad pirminė</w:t>
      </w:r>
      <w:r w:rsidRPr="008B42CF">
        <w:t xml:space="preserve"> visuomenės sveikata iki šiol netapo realiu valstybės prioritetu, </w:t>
      </w:r>
      <w:r>
        <w:t xml:space="preserve">todėl </w:t>
      </w:r>
      <w:r w:rsidRPr="008B42CF">
        <w:t>kyla grėsmė gyventojų sergamumo didėjimui, ypatingai vaikų tarpe, mirtingumui, kurių priežastis galima pašalinti</w:t>
      </w:r>
      <w:r>
        <w:t>.</w:t>
      </w:r>
      <w:r w:rsidRPr="008B42CF">
        <w:t xml:space="preserve"> Nepakankamas mokyklų vadovų požiūris į visuomenės sveikatos priežiūros specialistų veiklą nesudaro optimalių galimybių udgyti mokinių sveikatos sampratą</w:t>
      </w:r>
      <w:r>
        <w:t>.</w:t>
      </w:r>
      <w:r w:rsidRPr="008B42CF">
        <w:t xml:space="preserve"> Nepakankamas mokinių įtraukimas į sveikatinimo veiklą sudaro palankias sąlygas žalingų įpročių plitimui mokinių tarpe bei mokinių sergamumui</w:t>
      </w:r>
      <w:r>
        <w:t>.</w:t>
      </w:r>
      <w:r w:rsidRPr="008B42CF">
        <w:t xml:space="preserve"> Ekonominės</w:t>
      </w:r>
      <w:r>
        <w:t>,</w:t>
      </w:r>
      <w:r w:rsidRPr="008B42CF">
        <w:t xml:space="preserve"> socialinės problemos turi neigiamos įtakos gyventojų sergamumui, priklausomybės ligų plitimui</w:t>
      </w:r>
      <w:r>
        <w:t xml:space="preserve">. </w:t>
      </w:r>
      <w:r w:rsidRPr="008B42CF">
        <w:t xml:space="preserve">Didžioji dalis mokyklų </w:t>
      </w:r>
      <w:r>
        <w:t>VS</w:t>
      </w:r>
      <w:r w:rsidRPr="008B42CF">
        <w:t xml:space="preserve"> priežiūros specialistų nėra baigę visuomenės sveikatos specialybės studijų, o tik išklausę kursus, todėl tikėtina, kad jiems trūksta žinių bei įgūdžių kai kuriais sveikatos klausimais</w:t>
      </w:r>
      <w:r>
        <w:t>.</w:t>
      </w:r>
    </w:p>
    <w:p w:rsidR="00995BE0" w:rsidRDefault="00995BE0" w:rsidP="003B2063">
      <w:pPr>
        <w:numPr>
          <w:ilvl w:val="0"/>
          <w:numId w:val="24"/>
        </w:numPr>
        <w:tabs>
          <w:tab w:val="clear" w:pos="720"/>
          <w:tab w:val="num" w:pos="0"/>
        </w:tabs>
        <w:spacing w:line="360" w:lineRule="auto"/>
        <w:ind w:left="0" w:firstLine="360"/>
        <w:jc w:val="both"/>
      </w:pPr>
      <w:r>
        <w:t>Tyrimo metu išryškėjo keturi Šiaulių miesto savivaldybės VS biuro veiklos</w:t>
      </w:r>
      <w:r w:rsidRPr="00906DAD">
        <w:t xml:space="preserve"> prioritetai – lėtinių neinfekcinių ligų prevencija, vaikų sveikat</w:t>
      </w:r>
      <w:r>
        <w:t>os stiprinimas,</w:t>
      </w:r>
      <w:r w:rsidRPr="00906DAD">
        <w:t xml:space="preserve"> sveikas senėjimas</w:t>
      </w:r>
      <w:r>
        <w:t xml:space="preserve"> ir</w:t>
      </w:r>
      <w:r w:rsidRPr="00906DAD">
        <w:t xml:space="preserve"> socialinių netolygumų </w:t>
      </w:r>
      <w:r>
        <w:t xml:space="preserve">visuomenės sveikatos sistemoje </w:t>
      </w:r>
      <w:r w:rsidRPr="00906DAD">
        <w:t>mažinimas.</w:t>
      </w:r>
    </w:p>
    <w:p w:rsidR="00995BE0" w:rsidRPr="00B2102E" w:rsidRDefault="00995BE0" w:rsidP="003B2063">
      <w:pPr>
        <w:numPr>
          <w:ilvl w:val="0"/>
          <w:numId w:val="24"/>
        </w:numPr>
        <w:tabs>
          <w:tab w:val="clear" w:pos="720"/>
          <w:tab w:val="num" w:pos="0"/>
        </w:tabs>
        <w:spacing w:line="360" w:lineRule="auto"/>
        <w:ind w:left="0" w:firstLine="360"/>
        <w:jc w:val="both"/>
      </w:pPr>
      <w:r w:rsidRPr="00906DAD">
        <w:t>Esant nepakankamam politikų požiūriui į Šiaulių miesto ar bet kurios kitos savivaldybės visuomenės sveikatos biurą, stringa jų finansavimas, nesukurta pakankamai metodinės medžiagos pagal kurią įstaigos galėtų vykdyti savo veiklą. Nesutvarkius šių pagrindinių dalykų – atsiranda eilė kitų spręstinų problemų.</w:t>
      </w:r>
    </w:p>
    <w:p w:rsidR="00995BE0" w:rsidRDefault="00995BE0" w:rsidP="00DA167B">
      <w:pPr>
        <w:pStyle w:val="Antrat1"/>
        <w:rPr>
          <w:rFonts w:ascii="Times New Roman" w:hAnsi="Times New Roman"/>
        </w:rPr>
      </w:pPr>
      <w:bookmarkStart w:id="91" w:name="_Toc293248641"/>
      <w:r w:rsidRPr="001448D9">
        <w:rPr>
          <w:rFonts w:ascii="Times New Roman" w:hAnsi="Times New Roman"/>
        </w:rPr>
        <w:lastRenderedPageBreak/>
        <w:t>SIŪLYMAI</w:t>
      </w:r>
      <w:bookmarkEnd w:id="91"/>
    </w:p>
    <w:p w:rsidR="00995BE0" w:rsidRPr="002D110E" w:rsidRDefault="00995BE0" w:rsidP="002D110E">
      <w:pPr>
        <w:rPr>
          <w:lang w:eastAsia="ar-SA"/>
        </w:rPr>
      </w:pPr>
      <w:r>
        <w:rPr>
          <w:lang w:eastAsia="ar-SA"/>
        </w:rPr>
        <w:t>Remiantis dokumentų ir ekspertų nuostatų analize, suformuluoti šie siūlymai:</w:t>
      </w:r>
    </w:p>
    <w:p w:rsidR="00995BE0" w:rsidRDefault="00995BE0" w:rsidP="00A56203">
      <w:pPr>
        <w:tabs>
          <w:tab w:val="left" w:pos="397"/>
        </w:tabs>
        <w:spacing w:line="360" w:lineRule="auto"/>
        <w:jc w:val="both"/>
        <w:rPr>
          <w:i/>
        </w:rPr>
      </w:pPr>
    </w:p>
    <w:p w:rsidR="00995BE0" w:rsidRPr="00A56203" w:rsidRDefault="00995BE0" w:rsidP="00A56203">
      <w:pPr>
        <w:tabs>
          <w:tab w:val="left" w:pos="397"/>
        </w:tabs>
        <w:spacing w:line="360" w:lineRule="auto"/>
        <w:jc w:val="both"/>
        <w:rPr>
          <w:i/>
        </w:rPr>
      </w:pPr>
      <w:r w:rsidRPr="00A56203">
        <w:rPr>
          <w:i/>
        </w:rPr>
        <w:t>Siūlymai</w:t>
      </w:r>
      <w:r>
        <w:rPr>
          <w:i/>
        </w:rPr>
        <w:t xml:space="preserve"> LR</w:t>
      </w:r>
      <w:r w:rsidRPr="00A56203">
        <w:rPr>
          <w:i/>
        </w:rPr>
        <w:t xml:space="preserve"> Švietimo ir mokslo ministerijai:</w:t>
      </w:r>
    </w:p>
    <w:p w:rsidR="00995BE0" w:rsidRDefault="00995BE0" w:rsidP="00A56203">
      <w:pPr>
        <w:tabs>
          <w:tab w:val="left" w:pos="397"/>
        </w:tabs>
        <w:spacing w:line="360" w:lineRule="auto"/>
        <w:jc w:val="both"/>
      </w:pPr>
      <w:r>
        <w:t>Koreguoti aukštųjų mokyklų visuomenės sveikatos studijų programas:</w:t>
      </w:r>
    </w:p>
    <w:p w:rsidR="00995BE0" w:rsidRDefault="00995BE0" w:rsidP="005340AB">
      <w:pPr>
        <w:numPr>
          <w:ilvl w:val="0"/>
          <w:numId w:val="26"/>
        </w:numPr>
        <w:tabs>
          <w:tab w:val="clear" w:pos="720"/>
          <w:tab w:val="num" w:pos="0"/>
          <w:tab w:val="left" w:pos="397"/>
        </w:tabs>
        <w:spacing w:line="360" w:lineRule="auto"/>
        <w:ind w:left="0" w:firstLine="360"/>
        <w:jc w:val="both"/>
      </w:pPr>
      <w:r>
        <w:t>Rengiant aukštųjų mokyklų VS studijų programas stiprinti specialią (profesinę) sritį, skirti didesnį dėmesį mokymui pritaikyti gebėjimus įvairiose visuomenės sveikatos srityse;</w:t>
      </w:r>
    </w:p>
    <w:p w:rsidR="00995BE0" w:rsidRDefault="00995BE0" w:rsidP="005340AB">
      <w:pPr>
        <w:numPr>
          <w:ilvl w:val="0"/>
          <w:numId w:val="26"/>
        </w:numPr>
        <w:tabs>
          <w:tab w:val="clear" w:pos="720"/>
          <w:tab w:val="num" w:pos="0"/>
          <w:tab w:val="left" w:pos="397"/>
        </w:tabs>
        <w:spacing w:line="360" w:lineRule="auto"/>
        <w:ind w:left="0" w:firstLine="360"/>
        <w:jc w:val="both"/>
      </w:pPr>
      <w:r>
        <w:t>Gerinti visuomenės sveikatos priežiūros specialistų rengimą darbui bendrojo lavinimo mokyklose;</w:t>
      </w:r>
    </w:p>
    <w:p w:rsidR="00995BE0" w:rsidRDefault="00995BE0" w:rsidP="0090638B">
      <w:pPr>
        <w:numPr>
          <w:ilvl w:val="0"/>
          <w:numId w:val="26"/>
        </w:numPr>
        <w:tabs>
          <w:tab w:val="left" w:pos="397"/>
        </w:tabs>
        <w:spacing w:line="360" w:lineRule="auto"/>
        <w:jc w:val="both"/>
      </w:pPr>
      <w:r>
        <w:t>Bendrojo ugdymo programose įtraukti sveikos gyvensenos programą, kaip atskirą discipliną.</w:t>
      </w:r>
    </w:p>
    <w:p w:rsidR="00995BE0" w:rsidRDefault="00995BE0" w:rsidP="005340AB">
      <w:pPr>
        <w:numPr>
          <w:ilvl w:val="0"/>
          <w:numId w:val="26"/>
        </w:numPr>
        <w:tabs>
          <w:tab w:val="clear" w:pos="720"/>
          <w:tab w:val="num" w:pos="0"/>
          <w:tab w:val="left" w:pos="397"/>
        </w:tabs>
        <w:spacing w:line="360" w:lineRule="auto"/>
        <w:ind w:left="0" w:firstLine="360"/>
        <w:jc w:val="both"/>
      </w:pPr>
      <w:r>
        <w:t>Užtikrinti, kad kiekvienoje bendrojo lavinimo įstaigoje būtų teikiama psichologinė konsultacija.</w:t>
      </w:r>
    </w:p>
    <w:p w:rsidR="00995BE0" w:rsidRDefault="00995BE0" w:rsidP="00023398">
      <w:pPr>
        <w:tabs>
          <w:tab w:val="left" w:pos="397"/>
        </w:tabs>
        <w:spacing w:line="360" w:lineRule="auto"/>
        <w:ind w:left="360"/>
        <w:jc w:val="both"/>
      </w:pPr>
    </w:p>
    <w:p w:rsidR="00995BE0" w:rsidRPr="00023398" w:rsidRDefault="00995BE0" w:rsidP="00023398">
      <w:pPr>
        <w:tabs>
          <w:tab w:val="left" w:pos="397"/>
        </w:tabs>
        <w:spacing w:line="360" w:lineRule="auto"/>
        <w:jc w:val="both"/>
        <w:rPr>
          <w:i/>
        </w:rPr>
      </w:pPr>
      <w:r w:rsidRPr="00023398">
        <w:rPr>
          <w:i/>
        </w:rPr>
        <w:t xml:space="preserve">Siūlymai LR </w:t>
      </w:r>
      <w:r>
        <w:rPr>
          <w:i/>
        </w:rPr>
        <w:t>S</w:t>
      </w:r>
      <w:r w:rsidRPr="00023398">
        <w:rPr>
          <w:i/>
        </w:rPr>
        <w:t>veikatos apsaugos ministerijai:</w:t>
      </w:r>
    </w:p>
    <w:p w:rsidR="00995BE0" w:rsidRPr="0024173E" w:rsidRDefault="00995BE0" w:rsidP="005340AB">
      <w:pPr>
        <w:pStyle w:val="Sraopastraipa"/>
        <w:numPr>
          <w:ilvl w:val="0"/>
          <w:numId w:val="33"/>
        </w:numPr>
        <w:autoSpaceDE w:val="0"/>
        <w:autoSpaceDN w:val="0"/>
        <w:adjustRightInd w:val="0"/>
        <w:spacing w:line="360" w:lineRule="auto"/>
        <w:ind w:left="-240" w:firstLine="600"/>
        <w:jc w:val="both"/>
      </w:pPr>
      <w:r>
        <w:t>Kadangi VS biurams</w:t>
      </w:r>
      <w:r w:rsidRPr="003F6A9E">
        <w:t xml:space="preserve"> trūksta vieningo metodinio vadovavimo, nėra parengtų visuomenės sveikatos specialistų veiklos metodinių rekomendacijų</w:t>
      </w:r>
      <w:r>
        <w:t xml:space="preserve">, be to, ekspertai E5 ir E7 akcentuoja, kad </w:t>
      </w:r>
      <w:r w:rsidRPr="00255F51">
        <w:t>reikėtų sutvarkyti paslaugų nomenklatūrą</w:t>
      </w:r>
      <w:r>
        <w:t xml:space="preserve">, </w:t>
      </w:r>
      <w:r w:rsidRPr="003F6A9E">
        <w:t>lėšų poreikio skaičiaus metodiką</w:t>
      </w:r>
      <w:r>
        <w:t>,</w:t>
      </w:r>
      <w:r w:rsidRPr="003F6A9E">
        <w:t xml:space="preserve"> </w:t>
      </w:r>
      <w:r>
        <w:t>svarbu turėti ir veiklos efektyvumo vertinimo rodiklius bei vykdyti Biurų veiklos kontrolę, vadinasi būtina p</w:t>
      </w:r>
      <w:r w:rsidRPr="003A70B0">
        <w:t>arengti visuomenės sveikatos specialistų veiklos metodin</w:t>
      </w:r>
      <w:r>
        <w:t>es</w:t>
      </w:r>
      <w:r w:rsidRPr="003A70B0">
        <w:t xml:space="preserve"> rekomendacij</w:t>
      </w:r>
      <w:r>
        <w:t>as;</w:t>
      </w:r>
      <w:r w:rsidRPr="00755DDD">
        <w:rPr>
          <w:i/>
        </w:rPr>
        <w:t xml:space="preserve"> </w:t>
      </w:r>
    </w:p>
    <w:p w:rsidR="00995BE0" w:rsidRDefault="00995BE0" w:rsidP="005340AB">
      <w:pPr>
        <w:numPr>
          <w:ilvl w:val="0"/>
          <w:numId w:val="27"/>
        </w:numPr>
        <w:tabs>
          <w:tab w:val="clear" w:pos="720"/>
          <w:tab w:val="num" w:pos="0"/>
          <w:tab w:val="left" w:pos="397"/>
        </w:tabs>
        <w:spacing w:line="360" w:lineRule="auto"/>
        <w:ind w:left="-120" w:firstLine="480"/>
        <w:jc w:val="both"/>
      </w:pPr>
      <w:r>
        <w:t>Koreguoti vietos savivaldos įstatymo 50 straipsnį, įtraukiant finansavimą visuomenės sveikatos biurams atskira eilute;</w:t>
      </w:r>
    </w:p>
    <w:p w:rsidR="00995BE0" w:rsidRPr="00050258" w:rsidRDefault="00995BE0" w:rsidP="005340AB">
      <w:pPr>
        <w:numPr>
          <w:ilvl w:val="0"/>
          <w:numId w:val="27"/>
        </w:numPr>
        <w:tabs>
          <w:tab w:val="clear" w:pos="720"/>
          <w:tab w:val="num" w:pos="0"/>
          <w:tab w:val="left" w:pos="397"/>
        </w:tabs>
        <w:spacing w:line="360" w:lineRule="auto"/>
        <w:ind w:left="-120" w:firstLine="480"/>
        <w:jc w:val="both"/>
      </w:pPr>
      <w:r>
        <w:t>Stiprinti savivaldybių VS biurų veiklos koordinavimą ir metodinį vadovavimą, nustatyti pagrindinius jų veiklos prioritetus, parengti biurų veiklos efektyvumo vertinio rodiklius ir vykdyti veiklos kontrolę.</w:t>
      </w:r>
    </w:p>
    <w:p w:rsidR="00995BE0" w:rsidRDefault="00995BE0" w:rsidP="003A70B0">
      <w:pPr>
        <w:tabs>
          <w:tab w:val="left" w:pos="397"/>
        </w:tabs>
        <w:spacing w:line="360" w:lineRule="auto"/>
        <w:jc w:val="both"/>
      </w:pPr>
    </w:p>
    <w:p w:rsidR="00995BE0" w:rsidRPr="00023398" w:rsidRDefault="00995BE0" w:rsidP="00023398">
      <w:pPr>
        <w:tabs>
          <w:tab w:val="left" w:pos="397"/>
        </w:tabs>
        <w:spacing w:line="360" w:lineRule="auto"/>
        <w:jc w:val="both"/>
        <w:rPr>
          <w:i/>
        </w:rPr>
      </w:pPr>
      <w:r w:rsidRPr="00023398">
        <w:rPr>
          <w:i/>
        </w:rPr>
        <w:t>Siūlymai</w:t>
      </w:r>
      <w:r>
        <w:rPr>
          <w:i/>
        </w:rPr>
        <w:t xml:space="preserve"> Šiaulių miesto savivaldybės</w:t>
      </w:r>
      <w:r w:rsidRPr="00023398">
        <w:rPr>
          <w:i/>
        </w:rPr>
        <w:t xml:space="preserve"> VS biuro administracijai:</w:t>
      </w:r>
    </w:p>
    <w:p w:rsidR="00995BE0" w:rsidRDefault="00995BE0" w:rsidP="00D07F58">
      <w:pPr>
        <w:pStyle w:val="Sraopastraipa"/>
        <w:numPr>
          <w:ilvl w:val="0"/>
          <w:numId w:val="28"/>
        </w:numPr>
        <w:tabs>
          <w:tab w:val="left" w:pos="397"/>
        </w:tabs>
        <w:spacing w:line="360" w:lineRule="auto"/>
        <w:ind w:left="0" w:firstLine="360"/>
        <w:jc w:val="both"/>
      </w:pPr>
      <w:r>
        <w:t>Suformuoti ir pagrįsti strategiją Šiaulių miesto savivaldybės VS biurui su griežtai apibrėžtais savo veiklos strateginiais planais ir aiškiai įvardintais prioritetais ir matuojamais struktūros, proceso ir rezultato rodikliais;</w:t>
      </w:r>
    </w:p>
    <w:p w:rsidR="00995BE0" w:rsidRDefault="00995BE0" w:rsidP="002D110E">
      <w:pPr>
        <w:pStyle w:val="Sraopastraipa"/>
        <w:numPr>
          <w:ilvl w:val="0"/>
          <w:numId w:val="28"/>
        </w:numPr>
        <w:tabs>
          <w:tab w:val="left" w:pos="397"/>
        </w:tabs>
        <w:spacing w:line="360" w:lineRule="auto"/>
        <w:jc w:val="both"/>
      </w:pPr>
      <w:r>
        <w:t>Įdarbinti specialistus, kurie turi įgiję tik visuomenės sveikatos specialybę;</w:t>
      </w:r>
    </w:p>
    <w:p w:rsidR="00995BE0" w:rsidRDefault="00995BE0" w:rsidP="002D110E">
      <w:pPr>
        <w:pStyle w:val="Sraopastraipa"/>
        <w:numPr>
          <w:ilvl w:val="0"/>
          <w:numId w:val="28"/>
        </w:numPr>
        <w:tabs>
          <w:tab w:val="left" w:pos="397"/>
        </w:tabs>
        <w:spacing w:line="360" w:lineRule="auto"/>
        <w:jc w:val="both"/>
      </w:pPr>
      <w:r>
        <w:t>Į visuomenės sveikatos stebėsenos programą įtraukti daugiau sveikatos rodiklių;</w:t>
      </w:r>
    </w:p>
    <w:p w:rsidR="00995BE0" w:rsidRDefault="00995BE0" w:rsidP="002D110E">
      <w:pPr>
        <w:pStyle w:val="Sraopastraipa"/>
        <w:numPr>
          <w:ilvl w:val="0"/>
          <w:numId w:val="28"/>
        </w:numPr>
        <w:tabs>
          <w:tab w:val="left" w:pos="397"/>
        </w:tabs>
        <w:spacing w:line="360" w:lineRule="auto"/>
        <w:jc w:val="both"/>
      </w:pPr>
      <w:r>
        <w:t>Aktyviai vystyti tarpžinybinį bendradarbiavimą;</w:t>
      </w:r>
    </w:p>
    <w:p w:rsidR="00995BE0" w:rsidRDefault="00995BE0" w:rsidP="002D110E">
      <w:pPr>
        <w:pStyle w:val="Sraopastraipa"/>
        <w:numPr>
          <w:ilvl w:val="0"/>
          <w:numId w:val="28"/>
        </w:numPr>
        <w:tabs>
          <w:tab w:val="left" w:pos="397"/>
        </w:tabs>
        <w:spacing w:line="360" w:lineRule="auto"/>
        <w:jc w:val="both"/>
      </w:pPr>
      <w:r>
        <w:t>Skleisti ir dalintis informacija apie geros praktikos pavyzdžius savo darbe;</w:t>
      </w:r>
    </w:p>
    <w:p w:rsidR="00995BE0" w:rsidRDefault="00995BE0" w:rsidP="002D110E">
      <w:pPr>
        <w:pStyle w:val="Sraopastraipa"/>
        <w:numPr>
          <w:ilvl w:val="0"/>
          <w:numId w:val="28"/>
        </w:numPr>
        <w:tabs>
          <w:tab w:val="left" w:pos="397"/>
        </w:tabs>
        <w:spacing w:line="360" w:lineRule="auto"/>
        <w:jc w:val="both"/>
      </w:pPr>
      <w:r>
        <w:t>Kasmet atlikti savo institucijos veiklos savianalizę ir rezultatus skelbti viešai.</w:t>
      </w:r>
    </w:p>
    <w:p w:rsidR="00995BE0" w:rsidRDefault="00995BE0" w:rsidP="00A56203">
      <w:pPr>
        <w:tabs>
          <w:tab w:val="left" w:pos="397"/>
        </w:tabs>
        <w:jc w:val="both"/>
      </w:pPr>
    </w:p>
    <w:p w:rsidR="00995BE0" w:rsidRPr="006D0663" w:rsidRDefault="00995BE0" w:rsidP="00962933">
      <w:pPr>
        <w:pStyle w:val="Antrat1"/>
        <w:spacing w:line="240" w:lineRule="auto"/>
      </w:pPr>
      <w:r w:rsidRPr="001D71BB">
        <w:br w:type="page"/>
      </w:r>
      <w:bookmarkStart w:id="92" w:name="_Toc293248642"/>
      <w:r w:rsidRPr="006D0663">
        <w:lastRenderedPageBreak/>
        <w:t>DISKUSIJ</w:t>
      </w:r>
      <w:r>
        <w:t>A</w:t>
      </w:r>
      <w:bookmarkEnd w:id="92"/>
    </w:p>
    <w:p w:rsidR="00995BE0" w:rsidRDefault="00995BE0" w:rsidP="00D82E8B">
      <w:pPr>
        <w:rPr>
          <w:lang w:eastAsia="ar-SA"/>
        </w:rPr>
      </w:pPr>
    </w:p>
    <w:p w:rsidR="00995BE0" w:rsidRDefault="00995BE0" w:rsidP="00D82E8B">
      <w:pPr>
        <w:rPr>
          <w:lang w:eastAsia="ar-SA"/>
        </w:rPr>
      </w:pPr>
    </w:p>
    <w:p w:rsidR="00995BE0" w:rsidRDefault="00995BE0" w:rsidP="00E229AA">
      <w:pPr>
        <w:spacing w:line="360" w:lineRule="auto"/>
        <w:ind w:firstLine="567"/>
        <w:jc w:val="both"/>
        <w:rPr>
          <w:color w:val="000000"/>
        </w:rPr>
      </w:pPr>
      <w:r w:rsidRPr="00777F15">
        <w:rPr>
          <w:lang w:eastAsia="ar-SA"/>
        </w:rPr>
        <w:t>Kaip rodo empirinės dalies analizė, pirminė sveikatos priežiūra</w:t>
      </w:r>
      <w:r>
        <w:rPr>
          <w:lang w:eastAsia="ar-SA"/>
        </w:rPr>
        <w:t xml:space="preserve"> (PSP)</w:t>
      </w:r>
      <w:r w:rsidRPr="00777F15">
        <w:rPr>
          <w:lang w:eastAsia="ar-SA"/>
        </w:rPr>
        <w:t xml:space="preserve"> iki šiol netapo valstybės prioritetu, nors kalbama ir diskutuojama daug, tačiau konkrečių veiksmų nepakanka.</w:t>
      </w:r>
      <w:r>
        <w:rPr>
          <w:color w:val="FF0000"/>
          <w:lang w:eastAsia="ar-SA"/>
        </w:rPr>
        <w:t xml:space="preserve"> </w:t>
      </w:r>
      <w:r>
        <w:rPr>
          <w:color w:val="000000"/>
        </w:rPr>
        <w:t xml:space="preserve"> Klausimas yra kodėl PSP Lietuvoje taip sunkiai skinasi kelią, kai Vakarų patirtis traktuoja ją kaip sveikatos priežiūros pagrindą. </w:t>
      </w:r>
      <w:r w:rsidRPr="00DA0F23">
        <w:rPr>
          <w:color w:val="000000"/>
        </w:rPr>
        <w:t xml:space="preserve">Lietuvoje PSP strategija priimta 1995 m., o jau 1996 m. pradėta vykdyti PSP plėtojimo investicinė programa. </w:t>
      </w:r>
      <w:r>
        <w:rPr>
          <w:color w:val="000000"/>
        </w:rPr>
        <w:t xml:space="preserve">Ir vietos, ir užsienio ekspertai tada pabrėžė pagrindinius PSP Lietuvoje trūkumus: ligų gydymo, o ne prevencijos prioritetas, nepakankamas sveikatos mokymas, gydytojų perteklius ir hiperspecializacija, bendruomenės slaugos paslaugų stoka, socialinių paslaugų trūkumas, prasta pastatų ir medicinos įrangos kokybė, didelės išlaidos infrastruktūrai, nepagrįsti siuntimai į ligonines, pacientų ir specialistų nepasitenkinimas, paskatų gerinti kokybę ir didinti efektyvumą stoka, paslaugų skaidymas (neužtikrintas sveikatos priežiūros nenutrūkstamumas). </w:t>
      </w:r>
    </w:p>
    <w:p w:rsidR="00995BE0" w:rsidRPr="00E229AA" w:rsidRDefault="00995BE0" w:rsidP="00857E98">
      <w:pPr>
        <w:spacing w:line="360" w:lineRule="auto"/>
        <w:ind w:firstLine="567"/>
        <w:jc w:val="both"/>
        <w:rPr>
          <w:lang w:eastAsia="ar-SA"/>
        </w:rPr>
      </w:pPr>
      <w:r w:rsidRPr="00E229AA">
        <w:rPr>
          <w:lang w:eastAsia="ar-SA"/>
        </w:rPr>
        <w:t xml:space="preserve">Pirmasis žingsnis žengtas kai buvo pasinaudota Olandijos gerąja patirtimi sveikatos stiprinimo srityje ir pritarta savivaldybių visuomenės sveikatos biurų steigimui. Tai padėjo pagrindą galimybei vykdyti sveikatos stiprinimą bendruomenėse. Tačiau iškyla naujų sunkumų sėkmingai plėtoti šią sritį. Visų pirma tai stinga politikų užtarimo ir dėmesio pirminei visuomenės sveikatos priežiūrai. Iš to seka nepakankamas finansavimas, ko pasekoje </w:t>
      </w:r>
      <w:r>
        <w:rPr>
          <w:lang w:eastAsia="ar-SA"/>
        </w:rPr>
        <w:t>nukenčia</w:t>
      </w:r>
      <w:r w:rsidRPr="00E229AA">
        <w:rPr>
          <w:lang w:eastAsia="ar-SA"/>
        </w:rPr>
        <w:t xml:space="preserve"> veiklos kokybė. Pasikeitus sveikatos priežiūros organizavimui mokyklose, iki šiol nėra patenkinti nei vadovai, nei tėvai. Empirinės dalies rezultatai rodo, kad situacija pasikeis tik tada, kai pasikeis visuomenės požiūris ir patys prisidės prie sveikatos stiprinimo.</w:t>
      </w:r>
    </w:p>
    <w:p w:rsidR="00995BE0" w:rsidRDefault="00995BE0" w:rsidP="00857E98">
      <w:pPr>
        <w:spacing w:line="360" w:lineRule="auto"/>
        <w:ind w:firstLine="567"/>
        <w:jc w:val="both"/>
        <w:rPr>
          <w:lang w:eastAsia="ar-SA"/>
        </w:rPr>
      </w:pPr>
      <w:r>
        <w:rPr>
          <w:lang w:eastAsia="ar-SA"/>
        </w:rPr>
        <w:t xml:space="preserve">Šiame magistro darbe išanalizuota tik dalis pagrindinių ES ir Lietuvos dokumentų, reglamentuojančių visuomenės sveikatą. Būtų tikslinga vykdyti išsamią pasaulinės strategijos „Sveikata visiems XXI a.“ analizę, jos tikslų įgyvendinimą. </w:t>
      </w:r>
    </w:p>
    <w:p w:rsidR="00995BE0" w:rsidRDefault="00995BE0" w:rsidP="00857E98">
      <w:pPr>
        <w:spacing w:line="360" w:lineRule="auto"/>
        <w:ind w:firstLine="567"/>
        <w:jc w:val="both"/>
        <w:rPr>
          <w:lang w:eastAsia="ar-SA"/>
        </w:rPr>
      </w:pPr>
      <w:r>
        <w:rPr>
          <w:lang w:eastAsia="ar-SA"/>
        </w:rPr>
        <w:t>Kitas svarbus Lietuvos visuomenės sveikatą reglamentuojantis dokumentas – Lietuvos sveikatos programa, patvirtinta 1998 m. Ši programa baigėsi 2010 m., todėl tikslinga ištirti, kokie pokyčiai įvyko per šį laikotarpį. Pilnai yra įgyvendintas tik vienas tikslas – kūdikių mirtingumas sumažintas 30 proc. Likusieji tikslai – sumažinti sergamumą širdies ir kraujagyslių ligomis, sergamumą ir mirtingumą dėl onkologinių ligų; sumažinti traumatizmo atvejų, invalidumo ir mirtingumo dėl traumų ir nelaimingų atsitikimų; sumažinti savižudybių skaičių iki vidutinių Europos šalių rodiklių; sumažinti realų sergamumą lytiškai plintančiomis ligomis nebuvo įgyvendinti. Nepasiekti tikslai susiję su rizikinga elgsena - rūkymo paplitimu, alkoholio vartojimu, narkotikų paklausa bei pasiūla, fiziniu aktyvumu. Buvo siekiama sumažinti sveikatos ir sveikatos priežiūros skirtumus tarp skirtingų socialinių – ekonominių gyventojų grupių, tačiau ir tai liko neįgyvendinta. Norint įvertinti priežastis reikia vykdyti atskirus tyrimus.</w:t>
      </w:r>
    </w:p>
    <w:p w:rsidR="00995BE0" w:rsidRPr="006D0663" w:rsidRDefault="00995BE0" w:rsidP="006D0663">
      <w:pPr>
        <w:pStyle w:val="Antrat1"/>
      </w:pPr>
      <w:bookmarkStart w:id="93" w:name="_Toc293248643"/>
      <w:r w:rsidRPr="006D0663">
        <w:lastRenderedPageBreak/>
        <w:t>LITERATŪROS SĄRAŠAS</w:t>
      </w:r>
      <w:bookmarkEnd w:id="93"/>
    </w:p>
    <w:p w:rsidR="00995BE0" w:rsidRPr="001C7068" w:rsidRDefault="00995BE0" w:rsidP="00E73456">
      <w:pPr>
        <w:jc w:val="center"/>
        <w:rPr>
          <w:b/>
          <w:bCs/>
          <w:sz w:val="22"/>
          <w:szCs w:val="22"/>
        </w:rPr>
      </w:pP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C7610A">
        <w:rPr>
          <w:i/>
          <w:sz w:val="22"/>
          <w:szCs w:val="22"/>
        </w:rPr>
        <w:t>A Conceptual Framework for Action on the Social Determinants of Health</w:t>
      </w:r>
      <w:r w:rsidRPr="00EB426F">
        <w:rPr>
          <w:sz w:val="22"/>
          <w:szCs w:val="22"/>
        </w:rPr>
        <w:t xml:space="preserve"> (2007). WHO CSDH.</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Ackoff, R. L. (1981). </w:t>
      </w:r>
      <w:r w:rsidRPr="00EB426F">
        <w:rPr>
          <w:i/>
          <w:iCs/>
          <w:sz w:val="22"/>
          <w:szCs w:val="22"/>
        </w:rPr>
        <w:t>Creating the Corporate Future</w:t>
      </w:r>
      <w:r w:rsidRPr="00EB426F">
        <w:rPr>
          <w:sz w:val="22"/>
          <w:szCs w:val="22"/>
        </w:rPr>
        <w:t>. New York: John Wiley &amp; Sons, Inc.</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Adaškevičienė, V., Baltrušaitienė, J., Ušparaitė, O., Žvirdauskas, D., Tarnauskas, K. (2005). </w:t>
      </w:r>
      <w:r w:rsidRPr="00EB426F">
        <w:rPr>
          <w:i/>
          <w:iCs/>
          <w:sz w:val="22"/>
          <w:szCs w:val="22"/>
        </w:rPr>
        <w:t>Prevencinio darbo grupių mokyklose ir koordinavimo grupių savivaldybėse vertinimas</w:t>
      </w:r>
      <w:r w:rsidRPr="00EB426F">
        <w:rPr>
          <w:sz w:val="22"/>
          <w:szCs w:val="22"/>
        </w:rPr>
        <w:t>. Tyrimo ataskaita.</w:t>
      </w:r>
    </w:p>
    <w:p w:rsidR="00995BE0" w:rsidRPr="00EB426F" w:rsidRDefault="00995BE0" w:rsidP="00C7610A">
      <w:pPr>
        <w:numPr>
          <w:ilvl w:val="0"/>
          <w:numId w:val="16"/>
        </w:numPr>
        <w:tabs>
          <w:tab w:val="left" w:pos="480"/>
        </w:tabs>
        <w:ind w:left="240" w:hanging="240"/>
        <w:jc w:val="both"/>
        <w:rPr>
          <w:sz w:val="22"/>
          <w:szCs w:val="22"/>
        </w:rPr>
      </w:pPr>
      <w:r w:rsidRPr="00EB426F">
        <w:rPr>
          <w:rStyle w:val="Grietas"/>
          <w:b w:val="0"/>
          <w:bCs w:val="0"/>
          <w:sz w:val="22"/>
          <w:szCs w:val="22"/>
        </w:rPr>
        <w:t xml:space="preserve">Ambrozaitienė, D. (2009). </w:t>
      </w:r>
      <w:r w:rsidRPr="00EB426F">
        <w:rPr>
          <w:rStyle w:val="Grietas"/>
          <w:b w:val="0"/>
          <w:bCs w:val="0"/>
          <w:i/>
          <w:iCs/>
          <w:sz w:val="22"/>
          <w:szCs w:val="22"/>
        </w:rPr>
        <w:t>Pagyvenę žmonės</w:t>
      </w:r>
      <w:r w:rsidRPr="00EB426F">
        <w:rPr>
          <w:rStyle w:val="Grietas"/>
          <w:b w:val="0"/>
          <w:bCs w:val="0"/>
          <w:sz w:val="22"/>
          <w:szCs w:val="22"/>
        </w:rPr>
        <w:t>. Pranešimas spaudai</w:t>
      </w:r>
      <w:r w:rsidRPr="00EB426F">
        <w:rPr>
          <w:b/>
          <w:bCs/>
          <w:sz w:val="22"/>
          <w:szCs w:val="22"/>
        </w:rPr>
        <w:t xml:space="preserve"> </w:t>
      </w:r>
      <w:r w:rsidRPr="00EB426F">
        <w:rPr>
          <w:sz w:val="22"/>
          <w:szCs w:val="22"/>
        </w:rPr>
        <w:t xml:space="preserve">[interaktyvus] [žiūrėta 2010-01-05]. Prieiga per internetą: </w:t>
      </w:r>
      <w:hyperlink r:id="rId56" w:history="1">
        <w:r w:rsidRPr="00EB426F">
          <w:rPr>
            <w:rStyle w:val="Hipersaitas"/>
            <w:sz w:val="22"/>
            <w:szCs w:val="22"/>
          </w:rPr>
          <w:t>http://www.stat.gov.lt/lt/news/view/?id=6847&amp;PHPSESSID=0f9ba45fc96b912cd47b4b5a411ebf0d&amp;print=1&amp;PHPSESSID=0f9ba45fc96b912cd47b4b5a411ebf0d</w:t>
        </w:r>
      </w:hyperlink>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Аnsoff, H. I. (1988). </w:t>
      </w:r>
      <w:r w:rsidRPr="00EB426F">
        <w:rPr>
          <w:i/>
          <w:iCs/>
          <w:sz w:val="22"/>
          <w:szCs w:val="22"/>
        </w:rPr>
        <w:t>The new corporate strategy</w:t>
      </w:r>
      <w:r w:rsidRPr="00EB426F">
        <w:rPr>
          <w:sz w:val="22"/>
          <w:szCs w:val="22"/>
        </w:rPr>
        <w:t>. New York: John Wiley &amp; Sons, Inc.</w:t>
      </w:r>
    </w:p>
    <w:p w:rsidR="00995BE0" w:rsidRPr="00EB426F" w:rsidRDefault="00995BE0" w:rsidP="00C7610A">
      <w:pPr>
        <w:numPr>
          <w:ilvl w:val="0"/>
          <w:numId w:val="16"/>
        </w:numPr>
        <w:tabs>
          <w:tab w:val="left" w:pos="480"/>
        </w:tabs>
        <w:ind w:left="240" w:hanging="240"/>
        <w:jc w:val="both"/>
        <w:rPr>
          <w:noProof/>
          <w:sz w:val="22"/>
          <w:szCs w:val="22"/>
        </w:rPr>
      </w:pPr>
      <w:r w:rsidRPr="00EB426F">
        <w:rPr>
          <w:noProof/>
          <w:sz w:val="22"/>
          <w:szCs w:val="22"/>
        </w:rPr>
        <w:t xml:space="preserve">Arimavičiūtė, M. (2005). </w:t>
      </w:r>
      <w:r w:rsidRPr="00EB426F">
        <w:rPr>
          <w:i/>
          <w:iCs/>
          <w:noProof/>
          <w:sz w:val="22"/>
          <w:szCs w:val="22"/>
        </w:rPr>
        <w:t>Viešojo sektoriaus institucijų strateginis valdymas</w:t>
      </w:r>
      <w:r w:rsidRPr="00EB426F">
        <w:rPr>
          <w:noProof/>
          <w:sz w:val="22"/>
          <w:szCs w:val="22"/>
        </w:rPr>
        <w:t>. Vilnius. Mykolo Romerio universitetas.</w:t>
      </w:r>
    </w:p>
    <w:p w:rsidR="00995BE0" w:rsidRPr="00EB426F" w:rsidRDefault="00995BE0" w:rsidP="00C7610A">
      <w:pPr>
        <w:pStyle w:val="Puslapioinaostekstas"/>
        <w:numPr>
          <w:ilvl w:val="0"/>
          <w:numId w:val="16"/>
        </w:numPr>
        <w:tabs>
          <w:tab w:val="left" w:pos="480"/>
        </w:tabs>
        <w:ind w:left="240" w:hanging="240"/>
        <w:jc w:val="both"/>
        <w:rPr>
          <w:i/>
          <w:iCs/>
          <w:sz w:val="22"/>
          <w:szCs w:val="22"/>
          <w:lang w:val="lt-LT"/>
        </w:rPr>
      </w:pPr>
      <w:r w:rsidRPr="00EB426F">
        <w:rPr>
          <w:sz w:val="22"/>
          <w:szCs w:val="22"/>
          <w:lang w:val="lt-LT"/>
        </w:rPr>
        <w:t xml:space="preserve">Astrauskas, A. (2004). </w:t>
      </w:r>
      <w:r w:rsidRPr="00EB426F">
        <w:rPr>
          <w:i/>
          <w:iCs/>
          <w:sz w:val="22"/>
          <w:szCs w:val="22"/>
          <w:lang w:val="lt-LT"/>
        </w:rPr>
        <w:t>Regioninės politikos aspektai Europos kontekste</w:t>
      </w:r>
      <w:r w:rsidRPr="00EB426F">
        <w:rPr>
          <w:sz w:val="22"/>
          <w:szCs w:val="22"/>
          <w:lang w:val="lt-LT"/>
        </w:rPr>
        <w:t xml:space="preserve"> [interaktyvus] [žiūrėta 2007-10-05]. </w:t>
      </w:r>
      <w:r w:rsidRPr="00EB426F">
        <w:rPr>
          <w:sz w:val="22"/>
          <w:szCs w:val="22"/>
          <w:lang w:val="sv-SE"/>
        </w:rPr>
        <w:t xml:space="preserve">Prieiga per internetą  </w:t>
      </w:r>
      <w:hyperlink r:id="rId57" w:history="1">
        <w:r w:rsidRPr="00491CCF">
          <w:rPr>
            <w:rStyle w:val="Hipersaitas"/>
            <w:sz w:val="22"/>
            <w:szCs w:val="22"/>
            <w:lang w:val="sv-SE"/>
          </w:rPr>
          <w:t>http://www.vrm.lt/index.php?id=131&amp;backPID=129&amp;begin_at=720&amp;tt_news=336&amp;</w:t>
        </w:r>
      </w:hyperlink>
      <w:r>
        <w:rPr>
          <w:sz w:val="22"/>
          <w:szCs w:val="22"/>
          <w:lang w:val="sv-SE"/>
        </w:rPr>
        <w:t xml:space="preserve"> </w:t>
      </w:r>
    </w:p>
    <w:p w:rsidR="00995BE0" w:rsidRPr="00EB426F" w:rsidRDefault="00995BE0" w:rsidP="00C7610A">
      <w:pPr>
        <w:pStyle w:val="Puslapioinaostekstas"/>
        <w:numPr>
          <w:ilvl w:val="0"/>
          <w:numId w:val="16"/>
        </w:numPr>
        <w:tabs>
          <w:tab w:val="left" w:pos="480"/>
        </w:tabs>
        <w:ind w:left="240" w:hanging="240"/>
        <w:jc w:val="both"/>
        <w:rPr>
          <w:i/>
          <w:iCs/>
          <w:sz w:val="22"/>
          <w:szCs w:val="22"/>
          <w:lang w:val="lt-LT"/>
        </w:rPr>
      </w:pPr>
      <w:r w:rsidRPr="00EB426F">
        <w:rPr>
          <w:sz w:val="22"/>
          <w:szCs w:val="22"/>
          <w:lang w:val="lt-LT"/>
        </w:rPr>
        <w:t xml:space="preserve">Astrauskas, A., Česonis, G. (2008). Strateginio planavimo principų diegimo Lietuvos vietos savivaldybėse etapai. </w:t>
      </w:r>
      <w:r w:rsidRPr="00EB426F">
        <w:rPr>
          <w:i/>
          <w:sz w:val="22"/>
          <w:szCs w:val="22"/>
          <w:lang w:val="sv-SE"/>
        </w:rPr>
        <w:t>Viešoji politika ir administravimas</w:t>
      </w:r>
      <w:r w:rsidRPr="00EB426F">
        <w:rPr>
          <w:sz w:val="22"/>
          <w:szCs w:val="22"/>
          <w:lang w:val="sv-SE"/>
        </w:rPr>
        <w:t xml:space="preserve"> (26).</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Aukštakalnytė, D. (1999). </w:t>
      </w:r>
      <w:r w:rsidRPr="00C7610A">
        <w:rPr>
          <w:i/>
          <w:sz w:val="22"/>
          <w:szCs w:val="22"/>
        </w:rPr>
        <w:t>Komunikacinė pedagogų kompetencija kaip pedagoginio bendravimo prielaida</w:t>
      </w:r>
      <w:r w:rsidRPr="00EB426F">
        <w:rPr>
          <w:sz w:val="22"/>
          <w:szCs w:val="22"/>
        </w:rPr>
        <w:t>. Acta Pedagogika Vilnensia.</w:t>
      </w:r>
    </w:p>
    <w:p w:rsidR="00995BE0"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Bagdonas, G., Samulevičienė, G., Lesauskaitė, V., Macijauskienė, J., Valius, L., Venskutonis, D., Visokinskas, A. (2009). </w:t>
      </w:r>
      <w:r w:rsidRPr="00C7610A">
        <w:rPr>
          <w:i/>
          <w:sz w:val="22"/>
          <w:szCs w:val="22"/>
        </w:rPr>
        <w:t>Pagyvenusių žmonių sveikatos priežiūra</w:t>
      </w:r>
      <w:r w:rsidRPr="00EB426F">
        <w:rPr>
          <w:sz w:val="22"/>
          <w:szCs w:val="22"/>
        </w:rPr>
        <w:t>. Kaunas.</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Pr>
          <w:sz w:val="22"/>
          <w:szCs w:val="22"/>
        </w:rPr>
        <w:t xml:space="preserve">Banita, R., Beaglehole, R., Kjellstrom, T. (1997). </w:t>
      </w:r>
      <w:r w:rsidRPr="00C7610A">
        <w:rPr>
          <w:i/>
          <w:sz w:val="22"/>
          <w:szCs w:val="22"/>
        </w:rPr>
        <w:t>Basic epidemiology</w:t>
      </w:r>
      <w:r>
        <w:rPr>
          <w:sz w:val="22"/>
          <w:szCs w:val="22"/>
        </w:rPr>
        <w:t>. 2nd edition, WHO.</w:t>
      </w:r>
    </w:p>
    <w:p w:rsidR="00995BE0" w:rsidRPr="00EB426F" w:rsidRDefault="00995BE0" w:rsidP="00C7610A">
      <w:pPr>
        <w:pStyle w:val="Sraopastraipa0"/>
        <w:numPr>
          <w:ilvl w:val="0"/>
          <w:numId w:val="16"/>
        </w:numPr>
        <w:tabs>
          <w:tab w:val="left" w:pos="480"/>
        </w:tabs>
        <w:ind w:left="240" w:hanging="240"/>
        <w:jc w:val="both"/>
        <w:rPr>
          <w:sz w:val="22"/>
          <w:szCs w:val="22"/>
        </w:rPr>
      </w:pPr>
      <w:r w:rsidRPr="00EB426F">
        <w:rPr>
          <w:sz w:val="22"/>
          <w:szCs w:val="22"/>
        </w:rPr>
        <w:t xml:space="preserve">Barnekow Rasmussen V., Rivett D., Burgher M.S. (1999). </w:t>
      </w:r>
      <w:r w:rsidRPr="00EB426F">
        <w:rPr>
          <w:i/>
          <w:iCs/>
          <w:sz w:val="22"/>
          <w:szCs w:val="22"/>
        </w:rPr>
        <w:t>The European Network of Health Promoting Scools: the alliance of education and Health</w:t>
      </w:r>
      <w:r w:rsidRPr="00EB426F">
        <w:rPr>
          <w:sz w:val="22"/>
          <w:szCs w:val="22"/>
        </w:rPr>
        <w:t>. Copenhagen, WHO Regional Office for Europe.</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Beresnevičiūtė V., Diržys R., Kadziauskas G. (2006). </w:t>
      </w:r>
      <w:r w:rsidRPr="00EB426F">
        <w:rPr>
          <w:i/>
          <w:sz w:val="22"/>
          <w:szCs w:val="22"/>
        </w:rPr>
        <w:t>Strateginis planavimas.</w:t>
      </w:r>
      <w:r w:rsidRPr="00EB426F">
        <w:rPr>
          <w:sz w:val="22"/>
          <w:szCs w:val="22"/>
        </w:rPr>
        <w:t xml:space="preserve"> Mokomoji medžiaga švietimo centrų darbuotojų kvalifikacijos tobulinimo programoms.  Mokytojų kompetencijos centras.</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iCs/>
          <w:sz w:val="22"/>
          <w:szCs w:val="22"/>
        </w:rPr>
        <w:t>Binkauskienė, G., Misiūnas, A</w:t>
      </w:r>
      <w:r w:rsidRPr="00EB426F">
        <w:rPr>
          <w:sz w:val="22"/>
          <w:szCs w:val="22"/>
        </w:rPr>
        <w:t xml:space="preserve">. (2004). Skurdo ir socialinės atskirties problema. </w:t>
      </w:r>
      <w:r w:rsidRPr="00EB426F">
        <w:rPr>
          <w:i/>
          <w:sz w:val="22"/>
          <w:szCs w:val="22"/>
        </w:rPr>
        <w:t>Lietuvos ekonomikos apžvalga (2).</w:t>
      </w:r>
      <w:r w:rsidRPr="00EB426F">
        <w:rPr>
          <w:sz w:val="22"/>
          <w:szCs w:val="22"/>
        </w:rPr>
        <w:t xml:space="preserve"> ISSN 1392 – 351. </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Bivainis, J., Tunčikienė, Ž. (2006). Viešojo sektoriaus institucijų strateginio planavimo metodai: teorinis potencialas ir perspektyvos. </w:t>
      </w:r>
      <w:r w:rsidRPr="00EB426F">
        <w:rPr>
          <w:i/>
          <w:sz w:val="22"/>
          <w:szCs w:val="22"/>
        </w:rPr>
        <w:t xml:space="preserve">Verslas: teorija ir praktika </w:t>
      </w:r>
      <w:r w:rsidRPr="00EB426F">
        <w:rPr>
          <w:sz w:val="22"/>
          <w:szCs w:val="22"/>
        </w:rPr>
        <w:t>(2). ISSN 1648–0627.</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Bivainis, J., Tunčikienė, Ž. (2009). </w:t>
      </w:r>
      <w:r w:rsidRPr="00C7610A">
        <w:rPr>
          <w:i/>
          <w:sz w:val="22"/>
          <w:szCs w:val="22"/>
        </w:rPr>
        <w:t>Viešojo sektoriaus institucijų strateginis planavimas</w:t>
      </w:r>
      <w:r w:rsidRPr="00EB426F">
        <w:rPr>
          <w:sz w:val="22"/>
          <w:szCs w:val="22"/>
        </w:rPr>
        <w:t xml:space="preserve">. Monografija. Vilnius. </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Boyne, G. A., Farrell, C., Law, J., Powell, M., Walker, R. (2003). </w:t>
      </w:r>
      <w:r w:rsidRPr="00C7610A">
        <w:rPr>
          <w:i/>
          <w:sz w:val="22"/>
          <w:szCs w:val="22"/>
        </w:rPr>
        <w:t>Evaluating Public Management Reforms: Principles and Practice</w:t>
      </w:r>
      <w:r w:rsidRPr="00EB426F">
        <w:rPr>
          <w:sz w:val="22"/>
          <w:szCs w:val="22"/>
        </w:rPr>
        <w:t>. – Buckingharm, UK: Open University Press.</w:t>
      </w:r>
    </w:p>
    <w:p w:rsidR="00995BE0" w:rsidRPr="00EB426F" w:rsidRDefault="00995BE0" w:rsidP="00C7610A">
      <w:pPr>
        <w:numPr>
          <w:ilvl w:val="0"/>
          <w:numId w:val="16"/>
        </w:numPr>
        <w:tabs>
          <w:tab w:val="left" w:pos="480"/>
        </w:tabs>
        <w:autoSpaceDE w:val="0"/>
        <w:autoSpaceDN w:val="0"/>
        <w:adjustRightInd w:val="0"/>
        <w:ind w:left="240" w:hanging="240"/>
        <w:jc w:val="both"/>
        <w:rPr>
          <w:rStyle w:val="HTMLcitata"/>
          <w:i w:val="0"/>
          <w:iCs w:val="0"/>
          <w:sz w:val="22"/>
          <w:szCs w:val="22"/>
        </w:rPr>
      </w:pPr>
      <w:r w:rsidRPr="00EB426F">
        <w:rPr>
          <w:sz w:val="22"/>
          <w:szCs w:val="22"/>
        </w:rPr>
        <w:t xml:space="preserve">Bosas, A. (2002). </w:t>
      </w:r>
      <w:r w:rsidRPr="00C7610A">
        <w:rPr>
          <w:i/>
          <w:sz w:val="22"/>
          <w:szCs w:val="22"/>
        </w:rPr>
        <w:t>Korporacijų strategijos ir konkurencinis potencialas</w:t>
      </w:r>
      <w:r w:rsidRPr="00EB426F">
        <w:rPr>
          <w:sz w:val="22"/>
          <w:szCs w:val="22"/>
        </w:rPr>
        <w:t>. Monografija. Klaipėda: Klaupėdos universitetas.</w:t>
      </w:r>
    </w:p>
    <w:p w:rsidR="00995BE0" w:rsidRPr="00EB426F" w:rsidRDefault="00995BE0" w:rsidP="00C7610A">
      <w:pPr>
        <w:numPr>
          <w:ilvl w:val="0"/>
          <w:numId w:val="16"/>
        </w:numPr>
        <w:tabs>
          <w:tab w:val="left" w:pos="480"/>
        </w:tabs>
        <w:autoSpaceDE w:val="0"/>
        <w:autoSpaceDN w:val="0"/>
        <w:adjustRightInd w:val="0"/>
        <w:ind w:left="240" w:hanging="240"/>
        <w:jc w:val="both"/>
        <w:rPr>
          <w:rStyle w:val="HTMLcitata"/>
          <w:i w:val="0"/>
          <w:iCs w:val="0"/>
          <w:sz w:val="22"/>
          <w:szCs w:val="22"/>
        </w:rPr>
      </w:pPr>
      <w:r w:rsidRPr="00EB426F">
        <w:rPr>
          <w:sz w:val="22"/>
          <w:szCs w:val="22"/>
        </w:rPr>
        <w:t xml:space="preserve">Bosas, A. (2004). </w:t>
      </w:r>
      <w:r w:rsidRPr="00C7610A">
        <w:rPr>
          <w:i/>
          <w:sz w:val="22"/>
          <w:szCs w:val="22"/>
        </w:rPr>
        <w:t>Strateginis valdymas: nuo korporacijos iki valstybės</w:t>
      </w:r>
      <w:r w:rsidRPr="00EB426F">
        <w:rPr>
          <w:sz w:val="22"/>
          <w:szCs w:val="22"/>
        </w:rPr>
        <w:t>. Monografija. Klaipėda: Klaipėdos universitetas.</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Breslow RA, Smothers BA. Drinking patterns and body mass index in never smokers. National Health Interview Survey, 1997–2001. </w:t>
      </w:r>
      <w:r w:rsidRPr="00C7610A">
        <w:rPr>
          <w:i/>
          <w:sz w:val="22"/>
          <w:szCs w:val="22"/>
          <w:lang w:val="en-GB"/>
        </w:rPr>
        <w:t>American Journal of Epidemiology</w:t>
      </w:r>
      <w:r w:rsidRPr="00EB426F">
        <w:rPr>
          <w:sz w:val="22"/>
          <w:szCs w:val="22"/>
          <w:lang w:val="en-GB"/>
        </w:rPr>
        <w:t xml:space="preserve">, </w:t>
      </w:r>
      <w:r w:rsidRPr="000D2025">
        <w:rPr>
          <w:i/>
          <w:sz w:val="22"/>
          <w:szCs w:val="22"/>
          <w:lang w:val="en-GB"/>
        </w:rPr>
        <w:t>2005, 161(4):368–376.</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Bryson, J. (1988). </w:t>
      </w:r>
      <w:r w:rsidRPr="00C7610A">
        <w:rPr>
          <w:i/>
          <w:sz w:val="22"/>
          <w:szCs w:val="22"/>
          <w:lang w:val="en-GB"/>
        </w:rPr>
        <w:t>Strategic planning for public and non-profit organizations</w:t>
      </w:r>
      <w:r w:rsidRPr="00EB426F">
        <w:rPr>
          <w:sz w:val="22"/>
          <w:szCs w:val="22"/>
          <w:lang w:val="en-GB"/>
        </w:rPr>
        <w:t>. San Francisco: Jossey Bass Publishers.</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C7610A">
        <w:rPr>
          <w:i/>
          <w:sz w:val="22"/>
          <w:szCs w:val="22"/>
        </w:rPr>
        <w:t>Chronic disease: an economic perspective.</w:t>
      </w:r>
      <w:r w:rsidRPr="00EB426F">
        <w:rPr>
          <w:sz w:val="22"/>
          <w:szCs w:val="22"/>
        </w:rPr>
        <w:t xml:space="preserve"> (2006). The Oxford Health Alliance. </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C7610A">
        <w:rPr>
          <w:i/>
          <w:iCs/>
          <w:sz w:val="22"/>
          <w:szCs w:val="22"/>
        </w:rPr>
        <w:t>Confronting demographic change: a new solidarity between generations</w:t>
      </w:r>
      <w:r w:rsidRPr="00EB426F">
        <w:rPr>
          <w:iCs/>
          <w:sz w:val="22"/>
          <w:szCs w:val="22"/>
        </w:rPr>
        <w:t>. Com. (2005) 94, Brussels.</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Cooper ML. (2002). Alcohol use and risky sexual behaviour among college students and youth: evaluating the evidence. </w:t>
      </w:r>
      <w:r w:rsidRPr="00C7610A">
        <w:rPr>
          <w:i/>
          <w:sz w:val="22"/>
          <w:szCs w:val="22"/>
          <w:lang w:val="en-GB"/>
        </w:rPr>
        <w:t>Journal of Studies on Alcohol</w:t>
      </w:r>
      <w:r w:rsidRPr="00EB426F">
        <w:rPr>
          <w:sz w:val="22"/>
          <w:szCs w:val="22"/>
          <w:lang w:val="en-GB"/>
        </w:rPr>
        <w:t>, 14 (Suppl.):101–117.</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Cole, G., A. (1994). </w:t>
      </w:r>
      <w:r w:rsidRPr="00C7610A">
        <w:rPr>
          <w:i/>
          <w:sz w:val="22"/>
          <w:szCs w:val="22"/>
          <w:lang w:val="en-GB"/>
        </w:rPr>
        <w:t>Strategic Management</w:t>
      </w:r>
      <w:r w:rsidRPr="00EB426F">
        <w:rPr>
          <w:sz w:val="22"/>
          <w:szCs w:val="22"/>
          <w:lang w:val="en-GB"/>
        </w:rPr>
        <w:t>. Theory and practice. London.</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lang w:val="en-GB"/>
        </w:rPr>
        <w:t>Černiauskas, G., Jankauskienė, D. (2010). Antrasis sveikatos reformų dešimtmetis.</w:t>
      </w:r>
      <w:r w:rsidRPr="00EB426F">
        <w:rPr>
          <w:sz w:val="22"/>
          <w:szCs w:val="22"/>
        </w:rPr>
        <w:t xml:space="preserve"> </w:t>
      </w:r>
      <w:r w:rsidRPr="00C7610A">
        <w:rPr>
          <w:i/>
          <w:sz w:val="22"/>
          <w:szCs w:val="22"/>
        </w:rPr>
        <w:t>Sveikatos politika ir valdymas.</w:t>
      </w:r>
      <w:r w:rsidRPr="00EB426F">
        <w:rPr>
          <w:sz w:val="22"/>
          <w:szCs w:val="22"/>
        </w:rPr>
        <w:t xml:space="preserve"> Mokslo darbai 2010 1(2). Vilnius: Mykolo Romerio universitetas.</w:t>
      </w:r>
    </w:p>
    <w:p w:rsidR="00995BE0" w:rsidRPr="00EB426F" w:rsidRDefault="00995BE0" w:rsidP="00C7610A">
      <w:pPr>
        <w:numPr>
          <w:ilvl w:val="0"/>
          <w:numId w:val="16"/>
        </w:numPr>
        <w:tabs>
          <w:tab w:val="left" w:pos="480"/>
        </w:tabs>
        <w:ind w:left="240" w:hanging="240"/>
        <w:jc w:val="both"/>
        <w:rPr>
          <w:noProof/>
          <w:sz w:val="22"/>
          <w:szCs w:val="22"/>
        </w:rPr>
      </w:pPr>
      <w:r w:rsidRPr="00EB426F">
        <w:rPr>
          <w:sz w:val="22"/>
          <w:szCs w:val="22"/>
        </w:rPr>
        <w:t xml:space="preserve">Davidovidienė, O. (2007). Psichikos sveikatos priežiūra 2007-aisias: įvykiai bei sprendimai. </w:t>
      </w:r>
      <w:r w:rsidRPr="00EB426F">
        <w:rPr>
          <w:i/>
          <w:iCs/>
          <w:sz w:val="22"/>
          <w:szCs w:val="22"/>
        </w:rPr>
        <w:t xml:space="preserve">Nervų ir psichikos </w:t>
      </w:r>
      <w:r w:rsidRPr="000D2025">
        <w:rPr>
          <w:i/>
          <w:iCs/>
          <w:sz w:val="22"/>
          <w:szCs w:val="22"/>
        </w:rPr>
        <w:t xml:space="preserve">ligos </w:t>
      </w:r>
      <w:r w:rsidRPr="000D2025">
        <w:rPr>
          <w:i/>
          <w:sz w:val="22"/>
          <w:szCs w:val="22"/>
        </w:rPr>
        <w:t xml:space="preserve"> 6(30).</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nl-NL"/>
        </w:rPr>
        <w:t xml:space="preserve">De Wit DJ et al. </w:t>
      </w:r>
      <w:r w:rsidRPr="00EB426F">
        <w:rPr>
          <w:sz w:val="22"/>
          <w:szCs w:val="22"/>
          <w:lang w:val="en-GB"/>
        </w:rPr>
        <w:t xml:space="preserve">(2000). Age at first alcohol use: a risk factor for the development of alcohol disorders. </w:t>
      </w:r>
      <w:r w:rsidRPr="00C7610A">
        <w:rPr>
          <w:i/>
          <w:sz w:val="22"/>
          <w:szCs w:val="22"/>
          <w:lang w:val="en-GB"/>
        </w:rPr>
        <w:t>American Journal of Psychiatry</w:t>
      </w:r>
      <w:r w:rsidRPr="00EB426F">
        <w:rPr>
          <w:sz w:val="22"/>
          <w:szCs w:val="22"/>
          <w:lang w:val="en-GB"/>
        </w:rPr>
        <w:t>, 157:745–750.</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sv-SE"/>
        </w:rPr>
      </w:pPr>
      <w:r w:rsidRPr="00C7610A">
        <w:rPr>
          <w:i/>
          <w:sz w:val="22"/>
          <w:szCs w:val="22"/>
        </w:rPr>
        <w:t>Demografiniai, socialiniai ir teritoriniai sveikatos netolygumai</w:t>
      </w:r>
      <w:r>
        <w:rPr>
          <w:sz w:val="22"/>
          <w:szCs w:val="22"/>
        </w:rPr>
        <w:t>. (2002)</w:t>
      </w:r>
      <w:r w:rsidRPr="00EB426F">
        <w:rPr>
          <w:sz w:val="22"/>
          <w:szCs w:val="22"/>
        </w:rPr>
        <w:t xml:space="preserve"> [</w:t>
      </w:r>
      <w:r>
        <w:rPr>
          <w:sz w:val="22"/>
          <w:szCs w:val="22"/>
        </w:rPr>
        <w:t>i</w:t>
      </w:r>
      <w:r w:rsidRPr="00EB426F">
        <w:rPr>
          <w:sz w:val="22"/>
          <w:szCs w:val="22"/>
        </w:rPr>
        <w:t xml:space="preserve">nteraktyvus], [žiūrėta 2010-11-04]. Prieiga per internetą: </w:t>
      </w:r>
      <w:hyperlink r:id="rId58" w:history="1">
        <w:r w:rsidRPr="00EB426F">
          <w:rPr>
            <w:rStyle w:val="Hipersaitas"/>
            <w:sz w:val="22"/>
            <w:szCs w:val="22"/>
          </w:rPr>
          <w:t>http://www.vsv.lt/statistika/statistika1/index.html</w:t>
        </w:r>
      </w:hyperlink>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lastRenderedPageBreak/>
        <w:t xml:space="preserve">Dereli, C. (2003). Strategy and strategic decision-making in the smaller local authority. </w:t>
      </w:r>
      <w:r w:rsidRPr="00C7610A">
        <w:rPr>
          <w:i/>
          <w:sz w:val="22"/>
          <w:szCs w:val="22"/>
          <w:lang w:val="en-GB"/>
        </w:rPr>
        <w:t>International Journal of Public Sector Management</w:t>
      </w:r>
      <w:r w:rsidRPr="00EB426F">
        <w:rPr>
          <w:sz w:val="22"/>
          <w:szCs w:val="22"/>
          <w:lang w:val="en-GB"/>
        </w:rPr>
        <w:t xml:space="preserve"> </w:t>
      </w:r>
      <w:r w:rsidRPr="000D2025">
        <w:rPr>
          <w:i/>
          <w:sz w:val="22"/>
          <w:szCs w:val="22"/>
          <w:lang w:val="en-GB"/>
        </w:rPr>
        <w:t>16 (4).</w:t>
      </w:r>
    </w:p>
    <w:p w:rsidR="00995BE0" w:rsidRPr="00EB426F" w:rsidRDefault="00995BE0" w:rsidP="00C7610A">
      <w:pPr>
        <w:numPr>
          <w:ilvl w:val="0"/>
          <w:numId w:val="16"/>
        </w:numPr>
        <w:tabs>
          <w:tab w:val="left" w:pos="480"/>
        </w:tabs>
        <w:ind w:left="240" w:hanging="240"/>
        <w:jc w:val="both"/>
        <w:rPr>
          <w:noProof/>
          <w:sz w:val="22"/>
          <w:szCs w:val="22"/>
        </w:rPr>
      </w:pPr>
      <w:r w:rsidRPr="00EB426F">
        <w:rPr>
          <w:sz w:val="22"/>
          <w:szCs w:val="22"/>
        </w:rPr>
        <w:t>Doescher Mark P., Jackson Elizabeth. (2008).</w:t>
      </w:r>
      <w:r w:rsidRPr="00C7610A">
        <w:rPr>
          <w:i/>
          <w:sz w:val="22"/>
          <w:szCs w:val="22"/>
        </w:rPr>
        <w:t>Trends in cervical and berast cancer screening practice among women in rural and urban areas of the United States</w:t>
      </w:r>
      <w:r w:rsidRPr="00EB426F">
        <w:rPr>
          <w:sz w:val="22"/>
          <w:szCs w:val="22"/>
        </w:rPr>
        <w:t>. J. Rural health research and policy centers, Final Report #121, 14 p.</w:t>
      </w:r>
    </w:p>
    <w:p w:rsidR="00995BE0" w:rsidRPr="00EB426F" w:rsidRDefault="00995BE0" w:rsidP="00C7610A">
      <w:pPr>
        <w:numPr>
          <w:ilvl w:val="0"/>
          <w:numId w:val="16"/>
        </w:numPr>
        <w:tabs>
          <w:tab w:val="left" w:pos="480"/>
        </w:tabs>
        <w:ind w:left="240" w:hanging="240"/>
        <w:jc w:val="both"/>
        <w:rPr>
          <w:noProof/>
          <w:sz w:val="22"/>
          <w:szCs w:val="22"/>
        </w:rPr>
      </w:pPr>
      <w:r w:rsidRPr="00EB426F">
        <w:rPr>
          <w:sz w:val="22"/>
          <w:szCs w:val="22"/>
        </w:rPr>
        <w:t xml:space="preserve">Drucker, P. E. (1995). </w:t>
      </w:r>
      <w:r w:rsidRPr="00EB426F">
        <w:rPr>
          <w:i/>
          <w:iCs/>
          <w:sz w:val="22"/>
          <w:szCs w:val="22"/>
        </w:rPr>
        <w:t>Managing in a time great change</w:t>
      </w:r>
      <w:r w:rsidRPr="00EB426F">
        <w:rPr>
          <w:sz w:val="22"/>
          <w:szCs w:val="22"/>
        </w:rPr>
        <w:t>. New York: Truman Talley books.</w:t>
      </w:r>
    </w:p>
    <w:p w:rsidR="00995BE0" w:rsidRPr="00EB426F" w:rsidRDefault="00995BE0" w:rsidP="00C7610A">
      <w:pPr>
        <w:numPr>
          <w:ilvl w:val="0"/>
          <w:numId w:val="16"/>
        </w:numPr>
        <w:tabs>
          <w:tab w:val="left" w:pos="480"/>
        </w:tabs>
        <w:ind w:left="240" w:hanging="240"/>
        <w:jc w:val="both"/>
        <w:rPr>
          <w:noProof/>
          <w:sz w:val="22"/>
          <w:szCs w:val="22"/>
        </w:rPr>
      </w:pPr>
      <w:r w:rsidRPr="00EB426F">
        <w:rPr>
          <w:iCs/>
          <w:sz w:val="22"/>
          <w:szCs w:val="22"/>
        </w:rPr>
        <w:t xml:space="preserve">Egmond’o darbotvarkė. (2002). </w:t>
      </w:r>
      <w:r w:rsidRPr="00C7610A">
        <w:rPr>
          <w:i/>
          <w:iCs/>
          <w:sz w:val="22"/>
          <w:szCs w:val="22"/>
        </w:rPr>
        <w:t>Europos konferencija „Švietimas ir sveikatos stiprinimas mokyklose</w:t>
      </w:r>
      <w:r w:rsidRPr="00EB426F">
        <w:rPr>
          <w:iCs/>
          <w:sz w:val="22"/>
          <w:szCs w:val="22"/>
        </w:rPr>
        <w:t>. Švietimo ir sveikatos sektorių bendradarbiavimas. Nyderlandai.</w:t>
      </w:r>
    </w:p>
    <w:p w:rsidR="00995BE0" w:rsidRPr="00EB426F" w:rsidRDefault="00995BE0" w:rsidP="00C7610A">
      <w:pPr>
        <w:numPr>
          <w:ilvl w:val="0"/>
          <w:numId w:val="16"/>
        </w:numPr>
        <w:tabs>
          <w:tab w:val="left" w:pos="480"/>
        </w:tabs>
        <w:ind w:left="240" w:hanging="240"/>
        <w:jc w:val="both"/>
        <w:rPr>
          <w:noProof/>
          <w:sz w:val="22"/>
          <w:szCs w:val="22"/>
        </w:rPr>
      </w:pPr>
      <w:r w:rsidRPr="00EB426F">
        <w:rPr>
          <w:sz w:val="22"/>
          <w:szCs w:val="22"/>
          <w:lang w:eastAsia="en-US"/>
        </w:rPr>
        <w:t>Enz</w:t>
      </w:r>
      <w:r w:rsidRPr="00EB426F">
        <w:rPr>
          <w:sz w:val="22"/>
          <w:szCs w:val="22"/>
        </w:rPr>
        <w:t xml:space="preserve">, </w:t>
      </w:r>
      <w:r w:rsidRPr="00EB426F">
        <w:rPr>
          <w:sz w:val="22"/>
          <w:szCs w:val="22"/>
          <w:lang w:eastAsia="en-US"/>
        </w:rPr>
        <w:t xml:space="preserve">C. A. (2010). </w:t>
      </w:r>
      <w:r w:rsidRPr="00C7610A">
        <w:rPr>
          <w:i/>
          <w:sz w:val="22"/>
          <w:szCs w:val="22"/>
        </w:rPr>
        <w:t>Hospitality Strategic Management – Concepts and Cases (second edition).</w:t>
      </w:r>
      <w:r w:rsidRPr="00EB426F">
        <w:rPr>
          <w:sz w:val="22"/>
          <w:szCs w:val="22"/>
        </w:rPr>
        <w:t xml:space="preserve"> John Wiley and Sons, New Jersey.</w:t>
      </w:r>
    </w:p>
    <w:p w:rsidR="00995BE0" w:rsidRPr="00EB426F" w:rsidRDefault="00995BE0" w:rsidP="00C7610A">
      <w:pPr>
        <w:numPr>
          <w:ilvl w:val="0"/>
          <w:numId w:val="16"/>
        </w:numPr>
        <w:tabs>
          <w:tab w:val="left" w:pos="480"/>
        </w:tabs>
        <w:ind w:left="240" w:hanging="240"/>
        <w:jc w:val="both"/>
        <w:rPr>
          <w:sz w:val="22"/>
          <w:szCs w:val="22"/>
        </w:rPr>
      </w:pPr>
      <w:r w:rsidRPr="00C7610A">
        <w:rPr>
          <w:i/>
          <w:sz w:val="22"/>
          <w:szCs w:val="22"/>
        </w:rPr>
        <w:t>European Health Report 2005.</w:t>
      </w:r>
      <w:r w:rsidRPr="00EB426F">
        <w:rPr>
          <w:sz w:val="22"/>
          <w:szCs w:val="22"/>
        </w:rPr>
        <w:t xml:space="preserve"> (2005). WHO/EURO, Copenhagen. </w:t>
      </w:r>
    </w:p>
    <w:p w:rsidR="00995BE0" w:rsidRPr="00EB426F" w:rsidRDefault="00995BE0" w:rsidP="00C7610A">
      <w:pPr>
        <w:numPr>
          <w:ilvl w:val="0"/>
          <w:numId w:val="16"/>
        </w:numPr>
        <w:tabs>
          <w:tab w:val="left" w:pos="480"/>
        </w:tabs>
        <w:ind w:left="240" w:hanging="240"/>
        <w:jc w:val="both"/>
        <w:rPr>
          <w:sz w:val="22"/>
          <w:szCs w:val="22"/>
        </w:rPr>
      </w:pPr>
      <w:r w:rsidRPr="00C7610A">
        <w:rPr>
          <w:i/>
          <w:sz w:val="22"/>
          <w:szCs w:val="22"/>
        </w:rPr>
        <w:t>Eurostat regional yearbook</w:t>
      </w:r>
      <w:r>
        <w:rPr>
          <w:i/>
          <w:sz w:val="22"/>
          <w:szCs w:val="22"/>
        </w:rPr>
        <w:t>.</w:t>
      </w:r>
      <w:r w:rsidRPr="00EB426F">
        <w:rPr>
          <w:sz w:val="22"/>
          <w:szCs w:val="22"/>
        </w:rPr>
        <w:t xml:space="preserve"> (2010). Eurostat Statistical books [žiūrėta 2010-11-25]. Prieiga per internetą: </w:t>
      </w:r>
      <w:hyperlink r:id="rId59" w:history="1">
        <w:r w:rsidRPr="00EB426F">
          <w:rPr>
            <w:rStyle w:val="Hipersaitas"/>
            <w:sz w:val="22"/>
            <w:szCs w:val="22"/>
          </w:rPr>
          <w:t>http://epp.eurostat.ec.europa.eu/cache/ITY_OFFPUB/KS-HA-10-001/EN/KS-HA-10-001-EN.PDF</w:t>
        </w:r>
      </w:hyperlink>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rPr>
        <w:t>Fergusson DM, Lynskey MT, Horwood LJ. (</w:t>
      </w:r>
      <w:r w:rsidRPr="00EB426F">
        <w:rPr>
          <w:sz w:val="22"/>
          <w:szCs w:val="22"/>
          <w:lang w:val="en-GB"/>
        </w:rPr>
        <w:t xml:space="preserve">1994). </w:t>
      </w:r>
      <w:r w:rsidRPr="00C7610A">
        <w:rPr>
          <w:i/>
          <w:sz w:val="22"/>
          <w:szCs w:val="22"/>
          <w:lang w:val="en-GB"/>
        </w:rPr>
        <w:t>Childhood exposure to alcohol and adolescent drinking patterns</w:t>
      </w:r>
      <w:r w:rsidRPr="00EB426F">
        <w:rPr>
          <w:sz w:val="22"/>
          <w:szCs w:val="22"/>
          <w:lang w:val="en-GB"/>
        </w:rPr>
        <w:t>. Addiction, 89:1007–1016.</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rPr>
      </w:pPr>
      <w:r w:rsidRPr="00EB426F">
        <w:rPr>
          <w:sz w:val="22"/>
          <w:szCs w:val="22"/>
          <w:lang w:val="pt-BR"/>
        </w:rPr>
        <w:t xml:space="preserve">Ferry, M., Baker, R. (2006). </w:t>
      </w:r>
      <w:r w:rsidRPr="00C7610A">
        <w:rPr>
          <w:i/>
          <w:color w:val="000000"/>
          <w:sz w:val="22"/>
          <w:szCs w:val="22"/>
        </w:rPr>
        <w:t>Regioninės strategijos ir demografinis senėjimas</w:t>
      </w:r>
      <w:r w:rsidRPr="00EB426F">
        <w:rPr>
          <w:color w:val="000000"/>
          <w:sz w:val="22"/>
          <w:szCs w:val="22"/>
        </w:rPr>
        <w:t>. Pagyvenusių žmonių veikl</w:t>
      </w:r>
      <w:r>
        <w:rPr>
          <w:color w:val="000000"/>
          <w:sz w:val="22"/>
          <w:szCs w:val="22"/>
        </w:rPr>
        <w:t>os galimybių įvertinimo vadovas</w:t>
      </w:r>
      <w:r w:rsidRPr="00EB426F">
        <w:rPr>
          <w:color w:val="000000"/>
          <w:sz w:val="22"/>
          <w:szCs w:val="22"/>
        </w:rPr>
        <w:t xml:space="preserve"> </w:t>
      </w:r>
      <w:r>
        <w:rPr>
          <w:sz w:val="22"/>
          <w:szCs w:val="22"/>
        </w:rPr>
        <w:t>[i</w:t>
      </w:r>
      <w:r w:rsidRPr="00EB426F">
        <w:rPr>
          <w:sz w:val="22"/>
          <w:szCs w:val="22"/>
        </w:rPr>
        <w:t>nteraktyvus], [žiūrėta 2010-11-04]. Prieiga per internetą: http://www.cor.europa.eu/migrated_data/f_cdr5421-2006_doc-int_lt.pdf</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Flynn, N., Talbot, C. (1996). Strategy and strategist in UK local government. Journal of Management Development 15 (2). </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rPr>
        <w:t xml:space="preserve">Franks P., Fiscella K. Primary care physicians and specialists. (1998). </w:t>
      </w:r>
      <w:r w:rsidRPr="00C7610A">
        <w:rPr>
          <w:i/>
          <w:sz w:val="22"/>
          <w:szCs w:val="22"/>
        </w:rPr>
        <w:t>Health care expenditures and mortality experience</w:t>
      </w:r>
      <w:r w:rsidRPr="00EB426F">
        <w:rPr>
          <w:sz w:val="22"/>
          <w:szCs w:val="22"/>
        </w:rPr>
        <w:t xml:space="preserve"> // </w:t>
      </w:r>
      <w:r w:rsidRPr="00B64DA3">
        <w:rPr>
          <w:i/>
          <w:sz w:val="22"/>
          <w:szCs w:val="22"/>
        </w:rPr>
        <w:t>J. Fam. Practice., vol. 47, N 2, p. 105–109</w:t>
      </w:r>
      <w:r w:rsidRPr="00EB426F">
        <w:rPr>
          <w:sz w:val="22"/>
          <w:szCs w:val="22"/>
        </w:rPr>
        <w:t>.</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Frenk, J. (1993). </w:t>
      </w:r>
      <w:r w:rsidRPr="00EB426F">
        <w:rPr>
          <w:i/>
          <w:sz w:val="22"/>
          <w:szCs w:val="22"/>
          <w:lang w:val="en-GB"/>
        </w:rPr>
        <w:t>Dimensions of health system reform</w:t>
      </w:r>
      <w:r w:rsidRPr="00EB426F">
        <w:rPr>
          <w:sz w:val="22"/>
          <w:szCs w:val="22"/>
          <w:lang w:val="en-GB"/>
        </w:rPr>
        <w:t>, 27: 19-34.</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Galloway, </w:t>
      </w:r>
      <w:smartTag w:uri="urn:schemas:contacts" w:element="middlename">
        <w:r w:rsidRPr="00EB426F">
          <w:rPr>
            <w:sz w:val="22"/>
            <w:szCs w:val="22"/>
            <w:lang w:val="en-GB"/>
          </w:rPr>
          <w:t>I.</w:t>
        </w:r>
      </w:smartTag>
      <w:r w:rsidRPr="00EB426F">
        <w:rPr>
          <w:sz w:val="22"/>
          <w:szCs w:val="22"/>
          <w:lang w:val="en-GB"/>
        </w:rPr>
        <w:t xml:space="preserve"> </w:t>
      </w:r>
      <w:smartTag w:uri="urn:schemas:contacts" w:element="middlename">
        <w:r w:rsidRPr="00EB426F">
          <w:rPr>
            <w:sz w:val="22"/>
            <w:szCs w:val="22"/>
            <w:lang w:val="en-GB"/>
          </w:rPr>
          <w:t>D.</w:t>
        </w:r>
      </w:smartTag>
      <w:r w:rsidRPr="00EB426F">
        <w:rPr>
          <w:sz w:val="22"/>
          <w:szCs w:val="22"/>
          <w:lang w:val="en-GB"/>
        </w:rPr>
        <w:t xml:space="preserve"> (1990). Strategic management in public sector research organizations: a critical review. </w:t>
      </w:r>
      <w:r w:rsidRPr="00C7610A">
        <w:rPr>
          <w:i/>
          <w:sz w:val="22"/>
          <w:szCs w:val="22"/>
          <w:lang w:val="en-GB"/>
        </w:rPr>
        <w:t>International Journal of Public Sector Management</w:t>
      </w:r>
      <w:r w:rsidRPr="00EB426F">
        <w:rPr>
          <w:sz w:val="22"/>
          <w:szCs w:val="22"/>
          <w:lang w:val="en-GB"/>
        </w:rPr>
        <w:t xml:space="preserve"> </w:t>
      </w:r>
      <w:r w:rsidRPr="00B64DA3">
        <w:rPr>
          <w:i/>
          <w:sz w:val="22"/>
          <w:szCs w:val="22"/>
          <w:lang w:val="en-GB"/>
        </w:rPr>
        <w:t>3 (1).</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Gedvilaitė – Moan, A., Zakarevičius, P. (2010). </w:t>
      </w:r>
      <w:r w:rsidRPr="00AF3310">
        <w:rPr>
          <w:sz w:val="22"/>
          <w:szCs w:val="22"/>
          <w:lang w:val="en-GB"/>
        </w:rPr>
        <w:t>Strateginio planavimo ypatumų viešajame sektoriuje teoriniai aspektai</w:t>
      </w:r>
      <w:r w:rsidRPr="00AF3310">
        <w:rPr>
          <w:i/>
          <w:sz w:val="22"/>
          <w:szCs w:val="22"/>
          <w:lang w:val="en-GB"/>
        </w:rPr>
        <w:t xml:space="preserve">. </w:t>
      </w:r>
      <w:r w:rsidRPr="00C7610A">
        <w:rPr>
          <w:i/>
          <w:sz w:val="22"/>
          <w:szCs w:val="22"/>
          <w:lang w:val="en-GB"/>
        </w:rPr>
        <w:t>Organizacijų vadyba: sisteminiai tyrimai</w:t>
      </w:r>
      <w:r w:rsidRPr="00EB426F">
        <w:rPr>
          <w:sz w:val="22"/>
          <w:szCs w:val="22"/>
          <w:lang w:val="en-GB"/>
        </w:rPr>
        <w:t xml:space="preserve"> </w:t>
      </w:r>
      <w:r w:rsidRPr="00C7610A">
        <w:rPr>
          <w:i/>
          <w:sz w:val="22"/>
          <w:szCs w:val="22"/>
          <w:lang w:val="en-GB"/>
        </w:rPr>
        <w:t>54</w:t>
      </w:r>
      <w:r w:rsidRPr="00EB426F">
        <w:rPr>
          <w:sz w:val="22"/>
          <w:szCs w:val="22"/>
          <w:lang w:val="en-GB"/>
        </w:rPr>
        <w:t>.</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Goding, M. (2005). Strategic planning and public mental health servines</w:t>
      </w:r>
      <w:r w:rsidRPr="00C7610A">
        <w:rPr>
          <w:i/>
          <w:sz w:val="22"/>
          <w:szCs w:val="22"/>
        </w:rPr>
        <w:t>. Australasian Psychiatry 13</w:t>
      </w:r>
      <w:r w:rsidRPr="00EB426F">
        <w:rPr>
          <w:sz w:val="22"/>
          <w:szCs w:val="22"/>
        </w:rPr>
        <w:t xml:space="preserve"> </w:t>
      </w:r>
      <w:r w:rsidRPr="00C7610A">
        <w:rPr>
          <w:i/>
          <w:sz w:val="22"/>
          <w:szCs w:val="22"/>
        </w:rPr>
        <w:t>(2).</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rPr>
        <w:t xml:space="preserve">Goštautas, A., Davidonienė, O. (2010). </w:t>
      </w:r>
      <w:r w:rsidRPr="00EB426F">
        <w:rPr>
          <w:i/>
          <w:sz w:val="22"/>
          <w:szCs w:val="22"/>
        </w:rPr>
        <w:t>Savižudubės Lietuvoje psichikos sveikatos ir platesniame kontekste</w:t>
      </w:r>
      <w:r w:rsidRPr="00EB426F">
        <w:rPr>
          <w:sz w:val="22"/>
          <w:szCs w:val="22"/>
        </w:rPr>
        <w:t xml:space="preserve">. Nacionalinės sveikatos tarybos metinis pranešimas 2010. </w:t>
      </w:r>
      <w:r w:rsidRPr="00EB426F">
        <w:rPr>
          <w:iCs/>
          <w:sz w:val="22"/>
          <w:szCs w:val="22"/>
        </w:rPr>
        <w:t>Urbanizacija – nauji iššūkiai sveikatai</w:t>
      </w:r>
      <w:r w:rsidRPr="00EB426F">
        <w:rPr>
          <w:i/>
          <w:iCs/>
          <w:sz w:val="22"/>
          <w:szCs w:val="22"/>
        </w:rPr>
        <w:t xml:space="preserve"> </w:t>
      </w:r>
      <w:r w:rsidRPr="00EB426F">
        <w:rPr>
          <w:sz w:val="22"/>
          <w:szCs w:val="22"/>
        </w:rPr>
        <w:t xml:space="preserve">[žiūrėta 2010-11-03]. Prieiga per internetą: </w:t>
      </w:r>
      <w:hyperlink r:id="rId60" w:history="1">
        <w:r w:rsidRPr="00EB426F">
          <w:rPr>
            <w:rStyle w:val="Hipersaitas"/>
            <w:sz w:val="22"/>
            <w:szCs w:val="22"/>
          </w:rPr>
          <w:t>http://www3.lrs.lt/docs2/OIUPIBTO.PDF</w:t>
        </w:r>
      </w:hyperlink>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Pr>
          <w:rFonts w:eastAsia="AGaramondPro-Regular"/>
          <w:sz w:val="22"/>
          <w:szCs w:val="22"/>
        </w:rPr>
        <w:t>Grabauskas V.</w:t>
      </w:r>
      <w:r w:rsidRPr="00EB426F">
        <w:rPr>
          <w:rFonts w:eastAsia="AGaramondPro-Regular"/>
          <w:sz w:val="22"/>
          <w:szCs w:val="22"/>
        </w:rPr>
        <w:t xml:space="preserve"> (1997). Sveikatos politikos formavimas Lietuvoje. </w:t>
      </w:r>
      <w:r w:rsidRPr="00EB426F">
        <w:rPr>
          <w:rFonts w:eastAsia="AGaramondPro-Regular"/>
          <w:i/>
          <w:iCs/>
          <w:sz w:val="22"/>
          <w:szCs w:val="22"/>
        </w:rPr>
        <w:t>Medicina</w:t>
      </w:r>
      <w:r w:rsidRPr="00EB426F">
        <w:rPr>
          <w:rFonts w:eastAsia="AGaramondPro-Regular"/>
          <w:sz w:val="22"/>
          <w:szCs w:val="22"/>
        </w:rPr>
        <w:t>. 11 (33):3-10</w:t>
      </w:r>
    </w:p>
    <w:p w:rsidR="00995BE0" w:rsidRPr="00EB426F" w:rsidRDefault="00995BE0" w:rsidP="00C7610A">
      <w:pPr>
        <w:pStyle w:val="Sraopastraipa0"/>
        <w:numPr>
          <w:ilvl w:val="0"/>
          <w:numId w:val="16"/>
        </w:numPr>
        <w:tabs>
          <w:tab w:val="left" w:pos="480"/>
        </w:tabs>
        <w:ind w:left="240" w:hanging="240"/>
        <w:jc w:val="both"/>
        <w:rPr>
          <w:sz w:val="22"/>
          <w:szCs w:val="22"/>
          <w:lang w:eastAsia="ru-RU"/>
        </w:rPr>
      </w:pPr>
      <w:r w:rsidRPr="00EB426F">
        <w:rPr>
          <w:sz w:val="22"/>
          <w:szCs w:val="22"/>
          <w:lang w:eastAsia="ru-RU"/>
        </w:rPr>
        <w:t>Grabauskas, V. (2004</w:t>
      </w:r>
      <w:r w:rsidRPr="00C7610A">
        <w:rPr>
          <w:i/>
          <w:sz w:val="22"/>
          <w:szCs w:val="22"/>
          <w:lang w:eastAsia="ru-RU"/>
        </w:rPr>
        <w:t>) Lietuvos gyventojų sveikata ES kontekste</w:t>
      </w:r>
      <w:r w:rsidRPr="00EB426F">
        <w:rPr>
          <w:sz w:val="22"/>
          <w:szCs w:val="22"/>
          <w:lang w:eastAsia="ru-RU"/>
        </w:rPr>
        <w:t>. Paskaitų konspektas.</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Grabauskas, V., Kalėdienė, R., Valius, L. (2004). </w:t>
      </w:r>
      <w:r w:rsidRPr="00EB426F">
        <w:rPr>
          <w:i/>
          <w:iCs/>
          <w:sz w:val="22"/>
          <w:szCs w:val="22"/>
        </w:rPr>
        <w:t>Visuomenės sveikatos mokslas ir studijos: atsakas į laikmečio iššūkius.</w:t>
      </w:r>
      <w:r w:rsidRPr="00EB426F">
        <w:rPr>
          <w:sz w:val="22"/>
          <w:szCs w:val="22"/>
        </w:rPr>
        <w:t xml:space="preserve"> Mokslinė monografija. Kaunas: KMU leidykla ISBN 9986-451-94-9.</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Grabauskas, V., Gaižauskienė, A., Jaselionienė, J. (2009a). </w:t>
      </w:r>
      <w:r w:rsidRPr="00C7610A">
        <w:rPr>
          <w:i/>
          <w:sz w:val="22"/>
          <w:szCs w:val="22"/>
        </w:rPr>
        <w:t>Lietuvos gyventojų sergamumo lėtinėmis neinfekcinėmis ligomis problema Europos Sąjungos kontekste</w:t>
      </w:r>
      <w:r w:rsidRPr="00EB426F">
        <w:rPr>
          <w:sz w:val="22"/>
          <w:szCs w:val="22"/>
        </w:rPr>
        <w:t>. Nacionalinės sveikatos tarybos metinis pranešimas 2008. Vilnius.</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Grabauskas, V., Klumbienė, J., Petkevičienė, J., Šakytė, E., Kriaučionienė, V., Veryga, A., Prattala, R. (2009b). </w:t>
      </w:r>
      <w:r w:rsidRPr="00C7610A">
        <w:rPr>
          <w:i/>
          <w:sz w:val="22"/>
          <w:szCs w:val="22"/>
        </w:rPr>
        <w:t>Suaugusių Lietuvos žmonių gyvensenos tyrimas, 2008</w:t>
      </w:r>
      <w:r w:rsidRPr="00EB426F">
        <w:rPr>
          <w:sz w:val="22"/>
          <w:szCs w:val="22"/>
        </w:rPr>
        <w:t>. Kaunas.</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Greenley, G. E. (1992). </w:t>
      </w:r>
      <w:r w:rsidRPr="00C7610A">
        <w:rPr>
          <w:i/>
          <w:sz w:val="22"/>
          <w:szCs w:val="22"/>
        </w:rPr>
        <w:t>Strategic Management. Hemel Hempstead, Prentice – Hall.</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Gruber, E. et al. (1996). Early drinking onset and its association with alcohol use and problem behaviour in late adolescence. </w:t>
      </w:r>
      <w:r w:rsidRPr="00C7610A">
        <w:rPr>
          <w:i/>
          <w:sz w:val="22"/>
          <w:szCs w:val="22"/>
          <w:lang w:val="en-GB"/>
        </w:rPr>
        <w:t>Preventive Medicine, 25:293–300</w:t>
      </w:r>
      <w:r w:rsidRPr="00EB426F">
        <w:rPr>
          <w:sz w:val="22"/>
          <w:szCs w:val="22"/>
          <w:lang w:val="en-GB"/>
        </w:rPr>
        <w:t>.</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Gudžinskienė, V. (2007a) Mokyklos vadovų požiūris į sveikatingumo ugdymo veiklą. </w:t>
      </w:r>
      <w:r w:rsidRPr="00EB426F">
        <w:rPr>
          <w:i/>
          <w:iCs/>
          <w:sz w:val="22"/>
          <w:szCs w:val="22"/>
        </w:rPr>
        <w:t>Pedagogika</w:t>
      </w:r>
      <w:r w:rsidRPr="00EB426F">
        <w:rPr>
          <w:sz w:val="22"/>
          <w:szCs w:val="22"/>
        </w:rPr>
        <w:t>. 88.</w:t>
      </w:r>
    </w:p>
    <w:p w:rsidR="00995BE0"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Gudžinskienė, V. (2007b) </w:t>
      </w:r>
      <w:r w:rsidRPr="00C7610A">
        <w:rPr>
          <w:i/>
          <w:sz w:val="22"/>
          <w:szCs w:val="22"/>
        </w:rPr>
        <w:t>Mokymas sveikai gyventi: teoriniai ir praktiniai aspektai</w:t>
      </w:r>
      <w:r>
        <w:rPr>
          <w:i/>
          <w:sz w:val="22"/>
          <w:szCs w:val="22"/>
        </w:rPr>
        <w:t>.</w:t>
      </w:r>
      <w:r w:rsidRPr="00EB426F">
        <w:rPr>
          <w:sz w:val="22"/>
          <w:szCs w:val="22"/>
        </w:rPr>
        <w:t xml:space="preserve"> Vilnius.</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Pr>
          <w:sz w:val="22"/>
          <w:szCs w:val="22"/>
        </w:rPr>
        <w:t xml:space="preserve">Gurevičius, R., Gerasimavičiūtė, V. (2010). </w:t>
      </w:r>
      <w:r w:rsidRPr="005C1CC1">
        <w:rPr>
          <w:i/>
          <w:sz w:val="22"/>
          <w:szCs w:val="22"/>
        </w:rPr>
        <w:t>Mirtingumo nuo krūties ir gimdos kaklelio vėžio dinamika ir jos netolygumai tarp Lietuvos miesto ir kaimo moterų</w:t>
      </w:r>
      <w:r>
        <w:rPr>
          <w:sz w:val="22"/>
          <w:szCs w:val="22"/>
        </w:rPr>
        <w:t xml:space="preserve">. </w:t>
      </w:r>
      <w:r w:rsidRPr="00EB426F">
        <w:rPr>
          <w:sz w:val="22"/>
          <w:szCs w:val="22"/>
        </w:rPr>
        <w:t xml:space="preserve">Nacionalinės sveikatos tarybos metinis pranešimas 2010. </w:t>
      </w:r>
      <w:r w:rsidRPr="00EB426F">
        <w:rPr>
          <w:iCs/>
          <w:sz w:val="22"/>
          <w:szCs w:val="22"/>
        </w:rPr>
        <w:t>Urbanizacija – nauji iššūkiai sveikatai</w:t>
      </w:r>
      <w:r w:rsidRPr="00EB426F">
        <w:rPr>
          <w:i/>
          <w:iCs/>
          <w:sz w:val="22"/>
          <w:szCs w:val="22"/>
        </w:rPr>
        <w:t xml:space="preserve"> </w:t>
      </w:r>
      <w:r w:rsidRPr="00EB426F">
        <w:rPr>
          <w:sz w:val="22"/>
          <w:szCs w:val="22"/>
        </w:rPr>
        <w:t xml:space="preserve">[žiūrėta 2010-11-03]. Prieiga per internetą: </w:t>
      </w:r>
      <w:hyperlink r:id="rId61" w:history="1">
        <w:r w:rsidRPr="00EB426F">
          <w:rPr>
            <w:rStyle w:val="Hipersaitas"/>
            <w:sz w:val="22"/>
            <w:szCs w:val="22"/>
          </w:rPr>
          <w:t>http://www3.lrs.lt/docs2/OIUPIBTO.PDF</w:t>
        </w:r>
      </w:hyperlink>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lang w:val="en-GB"/>
        </w:rPr>
      </w:pPr>
      <w:r w:rsidRPr="005C1CC1">
        <w:rPr>
          <w:sz w:val="22"/>
          <w:szCs w:val="22"/>
        </w:rPr>
        <w:t xml:space="preserve">Gustainienė, </w:t>
      </w:r>
      <w:r w:rsidRPr="00EB426F">
        <w:rPr>
          <w:sz w:val="22"/>
          <w:szCs w:val="22"/>
          <w:lang w:val="pt-BR"/>
        </w:rPr>
        <w:t xml:space="preserve">L. (2003). </w:t>
      </w:r>
      <w:r w:rsidRPr="00EB426F">
        <w:rPr>
          <w:i/>
          <w:iCs/>
          <w:sz w:val="22"/>
          <w:szCs w:val="22"/>
          <w:lang w:val="pt-BR"/>
        </w:rPr>
        <w:t>Sveikatos priežiūros politika ir organizacija.</w:t>
      </w:r>
      <w:r w:rsidRPr="00EB426F">
        <w:rPr>
          <w:sz w:val="22"/>
          <w:szCs w:val="22"/>
          <w:lang w:val="pt-BR"/>
        </w:rPr>
        <w:t xml:space="preserve"> </w:t>
      </w:r>
      <w:r w:rsidRPr="00EB426F">
        <w:rPr>
          <w:sz w:val="22"/>
          <w:szCs w:val="22"/>
          <w:lang w:val="en-GB"/>
        </w:rPr>
        <w:t>Kaunas: Vytauto Didžiojo universiteto leidykla. ISBN 9955-530-48-0.</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lang w:val="en-US"/>
        </w:rPr>
      </w:pPr>
      <w:r w:rsidRPr="00EB426F">
        <w:rPr>
          <w:sz w:val="22"/>
          <w:szCs w:val="22"/>
          <w:lang w:val="en-US"/>
        </w:rPr>
        <w:t xml:space="preserve">Hanna, Nagy (1985). </w:t>
      </w:r>
      <w:r w:rsidRPr="00C7610A">
        <w:rPr>
          <w:i/>
          <w:sz w:val="22"/>
          <w:szCs w:val="22"/>
          <w:lang w:val="en-US"/>
        </w:rPr>
        <w:t>Strategic Planning and Management: a review of recent experience</w:t>
      </w:r>
      <w:r w:rsidRPr="00EB426F">
        <w:rPr>
          <w:sz w:val="22"/>
          <w:szCs w:val="22"/>
          <w:lang w:val="en-US"/>
        </w:rPr>
        <w:t>. World Bank Working Paper No. 751. International Bank for Reconstruction and Development. Washington, DC.</w:t>
      </w:r>
    </w:p>
    <w:p w:rsidR="00995BE0" w:rsidRPr="00C7610A" w:rsidRDefault="00995BE0" w:rsidP="00C7610A">
      <w:pPr>
        <w:numPr>
          <w:ilvl w:val="0"/>
          <w:numId w:val="16"/>
        </w:numPr>
        <w:tabs>
          <w:tab w:val="left" w:pos="480"/>
        </w:tabs>
        <w:autoSpaceDE w:val="0"/>
        <w:autoSpaceDN w:val="0"/>
        <w:adjustRightInd w:val="0"/>
        <w:ind w:left="240" w:hanging="240"/>
        <w:jc w:val="both"/>
        <w:rPr>
          <w:i/>
          <w:sz w:val="22"/>
          <w:szCs w:val="22"/>
          <w:lang w:val="en-US"/>
        </w:rPr>
      </w:pPr>
      <w:r w:rsidRPr="00EB426F">
        <w:rPr>
          <w:sz w:val="22"/>
          <w:szCs w:val="22"/>
          <w:lang w:val="en-US"/>
        </w:rPr>
        <w:t xml:space="preserve">Harris, S., Forbes, T., Fletcher, M. (2000).Taught and enacted strategic approaches in young enterprises. </w:t>
      </w:r>
      <w:r w:rsidRPr="00C7610A">
        <w:rPr>
          <w:i/>
          <w:sz w:val="22"/>
          <w:szCs w:val="22"/>
          <w:lang w:val="en-US"/>
        </w:rPr>
        <w:t>International Journal of Entrepreneurial Behaviour and Research 6 (3).</w:t>
      </w:r>
    </w:p>
    <w:p w:rsidR="00995BE0" w:rsidRPr="00EB426F" w:rsidRDefault="00995BE0" w:rsidP="00C7610A">
      <w:pPr>
        <w:numPr>
          <w:ilvl w:val="0"/>
          <w:numId w:val="16"/>
        </w:numPr>
        <w:tabs>
          <w:tab w:val="left" w:pos="480"/>
        </w:tabs>
        <w:ind w:left="240" w:hanging="240"/>
        <w:jc w:val="both"/>
        <w:rPr>
          <w:sz w:val="22"/>
          <w:szCs w:val="22"/>
        </w:rPr>
      </w:pPr>
      <w:r w:rsidRPr="00C7610A">
        <w:rPr>
          <w:i/>
          <w:sz w:val="22"/>
          <w:szCs w:val="22"/>
        </w:rPr>
        <w:lastRenderedPageBreak/>
        <w:t>Higienos instituto Sveikatos informacijos centras</w:t>
      </w:r>
      <w:r w:rsidRPr="00EB426F">
        <w:rPr>
          <w:sz w:val="22"/>
          <w:szCs w:val="22"/>
        </w:rPr>
        <w:t xml:space="preserve">. (2009) [interaktyvus] [žiūrėta 2009-12-16]. </w:t>
      </w:r>
      <w:r w:rsidRPr="00130810">
        <w:rPr>
          <w:sz w:val="22"/>
          <w:szCs w:val="22"/>
          <w:lang w:val="sv-SE"/>
        </w:rPr>
        <w:t xml:space="preserve">Prieiga per internetą: </w:t>
      </w:r>
      <w:hyperlink r:id="rId62" w:history="1">
        <w:r w:rsidRPr="00130810">
          <w:rPr>
            <w:rStyle w:val="Hipersaitas"/>
            <w:sz w:val="22"/>
            <w:szCs w:val="22"/>
            <w:lang w:val="sv-SE"/>
          </w:rPr>
          <w:t>http://www.lsic.lt/</w:t>
        </w:r>
      </w:hyperlink>
      <w:r w:rsidRPr="00EB426F">
        <w:rPr>
          <w:sz w:val="22"/>
          <w:szCs w:val="22"/>
        </w:rPr>
        <w:t>.</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Hunger, J. D., Wheelen, T. L. (2003). </w:t>
      </w:r>
      <w:r w:rsidRPr="00C7610A">
        <w:rPr>
          <w:i/>
          <w:sz w:val="22"/>
          <w:szCs w:val="22"/>
        </w:rPr>
        <w:t>Essentials of Strategic Management</w:t>
      </w:r>
      <w:r>
        <w:rPr>
          <w:sz w:val="22"/>
          <w:szCs w:val="22"/>
        </w:rPr>
        <w:t xml:space="preserve"> [i</w:t>
      </w:r>
      <w:r w:rsidRPr="00EB426F">
        <w:rPr>
          <w:sz w:val="22"/>
          <w:szCs w:val="22"/>
        </w:rPr>
        <w:t xml:space="preserve">nteraktyvus], [žiūrėta 2011-02-08]. </w:t>
      </w:r>
      <w:r w:rsidRPr="00C7610A">
        <w:rPr>
          <w:sz w:val="22"/>
          <w:szCs w:val="22"/>
        </w:rPr>
        <w:t xml:space="preserve">Prieiga per internetą: </w:t>
      </w:r>
      <w:hyperlink r:id="rId63" w:history="1">
        <w:r w:rsidRPr="00C7610A">
          <w:rPr>
            <w:rStyle w:val="Hipersaitas"/>
            <w:sz w:val="22"/>
            <w:szCs w:val="22"/>
          </w:rPr>
          <w:t>http://www.hrfolks.com/Articles/Strategic%20HRM/Essentials%20of%20Strategic%20Management.pdf</w:t>
        </w:r>
      </w:hyperlink>
    </w:p>
    <w:p w:rsidR="00995BE0" w:rsidRPr="00EB426F" w:rsidRDefault="00995BE0" w:rsidP="00C7610A">
      <w:pPr>
        <w:numPr>
          <w:ilvl w:val="0"/>
          <w:numId w:val="16"/>
        </w:numPr>
        <w:tabs>
          <w:tab w:val="left" w:pos="480"/>
        </w:tabs>
        <w:autoSpaceDE w:val="0"/>
        <w:autoSpaceDN w:val="0"/>
        <w:adjustRightInd w:val="0"/>
        <w:ind w:left="240" w:hanging="240"/>
        <w:jc w:val="both"/>
        <w:rPr>
          <w:i/>
          <w:iCs/>
          <w:sz w:val="22"/>
          <w:szCs w:val="22"/>
        </w:rPr>
      </w:pPr>
      <w:r w:rsidRPr="00EB426F">
        <w:rPr>
          <w:sz w:val="22"/>
          <w:szCs w:val="22"/>
        </w:rPr>
        <w:t xml:space="preserve">Jančauskas, E., Rekerta. K. (2001). </w:t>
      </w:r>
      <w:r w:rsidRPr="00C7610A">
        <w:rPr>
          <w:i/>
          <w:sz w:val="22"/>
          <w:szCs w:val="22"/>
        </w:rPr>
        <w:t>Vidinės vyriausybinių institucijų veiklos koordinavimas strateginio planavimo procese</w:t>
      </w:r>
      <w:r w:rsidRPr="00EB426F">
        <w:rPr>
          <w:sz w:val="22"/>
          <w:szCs w:val="22"/>
        </w:rPr>
        <w:t>. Vilnius: Lietuvos tesės universitetas.</w:t>
      </w:r>
    </w:p>
    <w:p w:rsidR="00995BE0" w:rsidRPr="00EB426F" w:rsidRDefault="00995BE0" w:rsidP="00C7610A">
      <w:pPr>
        <w:pStyle w:val="Puslapioinaostekstas"/>
        <w:numPr>
          <w:ilvl w:val="0"/>
          <w:numId w:val="16"/>
        </w:numPr>
        <w:tabs>
          <w:tab w:val="left" w:pos="480"/>
        </w:tabs>
        <w:ind w:left="240" w:hanging="240"/>
        <w:jc w:val="both"/>
        <w:rPr>
          <w:sz w:val="22"/>
          <w:szCs w:val="22"/>
          <w:lang w:val="it-IT"/>
        </w:rPr>
      </w:pPr>
      <w:r w:rsidRPr="00EB426F">
        <w:rPr>
          <w:sz w:val="22"/>
          <w:szCs w:val="22"/>
          <w:lang w:val="lt-LT"/>
        </w:rPr>
        <w:t xml:space="preserve">Janeliūnas, T., Kasčiūnas, L. (2007). </w:t>
      </w:r>
      <w:r w:rsidRPr="00EB426F">
        <w:rPr>
          <w:i/>
          <w:iCs/>
          <w:sz w:val="22"/>
          <w:szCs w:val="22"/>
          <w:lang w:val="lt-LT"/>
        </w:rPr>
        <w:t>Prognozavimo metodų taikymas politikos moksluose.</w:t>
      </w:r>
      <w:r w:rsidRPr="00EB426F">
        <w:rPr>
          <w:sz w:val="22"/>
          <w:szCs w:val="22"/>
          <w:lang w:val="lt-LT"/>
        </w:rPr>
        <w:t xml:space="preserve"> Politologija 3 (47). [Interaktyvus] [žiūrėta 2009-12-22]. Prieiga per internetą: </w:t>
      </w:r>
      <w:hyperlink r:id="rId64" w:history="1">
        <w:r w:rsidRPr="00EB426F">
          <w:rPr>
            <w:rStyle w:val="Hipersaitas"/>
            <w:sz w:val="22"/>
            <w:szCs w:val="22"/>
            <w:lang w:val="it-IT"/>
          </w:rPr>
          <w:t>http://www.leidykla.eu/fileadmin/Politologija/47/str3-43.pdf</w:t>
        </w:r>
      </w:hyperlink>
      <w:r w:rsidRPr="00EB426F">
        <w:rPr>
          <w:sz w:val="22"/>
          <w:szCs w:val="22"/>
          <w:lang w:val="lt-LT"/>
        </w:rPr>
        <w:t>.</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Jankauskienė, D., Pečiūra, R. (2007). </w:t>
      </w:r>
      <w:r w:rsidRPr="00EB426F">
        <w:rPr>
          <w:i/>
          <w:iCs/>
          <w:sz w:val="22"/>
          <w:szCs w:val="22"/>
        </w:rPr>
        <w:t>Sveikatos politika ir valdymas</w:t>
      </w:r>
      <w:r w:rsidRPr="00EB426F">
        <w:rPr>
          <w:sz w:val="22"/>
          <w:szCs w:val="22"/>
        </w:rPr>
        <w:t>. Vilnius: Mykolo Romerio universitetas. ISBN 978-9955-19-073-8.</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Janušonis, V. (2000). </w:t>
      </w:r>
      <w:r w:rsidRPr="00EB426F">
        <w:rPr>
          <w:i/>
          <w:iCs/>
          <w:sz w:val="22"/>
          <w:szCs w:val="22"/>
        </w:rPr>
        <w:t>Sveikatos apsaugos sistemos organizacijų valdymas: XXI amžių pasitinkant</w:t>
      </w:r>
      <w:r w:rsidRPr="00EB426F">
        <w:rPr>
          <w:sz w:val="22"/>
          <w:szCs w:val="22"/>
        </w:rPr>
        <w:t>. Klaipėda: Klaipėdos rytas.</w:t>
      </w:r>
    </w:p>
    <w:p w:rsidR="00995BE0" w:rsidRPr="00EB426F" w:rsidRDefault="00995BE0" w:rsidP="00C7610A">
      <w:pPr>
        <w:numPr>
          <w:ilvl w:val="0"/>
          <w:numId w:val="16"/>
        </w:numPr>
        <w:tabs>
          <w:tab w:val="left" w:pos="480"/>
        </w:tabs>
        <w:autoSpaceDE w:val="0"/>
        <w:autoSpaceDN w:val="0"/>
        <w:adjustRightInd w:val="0"/>
        <w:ind w:left="240" w:hanging="240"/>
        <w:jc w:val="both"/>
        <w:rPr>
          <w:i/>
          <w:iCs/>
          <w:sz w:val="22"/>
          <w:szCs w:val="22"/>
        </w:rPr>
      </w:pPr>
      <w:r w:rsidRPr="00C7610A">
        <w:rPr>
          <w:i/>
          <w:sz w:val="22"/>
          <w:szCs w:val="22"/>
        </w:rPr>
        <w:t>Jaunimo sveikatos stiprinimas Europoje (2000</w:t>
      </w:r>
      <w:r w:rsidRPr="00EB426F">
        <w:rPr>
          <w:sz w:val="22"/>
          <w:szCs w:val="22"/>
        </w:rPr>
        <w:t>). Sveikatos ugdymas mokykloje: ugdymo priemonė mokytojams ir kitiems asmenims, dirbantiems su jaunimu. Europos Bendrijos Komisija, PSO Europos regioninis biuras, Škotijos sveikatos mokymo taryba.</w:t>
      </w:r>
    </w:p>
    <w:p w:rsidR="00995BE0" w:rsidRPr="00EB426F" w:rsidRDefault="00995BE0" w:rsidP="00B64DA3">
      <w:pPr>
        <w:numPr>
          <w:ilvl w:val="0"/>
          <w:numId w:val="16"/>
        </w:numPr>
        <w:tabs>
          <w:tab w:val="left" w:pos="480"/>
        </w:tabs>
        <w:autoSpaceDE w:val="0"/>
        <w:autoSpaceDN w:val="0"/>
        <w:adjustRightInd w:val="0"/>
        <w:ind w:left="240" w:hanging="240"/>
        <w:jc w:val="both"/>
        <w:rPr>
          <w:rStyle w:val="HTMLcitata"/>
          <w:sz w:val="22"/>
          <w:szCs w:val="22"/>
        </w:rPr>
      </w:pPr>
      <w:r w:rsidRPr="00EB426F">
        <w:rPr>
          <w:sz w:val="22"/>
          <w:szCs w:val="22"/>
        </w:rPr>
        <w:t xml:space="preserve">Javtokas, Z. (2009). </w:t>
      </w:r>
      <w:r w:rsidRPr="00C7610A">
        <w:rPr>
          <w:i/>
          <w:sz w:val="22"/>
          <w:szCs w:val="22"/>
        </w:rPr>
        <w:t>Sveikatos stiprinimo konspektas</w:t>
      </w:r>
      <w:r w:rsidRPr="00EB426F">
        <w:rPr>
          <w:sz w:val="22"/>
          <w:szCs w:val="22"/>
        </w:rPr>
        <w:t xml:space="preserve"> </w:t>
      </w:r>
      <w:r>
        <w:rPr>
          <w:sz w:val="22"/>
          <w:szCs w:val="22"/>
        </w:rPr>
        <w:t>[i</w:t>
      </w:r>
      <w:r w:rsidRPr="00EB426F">
        <w:rPr>
          <w:sz w:val="22"/>
          <w:szCs w:val="22"/>
        </w:rPr>
        <w:t xml:space="preserve">nteraktyvus] [žiūrėta 2010-05-28]. Prieiga per internetą: </w:t>
      </w:r>
      <w:hyperlink r:id="rId65" w:history="1">
        <w:r w:rsidRPr="00EB426F">
          <w:rPr>
            <w:rStyle w:val="Hipersaitas"/>
            <w:sz w:val="22"/>
            <w:szCs w:val="22"/>
          </w:rPr>
          <w:t>http://www.smlpc.lt/media/file/Skyriu_info/Kvalifikacijos_tobulinimas/Lektura/Sveikatos_stiprinimas-Konspektas2.pdf</w:t>
        </w:r>
      </w:hyperlink>
      <w:r w:rsidRPr="00EB426F">
        <w:rPr>
          <w:sz w:val="22"/>
          <w:szCs w:val="22"/>
        </w:rPr>
        <w:t xml:space="preserve"> </w:t>
      </w:r>
    </w:p>
    <w:p w:rsidR="00995BE0" w:rsidRPr="00EB426F" w:rsidRDefault="00995BE0" w:rsidP="00C7610A">
      <w:pPr>
        <w:numPr>
          <w:ilvl w:val="0"/>
          <w:numId w:val="16"/>
        </w:numPr>
        <w:tabs>
          <w:tab w:val="left" w:pos="480"/>
        </w:tabs>
        <w:autoSpaceDE w:val="0"/>
        <w:autoSpaceDN w:val="0"/>
        <w:adjustRightInd w:val="0"/>
        <w:ind w:left="240" w:hanging="240"/>
        <w:jc w:val="both"/>
        <w:rPr>
          <w:i/>
          <w:iCs/>
          <w:sz w:val="22"/>
          <w:szCs w:val="22"/>
        </w:rPr>
      </w:pPr>
      <w:r w:rsidRPr="00EB426F">
        <w:rPr>
          <w:sz w:val="22"/>
          <w:szCs w:val="22"/>
        </w:rPr>
        <w:t xml:space="preserve">Javtokas, Z. (2010). </w:t>
      </w:r>
      <w:r w:rsidRPr="00C7610A">
        <w:rPr>
          <w:i/>
          <w:sz w:val="22"/>
          <w:szCs w:val="22"/>
        </w:rPr>
        <w:t>Sveikatos stiprinimo samprata.</w:t>
      </w:r>
      <w:r>
        <w:rPr>
          <w:sz w:val="22"/>
          <w:szCs w:val="22"/>
        </w:rPr>
        <w:t xml:space="preserve"> Paskaitų konspektas [i</w:t>
      </w:r>
      <w:r w:rsidRPr="00EB426F">
        <w:rPr>
          <w:sz w:val="22"/>
          <w:szCs w:val="22"/>
        </w:rPr>
        <w:t xml:space="preserve">nteraktyvus] [žiūrėta 2010-05-28]. Prieiga per internetą: </w:t>
      </w:r>
      <w:hyperlink r:id="rId66" w:history="1">
        <w:r w:rsidRPr="00EB426F">
          <w:rPr>
            <w:rStyle w:val="Hipersaitas"/>
            <w:sz w:val="22"/>
            <w:szCs w:val="22"/>
          </w:rPr>
          <w:t>www.sdtsc.lt/get.php?f.120</w:t>
        </w:r>
      </w:hyperlink>
    </w:p>
    <w:p w:rsidR="00995BE0" w:rsidRPr="00EB426F" w:rsidRDefault="00995BE0" w:rsidP="00C7610A">
      <w:pPr>
        <w:numPr>
          <w:ilvl w:val="0"/>
          <w:numId w:val="16"/>
        </w:numPr>
        <w:tabs>
          <w:tab w:val="left" w:pos="480"/>
        </w:tabs>
        <w:autoSpaceDE w:val="0"/>
        <w:autoSpaceDN w:val="0"/>
        <w:adjustRightInd w:val="0"/>
        <w:ind w:left="240" w:hanging="240"/>
        <w:jc w:val="both"/>
        <w:rPr>
          <w:rStyle w:val="HTMLcitata"/>
          <w:sz w:val="22"/>
          <w:szCs w:val="22"/>
        </w:rPr>
      </w:pPr>
      <w:r w:rsidRPr="00EB426F">
        <w:rPr>
          <w:sz w:val="22"/>
          <w:szCs w:val="22"/>
        </w:rPr>
        <w:t xml:space="preserve">Jociūtė, A. (2002). </w:t>
      </w:r>
      <w:r w:rsidRPr="00EB426F">
        <w:rPr>
          <w:i/>
          <w:iCs/>
          <w:sz w:val="22"/>
          <w:szCs w:val="22"/>
        </w:rPr>
        <w:t>Europos sveikatą stiprinančių mokyklų tinklas</w:t>
      </w:r>
      <w:r w:rsidRPr="00EB426F">
        <w:rPr>
          <w:sz w:val="22"/>
          <w:szCs w:val="22"/>
        </w:rPr>
        <w:t>. Sveikatą stiprinančių mokyklų projektas Lietuvoje: veikla, veiksmingumas, plėtros galimybės. Vilnius.</w:t>
      </w:r>
    </w:p>
    <w:p w:rsidR="00995BE0" w:rsidRPr="00EB426F" w:rsidRDefault="00995BE0" w:rsidP="00C7610A">
      <w:pPr>
        <w:pStyle w:val="Sraopastraipa0"/>
        <w:numPr>
          <w:ilvl w:val="0"/>
          <w:numId w:val="16"/>
        </w:numPr>
        <w:tabs>
          <w:tab w:val="left" w:pos="480"/>
        </w:tabs>
        <w:ind w:left="240" w:hanging="240"/>
        <w:jc w:val="both"/>
        <w:rPr>
          <w:sz w:val="22"/>
          <w:szCs w:val="22"/>
        </w:rPr>
      </w:pPr>
      <w:r w:rsidRPr="00EB426F">
        <w:rPr>
          <w:sz w:val="22"/>
          <w:szCs w:val="22"/>
        </w:rPr>
        <w:t xml:space="preserve">Jociūtė, A., Krupskienė, A., Sabaliauskienė, D., Paulauskienė, N. (2008). </w:t>
      </w:r>
      <w:r w:rsidRPr="00C7610A">
        <w:rPr>
          <w:i/>
          <w:sz w:val="22"/>
          <w:szCs w:val="22"/>
        </w:rPr>
        <w:t>Sveikatos stiprinimas mokyklose</w:t>
      </w:r>
      <w:r w:rsidRPr="00EB426F">
        <w:rPr>
          <w:sz w:val="22"/>
          <w:szCs w:val="22"/>
        </w:rPr>
        <w:t>. Metodinės rekomendacijos. Vilnius.</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rPr>
        <w:t xml:space="preserve">Johnston LD, O’Malley PM, Bachman JG. </w:t>
      </w:r>
      <w:r w:rsidRPr="00EB426F">
        <w:rPr>
          <w:sz w:val="22"/>
          <w:szCs w:val="22"/>
          <w:lang w:val="en-GB"/>
        </w:rPr>
        <w:t>(2002)</w:t>
      </w:r>
      <w:r>
        <w:rPr>
          <w:sz w:val="22"/>
          <w:szCs w:val="22"/>
          <w:lang w:val="en-GB"/>
        </w:rPr>
        <w:t xml:space="preserve">. </w:t>
      </w:r>
      <w:r w:rsidRPr="00CD37E2">
        <w:rPr>
          <w:i/>
          <w:sz w:val="22"/>
          <w:szCs w:val="22"/>
          <w:lang w:val="en-GB"/>
        </w:rPr>
        <w:t>Monitoring the future: national survey results on drug use, 1975–2001.</w:t>
      </w:r>
      <w:r w:rsidRPr="00EB426F">
        <w:rPr>
          <w:sz w:val="22"/>
          <w:szCs w:val="22"/>
          <w:lang w:val="en-GB"/>
        </w:rPr>
        <w:t xml:space="preserve"> Volume 1: secondary school students. Bethesda, MD, National Institute on Drug Abuse, National Institutes of Health. </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Johnson PB, Richter L. (2002). The relationship between smoking, drinking, and adolescents’ self-perceived health and frequency of hospitalization: analyses from the 1997 National Household Survey on drug abuse. </w:t>
      </w:r>
      <w:r w:rsidRPr="00CD37E2">
        <w:rPr>
          <w:i/>
          <w:sz w:val="22"/>
          <w:szCs w:val="22"/>
          <w:lang w:val="en-GB"/>
        </w:rPr>
        <w:t>Journal of Adolescent Health, 30:175–183</w:t>
      </w:r>
      <w:r w:rsidRPr="00EB426F">
        <w:rPr>
          <w:sz w:val="22"/>
          <w:szCs w:val="22"/>
          <w:lang w:val="en-GB"/>
        </w:rPr>
        <w:t>.</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rPr>
        <w:t xml:space="preserve">Jordan C. O., Slater M., Kottke T. E. (2008). Preventing chronic disease risk factor: rationale and feasibility. </w:t>
      </w:r>
      <w:r w:rsidRPr="00CD37E2">
        <w:rPr>
          <w:i/>
          <w:sz w:val="22"/>
          <w:szCs w:val="22"/>
        </w:rPr>
        <w:t>Medicina, 44(10)</w:t>
      </w:r>
      <w:r w:rsidRPr="00EB426F">
        <w:rPr>
          <w:sz w:val="22"/>
          <w:szCs w:val="22"/>
        </w:rPr>
        <w:t>.</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Jucevičius, R. (1998). </w:t>
      </w:r>
      <w:r w:rsidRPr="00EB426F">
        <w:rPr>
          <w:i/>
          <w:iCs/>
          <w:sz w:val="22"/>
          <w:szCs w:val="22"/>
        </w:rPr>
        <w:t>Strateginis organizacijų vystymas</w:t>
      </w:r>
      <w:r w:rsidRPr="00EB426F">
        <w:rPr>
          <w:sz w:val="22"/>
          <w:szCs w:val="22"/>
        </w:rPr>
        <w:t>. Kaunas.</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Jucevičius, R. (1999). </w:t>
      </w:r>
      <w:r w:rsidRPr="00CD37E2">
        <w:rPr>
          <w:i/>
          <w:sz w:val="22"/>
          <w:szCs w:val="22"/>
        </w:rPr>
        <w:t>Strateginis viešųjų institucijų valdymas, Viešųjų institucijų valdymas</w:t>
      </w:r>
      <w:r w:rsidRPr="00EB426F">
        <w:rPr>
          <w:sz w:val="22"/>
          <w:szCs w:val="22"/>
        </w:rPr>
        <w:t>.</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Jurgutis, A. (2009</w:t>
      </w:r>
      <w:r w:rsidRPr="00CD37E2">
        <w:rPr>
          <w:i/>
          <w:sz w:val="22"/>
          <w:szCs w:val="22"/>
        </w:rPr>
        <w:t>). Lėtinių ligų kontrolės moderni vadyba – sergamumo ir mirtingumo mažinimo rezervas</w:t>
      </w:r>
      <w:r w:rsidRPr="00EB426F">
        <w:rPr>
          <w:sz w:val="22"/>
          <w:szCs w:val="22"/>
        </w:rPr>
        <w:t>. Nacionalinės sveikatos tarybos metinis pranešimas 2008. Vilnius.</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Inequalities in young people‘s health. (2008). </w:t>
      </w:r>
      <w:r w:rsidRPr="00CD37E2">
        <w:rPr>
          <w:i/>
          <w:sz w:val="22"/>
          <w:szCs w:val="22"/>
        </w:rPr>
        <w:t>HBSC international report from the 2005/2006 survey</w:t>
      </w:r>
      <w:r w:rsidRPr="00EB426F">
        <w:rPr>
          <w:sz w:val="22"/>
          <w:szCs w:val="22"/>
        </w:rPr>
        <w:t>. WHO [interaktyvus] [žiūrėta 2009-12-16]. Prieiga per internetą:http://www.euro.who.int/__data/assets/pdf_file/0005/53852/E91416.pdf</w:t>
      </w:r>
    </w:p>
    <w:p w:rsidR="00995BE0" w:rsidRPr="00EB426F" w:rsidRDefault="00995BE0" w:rsidP="00C7610A">
      <w:pPr>
        <w:numPr>
          <w:ilvl w:val="0"/>
          <w:numId w:val="16"/>
        </w:numPr>
        <w:tabs>
          <w:tab w:val="left" w:pos="480"/>
        </w:tabs>
        <w:ind w:left="240" w:hanging="240"/>
        <w:jc w:val="both"/>
        <w:rPr>
          <w:sz w:val="22"/>
          <w:szCs w:val="22"/>
        </w:rPr>
      </w:pPr>
      <w:r w:rsidRPr="00EB426F">
        <w:rPr>
          <w:i/>
          <w:sz w:val="22"/>
          <w:szCs w:val="22"/>
        </w:rPr>
        <w:t>Kaip panaikinti atotrūkį per vienos kartos gyvenamąjį laikotarpį</w:t>
      </w:r>
      <w:r w:rsidRPr="00EB426F">
        <w:rPr>
          <w:sz w:val="22"/>
          <w:szCs w:val="22"/>
        </w:rPr>
        <w:t xml:space="preserve"> (2009). Socialinių sveikatos veiksnių komisija. Galutinė ataskaita. Santrauka. Kaunas, [interaktyvus] [žiūrėta 2010-01-16]. Prieiga per internetą: </w:t>
      </w:r>
      <w:hyperlink r:id="rId67" w:history="1">
        <w:r w:rsidRPr="00EB426F">
          <w:rPr>
            <w:rStyle w:val="Hipersaitas"/>
            <w:sz w:val="22"/>
            <w:szCs w:val="22"/>
          </w:rPr>
          <w:t>http://whqlibdoc.who.int/hq/2009/WHO_IER_CSDH_08.1_lit.pdf</w:t>
        </w:r>
      </w:hyperlink>
      <w:r w:rsidRPr="00EB426F">
        <w:rPr>
          <w:sz w:val="22"/>
          <w:szCs w:val="22"/>
        </w:rPr>
        <w:t xml:space="preserve">. </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Kaip vykdysime savivaldybių visuomenės sveikatos stebėseną. (2004). </w:t>
      </w:r>
      <w:r w:rsidRPr="00CD37E2">
        <w:rPr>
          <w:i/>
          <w:sz w:val="22"/>
          <w:szCs w:val="22"/>
        </w:rPr>
        <w:t>Gydymo menas</w:t>
      </w:r>
      <w:r w:rsidRPr="00EB426F">
        <w:rPr>
          <w:sz w:val="22"/>
          <w:szCs w:val="22"/>
        </w:rPr>
        <w:t xml:space="preserve"> [interaktyvus] (1) [žiūrėta 2010-03-29]. Prieiga per internetą: </w:t>
      </w:r>
      <w:hyperlink r:id="rId68" w:history="1">
        <w:r w:rsidRPr="00EB426F">
          <w:rPr>
            <w:rStyle w:val="Hipersaitas"/>
            <w:sz w:val="22"/>
            <w:szCs w:val="22"/>
          </w:rPr>
          <w:t>http://www.medicine.lt/index.php?pagrid=leidiniai&amp;subid=gm&amp;strid=413</w:t>
        </w:r>
      </w:hyperlink>
    </w:p>
    <w:p w:rsidR="00995BE0" w:rsidRPr="00EB426F" w:rsidRDefault="00995BE0" w:rsidP="00C7610A">
      <w:pPr>
        <w:numPr>
          <w:ilvl w:val="0"/>
          <w:numId w:val="16"/>
        </w:numPr>
        <w:tabs>
          <w:tab w:val="left" w:pos="480"/>
        </w:tabs>
        <w:ind w:left="240" w:hanging="240"/>
        <w:jc w:val="both"/>
        <w:rPr>
          <w:i/>
          <w:iCs/>
          <w:sz w:val="22"/>
          <w:szCs w:val="22"/>
        </w:rPr>
      </w:pPr>
      <w:r w:rsidRPr="00EB426F">
        <w:rPr>
          <w:sz w:val="22"/>
          <w:szCs w:val="22"/>
        </w:rPr>
        <w:t xml:space="preserve">Kalėdienė, R., Petrauskienė, J., Rimpela, A. (1999). </w:t>
      </w:r>
      <w:r w:rsidRPr="00EB426F">
        <w:rPr>
          <w:i/>
          <w:iCs/>
          <w:sz w:val="22"/>
          <w:szCs w:val="22"/>
        </w:rPr>
        <w:t xml:space="preserve">Šiuolaikinio visuomenės sveikatos teorija ir praktika. </w:t>
      </w:r>
      <w:r w:rsidRPr="00EB426F">
        <w:rPr>
          <w:sz w:val="22"/>
          <w:szCs w:val="22"/>
        </w:rPr>
        <w:t>Kaunas. ISBN 5-430-02792-8.</w:t>
      </w:r>
    </w:p>
    <w:p w:rsidR="00995BE0" w:rsidRPr="00EB426F" w:rsidRDefault="00995BE0" w:rsidP="00C7610A">
      <w:pPr>
        <w:numPr>
          <w:ilvl w:val="0"/>
          <w:numId w:val="16"/>
        </w:numPr>
        <w:tabs>
          <w:tab w:val="left" w:pos="480"/>
        </w:tabs>
        <w:autoSpaceDE w:val="0"/>
        <w:autoSpaceDN w:val="0"/>
        <w:adjustRightInd w:val="0"/>
        <w:ind w:left="240" w:hanging="240"/>
        <w:jc w:val="both"/>
        <w:rPr>
          <w:bCs/>
          <w:sz w:val="22"/>
          <w:szCs w:val="22"/>
        </w:rPr>
      </w:pPr>
      <w:r w:rsidRPr="00EB426F">
        <w:rPr>
          <w:sz w:val="22"/>
          <w:szCs w:val="22"/>
        </w:rPr>
        <w:t xml:space="preserve">Kalėdienė, R. (2004). </w:t>
      </w:r>
      <w:r w:rsidRPr="00EB426F">
        <w:rPr>
          <w:bCs/>
          <w:sz w:val="22"/>
          <w:szCs w:val="22"/>
        </w:rPr>
        <w:t xml:space="preserve">Šiuolaikinės sveikatos vadybos svarba Lietuvos sveikatos sistemos reformos sėkmei. </w:t>
      </w:r>
      <w:r w:rsidRPr="00CD37E2">
        <w:rPr>
          <w:bCs/>
          <w:i/>
          <w:sz w:val="22"/>
          <w:szCs w:val="22"/>
        </w:rPr>
        <w:t>Medicina 40 (9).</w:t>
      </w:r>
    </w:p>
    <w:p w:rsidR="00995BE0" w:rsidRPr="00EB426F" w:rsidRDefault="00995BE0" w:rsidP="00C7610A">
      <w:pPr>
        <w:numPr>
          <w:ilvl w:val="0"/>
          <w:numId w:val="16"/>
        </w:numPr>
        <w:tabs>
          <w:tab w:val="left" w:pos="480"/>
        </w:tabs>
        <w:ind w:left="240" w:hanging="240"/>
        <w:jc w:val="both"/>
        <w:rPr>
          <w:i/>
          <w:iCs/>
          <w:sz w:val="22"/>
          <w:szCs w:val="22"/>
        </w:rPr>
      </w:pPr>
      <w:r w:rsidRPr="00EB426F">
        <w:rPr>
          <w:sz w:val="22"/>
          <w:szCs w:val="22"/>
        </w:rPr>
        <w:t xml:space="preserve">Kalėdienė, R. (2010). Lietuvos gyventojų sveikatos raida. </w:t>
      </w:r>
      <w:r w:rsidRPr="00CD37E2">
        <w:rPr>
          <w:i/>
          <w:sz w:val="22"/>
          <w:szCs w:val="22"/>
        </w:rPr>
        <w:t>Sveikatos politika ir valdymas</w:t>
      </w:r>
      <w:r w:rsidRPr="00EB426F">
        <w:rPr>
          <w:sz w:val="22"/>
          <w:szCs w:val="22"/>
        </w:rPr>
        <w:t>. Mokslo darbai. Vilnius: Mykolo Romerio universitetas.</w:t>
      </w:r>
    </w:p>
    <w:p w:rsidR="00995BE0" w:rsidRPr="00EB426F" w:rsidRDefault="00995BE0" w:rsidP="00C7610A">
      <w:pPr>
        <w:numPr>
          <w:ilvl w:val="0"/>
          <w:numId w:val="16"/>
        </w:numPr>
        <w:tabs>
          <w:tab w:val="left" w:pos="480"/>
        </w:tabs>
        <w:ind w:left="240" w:hanging="240"/>
        <w:jc w:val="both"/>
        <w:rPr>
          <w:i/>
          <w:iCs/>
          <w:sz w:val="22"/>
          <w:szCs w:val="22"/>
        </w:rPr>
      </w:pPr>
      <w:r w:rsidRPr="00EB426F">
        <w:rPr>
          <w:sz w:val="22"/>
          <w:szCs w:val="22"/>
        </w:rPr>
        <w:t xml:space="preserve">Kardelis, K. (2007). </w:t>
      </w:r>
      <w:r w:rsidRPr="00CD37E2">
        <w:rPr>
          <w:i/>
          <w:sz w:val="22"/>
          <w:szCs w:val="22"/>
        </w:rPr>
        <w:t>Mokslinių tyrimų metodologija ir metodai</w:t>
      </w:r>
      <w:r w:rsidRPr="00EB426F">
        <w:rPr>
          <w:sz w:val="22"/>
          <w:szCs w:val="22"/>
        </w:rPr>
        <w:t>. Šiauliai.</w:t>
      </w:r>
    </w:p>
    <w:p w:rsidR="00995BE0" w:rsidRPr="00EB426F" w:rsidRDefault="00995BE0" w:rsidP="00C7610A">
      <w:pPr>
        <w:numPr>
          <w:ilvl w:val="0"/>
          <w:numId w:val="16"/>
        </w:numPr>
        <w:tabs>
          <w:tab w:val="left" w:pos="480"/>
        </w:tabs>
        <w:ind w:left="240" w:hanging="240"/>
        <w:jc w:val="both"/>
        <w:rPr>
          <w:i/>
          <w:iCs/>
          <w:sz w:val="22"/>
          <w:szCs w:val="22"/>
        </w:rPr>
      </w:pPr>
      <w:r w:rsidRPr="00EB426F">
        <w:rPr>
          <w:sz w:val="22"/>
          <w:szCs w:val="22"/>
        </w:rPr>
        <w:t xml:space="preserve">Kasinskaitė, I. (2005). Besimokantis regionas – naujas regioninės plėtros kontekstas.  </w:t>
      </w:r>
      <w:r w:rsidRPr="00EB426F">
        <w:rPr>
          <w:i/>
          <w:iCs/>
          <w:sz w:val="22"/>
          <w:szCs w:val="22"/>
        </w:rPr>
        <w:t>informacijos mokslai Nr.35</w:t>
      </w:r>
      <w:r w:rsidRPr="00CD37E2">
        <w:rPr>
          <w:i/>
          <w:sz w:val="22"/>
          <w:szCs w:val="22"/>
        </w:rPr>
        <w:t>, 59-68</w:t>
      </w:r>
      <w:r w:rsidRPr="00EB426F">
        <w:rPr>
          <w:sz w:val="22"/>
          <w:szCs w:val="22"/>
        </w:rPr>
        <w:t>.</w:t>
      </w:r>
    </w:p>
    <w:p w:rsidR="00995BE0" w:rsidRPr="00EB426F" w:rsidRDefault="00995BE0" w:rsidP="00C7610A">
      <w:pPr>
        <w:numPr>
          <w:ilvl w:val="0"/>
          <w:numId w:val="16"/>
        </w:numPr>
        <w:tabs>
          <w:tab w:val="left" w:pos="480"/>
        </w:tabs>
        <w:ind w:left="240" w:hanging="240"/>
        <w:jc w:val="both"/>
        <w:rPr>
          <w:i/>
          <w:iCs/>
          <w:sz w:val="22"/>
          <w:szCs w:val="22"/>
        </w:rPr>
      </w:pPr>
      <w:r w:rsidRPr="00CD37E2">
        <w:rPr>
          <w:i/>
          <w:sz w:val="22"/>
          <w:szCs w:val="22"/>
        </w:rPr>
        <w:lastRenderedPageBreak/>
        <w:t>Kauno medicinos universiteto Sveikatos vadybos katedra</w:t>
      </w:r>
      <w:r>
        <w:rPr>
          <w:sz w:val="22"/>
          <w:szCs w:val="22"/>
        </w:rPr>
        <w:t>. (2010)</w:t>
      </w:r>
      <w:r w:rsidRPr="00EB426F">
        <w:rPr>
          <w:sz w:val="22"/>
          <w:szCs w:val="22"/>
        </w:rPr>
        <w:t>.</w:t>
      </w:r>
      <w:r>
        <w:rPr>
          <w:sz w:val="22"/>
          <w:szCs w:val="22"/>
        </w:rPr>
        <w:t xml:space="preserve"> KMU.</w:t>
      </w:r>
    </w:p>
    <w:p w:rsidR="00995BE0" w:rsidRPr="00EB426F" w:rsidRDefault="00995BE0" w:rsidP="00C7610A">
      <w:pPr>
        <w:numPr>
          <w:ilvl w:val="0"/>
          <w:numId w:val="16"/>
        </w:numPr>
        <w:tabs>
          <w:tab w:val="left" w:pos="480"/>
        </w:tabs>
        <w:ind w:left="240" w:hanging="240"/>
        <w:jc w:val="both"/>
        <w:rPr>
          <w:i/>
          <w:iCs/>
          <w:sz w:val="22"/>
          <w:szCs w:val="22"/>
        </w:rPr>
      </w:pPr>
      <w:r w:rsidRPr="00EB426F">
        <w:rPr>
          <w:sz w:val="22"/>
          <w:szCs w:val="22"/>
        </w:rPr>
        <w:t xml:space="preserve">Kavaliauskas, A. (2001). </w:t>
      </w:r>
      <w:r w:rsidRPr="00EB426F">
        <w:rPr>
          <w:i/>
          <w:iCs/>
          <w:sz w:val="22"/>
          <w:szCs w:val="22"/>
        </w:rPr>
        <w:t>Firmų strateginis valdymas</w:t>
      </w:r>
      <w:r w:rsidRPr="00EB426F">
        <w:rPr>
          <w:sz w:val="22"/>
          <w:szCs w:val="22"/>
        </w:rPr>
        <w:t>. Vilnius</w:t>
      </w:r>
    </w:p>
    <w:p w:rsidR="00995BE0" w:rsidRPr="00EB426F" w:rsidRDefault="00995BE0" w:rsidP="00C7610A">
      <w:pPr>
        <w:pStyle w:val="Puslapioinaostekstas"/>
        <w:numPr>
          <w:ilvl w:val="0"/>
          <w:numId w:val="16"/>
        </w:numPr>
        <w:tabs>
          <w:tab w:val="left" w:pos="480"/>
        </w:tabs>
        <w:ind w:left="240" w:hanging="240"/>
        <w:jc w:val="both"/>
        <w:rPr>
          <w:i/>
          <w:iCs/>
          <w:sz w:val="22"/>
          <w:szCs w:val="22"/>
          <w:lang w:val="lt-LT"/>
        </w:rPr>
      </w:pPr>
      <w:r w:rsidRPr="00EB426F">
        <w:rPr>
          <w:sz w:val="22"/>
          <w:szCs w:val="22"/>
          <w:lang w:val="lt-LT"/>
        </w:rPr>
        <w:t>Kaziliūnas, A. (2007). Organizacijoje vykdomų projektų derinimas su organizacijos strategija</w:t>
      </w:r>
      <w:r w:rsidRPr="00EB426F">
        <w:rPr>
          <w:i/>
          <w:iCs/>
          <w:sz w:val="22"/>
          <w:szCs w:val="22"/>
          <w:lang w:val="lt-LT"/>
        </w:rPr>
        <w:t>. Viešoji politika ir administravimas</w:t>
      </w:r>
      <w:r w:rsidRPr="00EB426F">
        <w:rPr>
          <w:sz w:val="22"/>
          <w:szCs w:val="22"/>
          <w:lang w:val="lt-LT"/>
        </w:rPr>
        <w:t xml:space="preserve">  Nr. 20, 32-41.</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Keniausytė, I., Čepulis, R., Stukas, R. (2009). Lietuvos sveikatos programos demografinių ir sveikatos rodiklių įvertinimas 1997–2008 m. ir palyginimas su Europos Sąjungos šalimis.</w:t>
      </w:r>
      <w:r w:rsidRPr="00EB426F">
        <w:rPr>
          <w:i/>
          <w:iCs/>
          <w:sz w:val="22"/>
          <w:szCs w:val="22"/>
        </w:rPr>
        <w:t xml:space="preserve"> Visuomenės sveikata</w:t>
      </w:r>
      <w:r w:rsidRPr="00EB426F">
        <w:rPr>
          <w:sz w:val="22"/>
          <w:szCs w:val="22"/>
        </w:rPr>
        <w:t xml:space="preserve"> 2 (45).</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rStyle w:val="HTMLcitata"/>
          <w:i w:val="0"/>
          <w:iCs w:val="0"/>
          <w:sz w:val="22"/>
          <w:szCs w:val="22"/>
        </w:rPr>
        <w:t xml:space="preserve">Kilijonienė A., Simanavičienė Ž. (2010) </w:t>
      </w:r>
      <w:r w:rsidRPr="00CD37E2">
        <w:rPr>
          <w:rStyle w:val="HTMLcitata"/>
          <w:i w:val="0"/>
          <w:sz w:val="22"/>
          <w:szCs w:val="22"/>
        </w:rPr>
        <w:t>Regionų plėtros teorijų taikymas: Lietuvos atvejis</w:t>
      </w:r>
      <w:r w:rsidRPr="00EB426F">
        <w:rPr>
          <w:rStyle w:val="HTMLcitata"/>
          <w:sz w:val="22"/>
          <w:szCs w:val="22"/>
        </w:rPr>
        <w:t>.</w:t>
      </w:r>
      <w:r w:rsidRPr="00EB426F">
        <w:rPr>
          <w:rStyle w:val="HTMLcitata"/>
          <w:i w:val="0"/>
          <w:iCs w:val="0"/>
          <w:sz w:val="22"/>
          <w:szCs w:val="22"/>
        </w:rPr>
        <w:t xml:space="preserve"> </w:t>
      </w:r>
      <w:r w:rsidRPr="00CD37E2">
        <w:rPr>
          <w:rStyle w:val="HTMLcitata"/>
          <w:iCs w:val="0"/>
          <w:sz w:val="22"/>
          <w:szCs w:val="22"/>
        </w:rPr>
        <w:t>Ekonomika ir vadyba 2010.15</w:t>
      </w:r>
      <w:r>
        <w:rPr>
          <w:rStyle w:val="HTMLcitata"/>
          <w:i w:val="0"/>
          <w:iCs w:val="0"/>
          <w:sz w:val="22"/>
          <w:szCs w:val="22"/>
        </w:rPr>
        <w:t xml:space="preserve"> [interaktyvus]</w:t>
      </w:r>
      <w:r w:rsidRPr="00EB426F">
        <w:rPr>
          <w:rStyle w:val="HTMLcitata"/>
          <w:i w:val="0"/>
          <w:iCs w:val="0"/>
          <w:sz w:val="22"/>
          <w:szCs w:val="22"/>
        </w:rPr>
        <w:t xml:space="preserve"> </w:t>
      </w:r>
      <w:r w:rsidRPr="00EB426F">
        <w:rPr>
          <w:sz w:val="22"/>
          <w:szCs w:val="22"/>
        </w:rPr>
        <w:t xml:space="preserve">[žiūrėta 2010-11-25]. Prieiga per internetą: </w:t>
      </w:r>
      <w:hyperlink r:id="rId69" w:history="1">
        <w:r w:rsidRPr="00EB426F">
          <w:rPr>
            <w:rStyle w:val="Hipersaitas"/>
            <w:sz w:val="22"/>
            <w:szCs w:val="22"/>
          </w:rPr>
          <w:t>http://www.ktu.lt/lt/mokslas/zurnalai/ekovad/15/1822-6515-2010-093.pdf</w:t>
        </w:r>
      </w:hyperlink>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Kleinienė V. (2006). Lietuvoje trūksta visuomenės sveikatos specialistų. </w:t>
      </w:r>
      <w:r w:rsidRPr="00CD37E2">
        <w:rPr>
          <w:i/>
          <w:sz w:val="22"/>
          <w:szCs w:val="22"/>
        </w:rPr>
        <w:t>Gydymo menas</w:t>
      </w:r>
      <w:r w:rsidRPr="00EB426F">
        <w:rPr>
          <w:sz w:val="22"/>
          <w:szCs w:val="22"/>
        </w:rPr>
        <w:t xml:space="preserve"> [interaktyvus] (12) [žiūrėta 2010-11-06]. Prieiga per internetą: http://www.medicine.lt/index.php?pagrid=leidiniai&amp;strid=4933&amp;subid=gm </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Kligys, G. (2005). </w:t>
      </w:r>
      <w:r w:rsidRPr="00EB426F">
        <w:rPr>
          <w:sz w:val="22"/>
          <w:szCs w:val="22"/>
          <w:lang w:eastAsia="ru-RU"/>
        </w:rPr>
        <w:t xml:space="preserve">Savivaldybėse kursis visuomenės sveikatos biurai. </w:t>
      </w:r>
      <w:r w:rsidRPr="00EB426F">
        <w:rPr>
          <w:i/>
          <w:iCs/>
          <w:sz w:val="22"/>
          <w:szCs w:val="22"/>
          <w:lang w:eastAsia="ru-RU"/>
        </w:rPr>
        <w:t>Gydymo menas</w:t>
      </w:r>
      <w:r w:rsidRPr="00EB426F">
        <w:rPr>
          <w:sz w:val="22"/>
          <w:szCs w:val="22"/>
          <w:lang w:eastAsia="ru-RU"/>
        </w:rPr>
        <w:t xml:space="preserve"> </w:t>
      </w:r>
      <w:r w:rsidRPr="00EB426F">
        <w:rPr>
          <w:sz w:val="22"/>
          <w:szCs w:val="22"/>
        </w:rPr>
        <w:t xml:space="preserve"> [interaktyvus] (10) [žiūrėta 2010-11-06]. Prieiga per internetą:  </w:t>
      </w:r>
      <w:hyperlink r:id="rId70" w:history="1">
        <w:r w:rsidRPr="00EB426F">
          <w:rPr>
            <w:rStyle w:val="Hipersaitas"/>
            <w:sz w:val="22"/>
            <w:szCs w:val="22"/>
          </w:rPr>
          <w:t>http://www.medicine.lt/index.php?pagrid=leidiniai&amp;subid=gm&amp;strid=2471</w:t>
        </w:r>
      </w:hyperlink>
      <w:r w:rsidRPr="00EB426F">
        <w:rPr>
          <w:sz w:val="22"/>
          <w:szCs w:val="22"/>
        </w:rPr>
        <w:t>.</w:t>
      </w:r>
    </w:p>
    <w:p w:rsidR="00995BE0" w:rsidRPr="00EB426F" w:rsidRDefault="00995BE0" w:rsidP="00C7610A">
      <w:pPr>
        <w:numPr>
          <w:ilvl w:val="0"/>
          <w:numId w:val="16"/>
        </w:numPr>
        <w:tabs>
          <w:tab w:val="left" w:pos="480"/>
        </w:tabs>
        <w:ind w:left="240" w:hanging="240"/>
        <w:jc w:val="both"/>
        <w:rPr>
          <w:sz w:val="22"/>
          <w:szCs w:val="22"/>
        </w:rPr>
      </w:pPr>
      <w:r w:rsidRPr="00EB426F">
        <w:rPr>
          <w:sz w:val="22"/>
          <w:szCs w:val="22"/>
        </w:rPr>
        <w:t xml:space="preserve">Koteen, J. (1989). </w:t>
      </w:r>
      <w:r w:rsidRPr="00EB426F">
        <w:rPr>
          <w:i/>
          <w:iCs/>
          <w:sz w:val="22"/>
          <w:szCs w:val="22"/>
        </w:rPr>
        <w:t>Strategic management in public and nonprofit organizations</w:t>
      </w:r>
      <w:r w:rsidRPr="00EB426F">
        <w:rPr>
          <w:sz w:val="22"/>
          <w:szCs w:val="22"/>
        </w:rPr>
        <w:t>. New York: Praeger.</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Kraniauskas, A. (2009). </w:t>
      </w:r>
      <w:r w:rsidRPr="00CD37E2">
        <w:rPr>
          <w:i/>
          <w:sz w:val="22"/>
          <w:szCs w:val="22"/>
        </w:rPr>
        <w:t>Pirminės lėtinių neinfekcinių ligų prevencijos organizavimas – savivaldybės visuomenės sveikatos biuro galimybės</w:t>
      </w:r>
      <w:r w:rsidRPr="00EB426F">
        <w:rPr>
          <w:sz w:val="22"/>
          <w:szCs w:val="22"/>
        </w:rPr>
        <w:t>. Nacionalinės sveikatos tarybos metinis pranešimas 2008. Vilnius.</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lang w:val="en-GB"/>
        </w:rPr>
        <w:t xml:space="preserve">Kraus L et al. (2000). </w:t>
      </w:r>
      <w:r w:rsidRPr="00CD37E2">
        <w:rPr>
          <w:sz w:val="22"/>
          <w:szCs w:val="22"/>
          <w:lang w:val="en-GB"/>
        </w:rPr>
        <w:t>Prevalence of alcohol use and the association between onset of use and alcohol-related problems in a general population sample in Germany</w:t>
      </w:r>
      <w:r w:rsidRPr="00EB426F">
        <w:rPr>
          <w:sz w:val="22"/>
          <w:szCs w:val="22"/>
          <w:lang w:val="en-GB"/>
        </w:rPr>
        <w:t xml:space="preserve">. </w:t>
      </w:r>
      <w:r w:rsidRPr="00CD37E2">
        <w:rPr>
          <w:i/>
          <w:sz w:val="22"/>
          <w:szCs w:val="22"/>
          <w:lang w:val="en-GB"/>
        </w:rPr>
        <w:t>Addiction, 95(9):1389–1401</w:t>
      </w:r>
      <w:r w:rsidRPr="00EB426F">
        <w:rPr>
          <w:sz w:val="22"/>
          <w:szCs w:val="22"/>
          <w:lang w:val="en-GB"/>
        </w:rPr>
        <w:t>.</w:t>
      </w:r>
    </w:p>
    <w:p w:rsidR="00995BE0" w:rsidRPr="00EB426F" w:rsidRDefault="00995BE0" w:rsidP="00C7610A">
      <w:pPr>
        <w:pStyle w:val="ListParagraph1"/>
        <w:numPr>
          <w:ilvl w:val="0"/>
          <w:numId w:val="16"/>
        </w:numPr>
        <w:tabs>
          <w:tab w:val="left" w:pos="480"/>
        </w:tabs>
        <w:ind w:left="240" w:hanging="240"/>
        <w:contextualSpacing w:val="0"/>
        <w:jc w:val="both"/>
        <w:rPr>
          <w:sz w:val="22"/>
          <w:szCs w:val="22"/>
          <w:lang w:val="en-GB"/>
        </w:rPr>
      </w:pPr>
      <w:r w:rsidRPr="00EB426F">
        <w:rPr>
          <w:sz w:val="22"/>
          <w:szCs w:val="22"/>
        </w:rPr>
        <w:t xml:space="preserve">Kundrotienė N, Rekerta K. (2002). Strateginio planavimo diegimas Lietuvos viešojo administravimo institucijose. </w:t>
      </w:r>
      <w:r w:rsidRPr="00EB426F">
        <w:rPr>
          <w:i/>
          <w:sz w:val="22"/>
          <w:szCs w:val="22"/>
        </w:rPr>
        <w:t>Viešoji politika ir administravimas</w:t>
      </w:r>
      <w:r w:rsidRPr="00EB426F">
        <w:rPr>
          <w:sz w:val="22"/>
          <w:szCs w:val="22"/>
        </w:rPr>
        <w:t xml:space="preserve"> (3). </w:t>
      </w:r>
    </w:p>
    <w:p w:rsidR="00995BE0" w:rsidRPr="00EB426F" w:rsidRDefault="00995BE0" w:rsidP="00C7610A">
      <w:pPr>
        <w:pStyle w:val="Puslapioinaostekstas"/>
        <w:numPr>
          <w:ilvl w:val="0"/>
          <w:numId w:val="16"/>
        </w:numPr>
        <w:tabs>
          <w:tab w:val="left" w:pos="480"/>
        </w:tabs>
        <w:ind w:left="240" w:hanging="240"/>
        <w:jc w:val="both"/>
        <w:rPr>
          <w:sz w:val="22"/>
          <w:szCs w:val="22"/>
          <w:lang w:val="lt-LT"/>
        </w:rPr>
      </w:pPr>
      <w:r w:rsidRPr="00EB426F">
        <w:rPr>
          <w:sz w:val="22"/>
          <w:szCs w:val="22"/>
          <w:lang w:val="lt-LT"/>
        </w:rPr>
        <w:t xml:space="preserve">Kvainauskaitė, V., Snieška, V. (2003). </w:t>
      </w:r>
      <w:r w:rsidRPr="00EB426F">
        <w:rPr>
          <w:i/>
          <w:iCs/>
          <w:sz w:val="22"/>
          <w:szCs w:val="22"/>
          <w:lang w:val="lt-LT"/>
        </w:rPr>
        <w:t>Konkurencinės rinkos paklausos vertinimas ir prognozavimas: monografija</w:t>
      </w:r>
      <w:r w:rsidRPr="00EB426F">
        <w:rPr>
          <w:sz w:val="22"/>
          <w:szCs w:val="22"/>
          <w:lang w:val="lt-LT"/>
        </w:rPr>
        <w:t>. Kaunas: Technologija.</w:t>
      </w:r>
    </w:p>
    <w:p w:rsidR="00995BE0" w:rsidRDefault="00995BE0" w:rsidP="00C7610A">
      <w:pPr>
        <w:pStyle w:val="Puslapioinaostekstas"/>
        <w:numPr>
          <w:ilvl w:val="0"/>
          <w:numId w:val="16"/>
        </w:numPr>
        <w:tabs>
          <w:tab w:val="left" w:pos="480"/>
        </w:tabs>
        <w:ind w:left="240" w:hanging="240"/>
        <w:jc w:val="both"/>
        <w:rPr>
          <w:sz w:val="22"/>
          <w:szCs w:val="22"/>
          <w:lang w:val="lt-LT"/>
        </w:rPr>
      </w:pPr>
      <w:r w:rsidRPr="00EB426F">
        <w:rPr>
          <w:sz w:val="22"/>
          <w:szCs w:val="22"/>
          <w:lang w:val="lt-LT"/>
        </w:rPr>
        <w:t xml:space="preserve">Lane, J., E. (2001). </w:t>
      </w:r>
      <w:r w:rsidRPr="00EB426F">
        <w:rPr>
          <w:i/>
          <w:sz w:val="22"/>
          <w:szCs w:val="22"/>
          <w:lang w:val="lt-LT"/>
        </w:rPr>
        <w:t>Viešasis sektorius sąvokos, modeliai ir požiūriai</w:t>
      </w:r>
      <w:r w:rsidRPr="00EB426F">
        <w:rPr>
          <w:sz w:val="22"/>
          <w:szCs w:val="22"/>
          <w:lang w:val="lt-LT"/>
        </w:rPr>
        <w:t>. Vilnius.</w:t>
      </w:r>
    </w:p>
    <w:p w:rsidR="00995BE0" w:rsidRPr="00CD37E2" w:rsidRDefault="00995BE0" w:rsidP="00C7610A">
      <w:pPr>
        <w:numPr>
          <w:ilvl w:val="0"/>
          <w:numId w:val="16"/>
        </w:numPr>
        <w:tabs>
          <w:tab w:val="left" w:pos="480"/>
        </w:tabs>
        <w:ind w:left="240" w:hanging="240"/>
        <w:jc w:val="both"/>
        <w:rPr>
          <w:i/>
          <w:sz w:val="22"/>
          <w:szCs w:val="22"/>
        </w:rPr>
      </w:pPr>
      <w:r w:rsidRPr="00EB426F">
        <w:rPr>
          <w:sz w:val="22"/>
          <w:szCs w:val="22"/>
        </w:rPr>
        <w:t xml:space="preserve">Löe H. (2000). Oral hygiene in the prevention of caries and periodontal disease. </w:t>
      </w:r>
      <w:r w:rsidRPr="00CD37E2">
        <w:rPr>
          <w:i/>
          <w:sz w:val="22"/>
          <w:szCs w:val="22"/>
        </w:rPr>
        <w:t>International Dentistry Journal, 50:129–39.</w:t>
      </w:r>
    </w:p>
    <w:p w:rsidR="00995BE0" w:rsidRPr="00EB426F" w:rsidRDefault="00995BE0" w:rsidP="00C7610A">
      <w:pPr>
        <w:numPr>
          <w:ilvl w:val="0"/>
          <w:numId w:val="16"/>
        </w:numPr>
        <w:tabs>
          <w:tab w:val="left" w:pos="480"/>
        </w:tabs>
        <w:ind w:left="240" w:hanging="240"/>
        <w:jc w:val="both"/>
        <w:rPr>
          <w:sz w:val="22"/>
          <w:szCs w:val="22"/>
        </w:rPr>
      </w:pPr>
      <w:r w:rsidRPr="00EB426F">
        <w:rPr>
          <w:color w:val="000000"/>
          <w:sz w:val="22"/>
          <w:szCs w:val="22"/>
        </w:rPr>
        <w:t xml:space="preserve">MacDonald J., Davies G.P., Hill G. (2001). </w:t>
      </w:r>
      <w:r w:rsidRPr="00CD37E2">
        <w:rPr>
          <w:i/>
          <w:color w:val="000000"/>
          <w:sz w:val="22"/>
          <w:szCs w:val="22"/>
        </w:rPr>
        <w:t>The role of general practice in strengthening Primary care</w:t>
      </w:r>
      <w:r w:rsidRPr="00EB426F">
        <w:rPr>
          <w:color w:val="000000"/>
          <w:sz w:val="22"/>
          <w:szCs w:val="22"/>
        </w:rPr>
        <w:t>. A review of international experience. Kanbera - ISBN 0642735980.</w:t>
      </w:r>
    </w:p>
    <w:p w:rsidR="00995BE0" w:rsidRPr="00EB426F" w:rsidRDefault="00995BE0" w:rsidP="00C7610A">
      <w:pPr>
        <w:numPr>
          <w:ilvl w:val="0"/>
          <w:numId w:val="16"/>
        </w:numPr>
        <w:tabs>
          <w:tab w:val="left" w:pos="480"/>
        </w:tabs>
        <w:autoSpaceDE w:val="0"/>
        <w:autoSpaceDN w:val="0"/>
        <w:adjustRightInd w:val="0"/>
        <w:ind w:left="240" w:hanging="240"/>
        <w:jc w:val="both"/>
        <w:rPr>
          <w:sz w:val="22"/>
          <w:szCs w:val="22"/>
        </w:rPr>
      </w:pPr>
      <w:r w:rsidRPr="00EB426F">
        <w:rPr>
          <w:sz w:val="22"/>
          <w:szCs w:val="22"/>
        </w:rPr>
        <w:t xml:space="preserve">Mačiūnas E., Sketerskienė R., Chmieliauskaitė I. (2005). </w:t>
      </w:r>
      <w:r w:rsidRPr="00CD37E2">
        <w:rPr>
          <w:i/>
          <w:sz w:val="22"/>
          <w:szCs w:val="22"/>
        </w:rPr>
        <w:t>Sveikatos priežiūra mokykloje</w:t>
      </w:r>
      <w:r w:rsidRPr="00EB426F">
        <w:rPr>
          <w:sz w:val="22"/>
          <w:szCs w:val="22"/>
        </w:rPr>
        <w:t>. Lietuvos  higienistų  ir  epidemiologų  sąjungos konferencija. Pranešimų medžiaga. Vilnius.</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 Mačiūnas, E., Mikulskienė, R., Mačiūnienė, R., Red. (2006a). </w:t>
      </w:r>
      <w:r w:rsidRPr="00EB426F">
        <w:rPr>
          <w:i/>
          <w:iCs/>
          <w:sz w:val="22"/>
          <w:szCs w:val="22"/>
        </w:rPr>
        <w:t>Mokyklos sveikatinimo projektų vadyba</w:t>
      </w:r>
      <w:r w:rsidRPr="00EB426F">
        <w:rPr>
          <w:sz w:val="22"/>
          <w:szCs w:val="22"/>
        </w:rPr>
        <w:t>. Metodinės rekomendacijos. Vilnius: Valstybinis aplinkos sveikatos centras.</w:t>
      </w:r>
    </w:p>
    <w:p w:rsidR="00995BE0" w:rsidRPr="00EB426F" w:rsidRDefault="00995BE0" w:rsidP="00C7610A">
      <w:pPr>
        <w:pStyle w:val="Puslapioinaostekstas"/>
        <w:numPr>
          <w:ilvl w:val="0"/>
          <w:numId w:val="16"/>
        </w:numPr>
        <w:tabs>
          <w:tab w:val="left" w:pos="480"/>
          <w:tab w:val="left" w:pos="851"/>
        </w:tabs>
        <w:ind w:left="240" w:hanging="240"/>
        <w:jc w:val="both"/>
        <w:rPr>
          <w:sz w:val="22"/>
          <w:szCs w:val="22"/>
          <w:lang w:val="lt-LT"/>
        </w:rPr>
      </w:pPr>
      <w:r w:rsidRPr="00EB426F">
        <w:rPr>
          <w:sz w:val="22"/>
          <w:szCs w:val="22"/>
          <w:lang w:val="lt-LT"/>
        </w:rPr>
        <w:t xml:space="preserve">Mačiūnas, E., Mikulskienė, R., Mačiūnienė, R., Red. (2006b). </w:t>
      </w:r>
      <w:r w:rsidRPr="00EB426F">
        <w:rPr>
          <w:i/>
          <w:iCs/>
          <w:sz w:val="22"/>
          <w:szCs w:val="22"/>
          <w:lang w:val="lt-LT"/>
        </w:rPr>
        <w:t xml:space="preserve">Sveikatos </w:t>
      </w:r>
      <w:r w:rsidRPr="00EB426F">
        <w:rPr>
          <w:i/>
          <w:iCs/>
          <w:sz w:val="22"/>
          <w:szCs w:val="22"/>
          <w:lang w:val="pt-BR"/>
        </w:rPr>
        <w:t>priežiūros specialisto, dirbančio mokykloje, darbo planavimas.</w:t>
      </w:r>
      <w:r w:rsidRPr="00EB426F">
        <w:rPr>
          <w:sz w:val="22"/>
          <w:szCs w:val="22"/>
          <w:lang w:val="pt-BR"/>
        </w:rPr>
        <w:t xml:space="preserve"> Metodinės rekomendacijos. Vilnius: Valstybinis aplinkos centras.</w:t>
      </w:r>
    </w:p>
    <w:p w:rsidR="00995BE0"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Mačiūnas, E., Šurkienė, G., Žeromskienė, D., Namajūnaitė, G., Aleksejevaitė D. (2010). </w:t>
      </w:r>
      <w:r w:rsidRPr="00CD37E2">
        <w:rPr>
          <w:i/>
          <w:sz w:val="22"/>
          <w:szCs w:val="22"/>
        </w:rPr>
        <w:t>Sveikatos priežiūra mokykloje</w:t>
      </w:r>
      <w:r w:rsidRPr="00EB426F">
        <w:rPr>
          <w:sz w:val="22"/>
          <w:szCs w:val="22"/>
        </w:rPr>
        <w:t xml:space="preserve"> [interaktyvus] [žiūrėta 2010-05-03]. Prieiga per internetą: </w:t>
      </w:r>
      <w:hyperlink r:id="rId71" w:history="1">
        <w:r w:rsidRPr="00EB426F">
          <w:rPr>
            <w:rStyle w:val="Hipersaitas"/>
            <w:sz w:val="22"/>
            <w:szCs w:val="22"/>
          </w:rPr>
          <w:t>http://oldvasc.sam.lt/mokykl_sveikat_priez.pdf</w:t>
        </w:r>
      </w:hyperlink>
      <w:r w:rsidRPr="00EB426F">
        <w:rPr>
          <w:sz w:val="22"/>
          <w:szCs w:val="22"/>
        </w:rPr>
        <w:t>.</w:t>
      </w:r>
    </w:p>
    <w:p w:rsidR="00995BE0" w:rsidRPr="00EB426F" w:rsidRDefault="00995BE0" w:rsidP="00C7610A">
      <w:pPr>
        <w:numPr>
          <w:ilvl w:val="0"/>
          <w:numId w:val="16"/>
        </w:numPr>
        <w:tabs>
          <w:tab w:val="left" w:pos="480"/>
          <w:tab w:val="left" w:pos="851"/>
        </w:tabs>
        <w:ind w:left="240" w:hanging="240"/>
        <w:jc w:val="both"/>
        <w:rPr>
          <w:sz w:val="22"/>
          <w:szCs w:val="22"/>
        </w:rPr>
      </w:pPr>
      <w:r>
        <w:rPr>
          <w:sz w:val="22"/>
          <w:szCs w:val="22"/>
        </w:rPr>
        <w:t xml:space="preserve">Maslow, A. H. (2006). </w:t>
      </w:r>
      <w:r w:rsidRPr="008F52C2">
        <w:rPr>
          <w:i/>
          <w:sz w:val="22"/>
          <w:szCs w:val="22"/>
        </w:rPr>
        <w:t>Motyvacija ir asmenybė</w:t>
      </w:r>
      <w:r>
        <w:rPr>
          <w:sz w:val="22"/>
          <w:szCs w:val="22"/>
        </w:rPr>
        <w:t xml:space="preserve">. Vilnius. </w:t>
      </w:r>
    </w:p>
    <w:p w:rsidR="00995BE0" w:rsidRPr="00CD37E2" w:rsidRDefault="00995BE0" w:rsidP="00C7610A">
      <w:pPr>
        <w:numPr>
          <w:ilvl w:val="0"/>
          <w:numId w:val="16"/>
        </w:numPr>
        <w:tabs>
          <w:tab w:val="left" w:pos="480"/>
          <w:tab w:val="left" w:pos="851"/>
        </w:tabs>
        <w:ind w:left="240" w:hanging="240"/>
        <w:jc w:val="both"/>
        <w:rPr>
          <w:i/>
          <w:sz w:val="22"/>
          <w:szCs w:val="22"/>
        </w:rPr>
      </w:pPr>
      <w:r w:rsidRPr="00EB426F">
        <w:rPr>
          <w:sz w:val="22"/>
          <w:szCs w:val="22"/>
        </w:rPr>
        <w:t xml:space="preserve">Mchugh. M. (1997). Trouble in paradise: disintegrated strategių change within a government agency. </w:t>
      </w:r>
      <w:r w:rsidRPr="00CD37E2">
        <w:rPr>
          <w:i/>
          <w:sz w:val="22"/>
          <w:szCs w:val="22"/>
        </w:rPr>
        <w:t>International Journal of Public Sector Management 10 (6).</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McWhinney IR. (1997). </w:t>
      </w:r>
      <w:r w:rsidRPr="00CD37E2">
        <w:rPr>
          <w:i/>
          <w:sz w:val="22"/>
          <w:szCs w:val="22"/>
        </w:rPr>
        <w:t>A texbook of medicine</w:t>
      </w:r>
      <w:r w:rsidRPr="00EB426F">
        <w:rPr>
          <w:sz w:val="22"/>
          <w:szCs w:val="22"/>
        </w:rPr>
        <w:t>. 2nd ed. New York: Oxford University press.</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Melnikas, B., Smaliukienė, R. (2007). </w:t>
      </w:r>
      <w:r w:rsidRPr="00EB426F">
        <w:rPr>
          <w:i/>
          <w:sz w:val="22"/>
          <w:szCs w:val="22"/>
        </w:rPr>
        <w:t>Strateginis valdymas</w:t>
      </w:r>
      <w:r w:rsidRPr="00EB426F">
        <w:rPr>
          <w:sz w:val="22"/>
          <w:szCs w:val="22"/>
        </w:rPr>
        <w:t>. Mokomoji knyga. Vilnius: Generolo Jono Žemaičio Lietuvos karo akademija.</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Mintzberg, H. (1994). </w:t>
      </w:r>
      <w:r w:rsidRPr="00CD37E2">
        <w:rPr>
          <w:i/>
          <w:sz w:val="22"/>
          <w:szCs w:val="22"/>
        </w:rPr>
        <w:t>The fall and Ruse of Strategic Planning//Harvard Business Review, No. 72 (1).</w:t>
      </w:r>
    </w:p>
    <w:p w:rsidR="00995BE0"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Mintzberg, H., Ahlstrand, B., Lampel, J. (1998). </w:t>
      </w:r>
      <w:r w:rsidRPr="00CD37E2">
        <w:rPr>
          <w:i/>
          <w:sz w:val="22"/>
          <w:szCs w:val="22"/>
        </w:rPr>
        <w:t>Strategy Safary</w:t>
      </w:r>
      <w:r w:rsidRPr="00EB426F">
        <w:rPr>
          <w:sz w:val="22"/>
          <w:szCs w:val="22"/>
        </w:rPr>
        <w:t>. The complete guide through the wild of strategic management. Prentice Hall.</w:t>
      </w:r>
    </w:p>
    <w:p w:rsidR="00995BE0" w:rsidRPr="00E85516" w:rsidRDefault="00995BE0" w:rsidP="00C7610A">
      <w:pPr>
        <w:numPr>
          <w:ilvl w:val="0"/>
          <w:numId w:val="16"/>
        </w:numPr>
        <w:tabs>
          <w:tab w:val="left" w:pos="480"/>
          <w:tab w:val="left" w:pos="851"/>
        </w:tabs>
        <w:ind w:left="240" w:hanging="240"/>
        <w:jc w:val="both"/>
        <w:rPr>
          <w:sz w:val="22"/>
          <w:szCs w:val="22"/>
        </w:rPr>
      </w:pPr>
      <w:r w:rsidRPr="00E85516">
        <w:rPr>
          <w:sz w:val="22"/>
          <w:szCs w:val="22"/>
        </w:rPr>
        <w:t xml:space="preserve">Мintzberg, H., Lampel, J., Quinn, J. B., Ghoshal, S. (2002). </w:t>
      </w:r>
      <w:r w:rsidRPr="00E85516">
        <w:rPr>
          <w:i/>
          <w:iCs/>
          <w:sz w:val="22"/>
          <w:szCs w:val="22"/>
        </w:rPr>
        <w:t>The Strategy Process</w:t>
      </w:r>
      <w:r w:rsidRPr="00E85516">
        <w:rPr>
          <w:sz w:val="22"/>
          <w:szCs w:val="22"/>
        </w:rPr>
        <w:t>. New York: Prentice Hall College Division.</w:t>
      </w:r>
    </w:p>
    <w:p w:rsidR="00995BE0" w:rsidRPr="00CD37E2" w:rsidRDefault="00995BE0" w:rsidP="00C7610A">
      <w:pPr>
        <w:numPr>
          <w:ilvl w:val="0"/>
          <w:numId w:val="16"/>
        </w:numPr>
        <w:tabs>
          <w:tab w:val="left" w:pos="480"/>
          <w:tab w:val="left" w:pos="851"/>
        </w:tabs>
        <w:ind w:left="240" w:hanging="240"/>
        <w:jc w:val="both"/>
        <w:rPr>
          <w:i/>
          <w:sz w:val="22"/>
          <w:szCs w:val="22"/>
        </w:rPr>
      </w:pPr>
      <w:r w:rsidRPr="00EB426F">
        <w:rPr>
          <w:sz w:val="22"/>
          <w:szCs w:val="22"/>
        </w:rPr>
        <w:t xml:space="preserve">Mittelmark, M. B. (2000). </w:t>
      </w:r>
      <w:hyperlink r:id="rId72" w:history="1">
        <w:r w:rsidRPr="00CD37E2">
          <w:rPr>
            <w:rStyle w:val="Hipersaitas"/>
            <w:bCs/>
            <w:color w:val="auto"/>
            <w:sz w:val="22"/>
            <w:szCs w:val="22"/>
            <w:u w:val="none"/>
          </w:rPr>
          <w:t>Benchmarking for investment for health.</w:t>
        </w:r>
      </w:hyperlink>
      <w:r w:rsidRPr="00CD37E2">
        <w:rPr>
          <w:sz w:val="22"/>
          <w:szCs w:val="22"/>
        </w:rPr>
        <w:br/>
      </w:r>
      <w:r w:rsidRPr="00CD37E2">
        <w:rPr>
          <w:i/>
          <w:sz w:val="22"/>
          <w:szCs w:val="22"/>
        </w:rPr>
        <w:t>Promotion &amp; education, 7 (2).</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Moksleivių sveikatos ugdymas ir stiprinimas: dabartis ir perspektyvos. (2001). Konferencijos medžiaga. Vilnius.</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lastRenderedPageBreak/>
        <w:t xml:space="preserve">Nag, R., Hambrick, D., C., Chen, M.-J. </w:t>
      </w:r>
      <w:r w:rsidRPr="00EB426F">
        <w:rPr>
          <w:i/>
          <w:iCs/>
          <w:sz w:val="22"/>
          <w:szCs w:val="22"/>
        </w:rPr>
        <w:t>What is strategic management, really? Inductive derivation of a consensus definition of the field</w:t>
      </w:r>
      <w:r w:rsidRPr="00EB426F">
        <w:rPr>
          <w:sz w:val="22"/>
          <w:szCs w:val="22"/>
        </w:rPr>
        <w:t>. Strategic Management Journal. Volume 28, Issue 9, pages 935–955, September 2007</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Navin, G. (1998). </w:t>
      </w:r>
      <w:r w:rsidRPr="00CD37E2">
        <w:rPr>
          <w:i/>
          <w:sz w:val="22"/>
          <w:szCs w:val="22"/>
        </w:rPr>
        <w:t>Strategic management for government agiencies: an institutional approach for developing and transition economies</w:t>
      </w:r>
      <w:r w:rsidRPr="00EB426F">
        <w:rPr>
          <w:sz w:val="22"/>
          <w:szCs w:val="22"/>
        </w:rPr>
        <w:t>. Wascington: the World Bank.</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Norkus, A. (2009). </w:t>
      </w:r>
      <w:r w:rsidRPr="00CD37E2">
        <w:rPr>
          <w:i/>
          <w:sz w:val="22"/>
          <w:szCs w:val="22"/>
        </w:rPr>
        <w:t>Diabeto kontrolė: profilaktikos principai, efektyvių ankstyvosios diagnostikos ir gydymo technologijų įgyvendinimo Lietuvoje galimybės</w:t>
      </w:r>
      <w:r w:rsidRPr="00EB426F">
        <w:rPr>
          <w:sz w:val="22"/>
          <w:szCs w:val="22"/>
        </w:rPr>
        <w:t>. Nacionalinės sveikatos tarybos metinis pranešimas 2008. Vilnius.</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Ovhed I. (1998). </w:t>
      </w:r>
      <w:r w:rsidRPr="00CD37E2">
        <w:rPr>
          <w:i/>
          <w:sz w:val="22"/>
          <w:szCs w:val="22"/>
        </w:rPr>
        <w:t xml:space="preserve">Primary care as an arena for primary, secondary and tertiary cardiovascular disease prevention. </w:t>
      </w:r>
      <w:r w:rsidRPr="00EB426F">
        <w:rPr>
          <w:sz w:val="22"/>
          <w:szCs w:val="22"/>
        </w:rPr>
        <w:t>Lund university. Malmo.</w:t>
      </w:r>
    </w:p>
    <w:p w:rsidR="00995BE0" w:rsidRPr="00EB426F" w:rsidRDefault="00995BE0" w:rsidP="00C7610A">
      <w:pPr>
        <w:numPr>
          <w:ilvl w:val="0"/>
          <w:numId w:val="16"/>
        </w:numPr>
        <w:tabs>
          <w:tab w:val="left" w:pos="480"/>
          <w:tab w:val="left" w:pos="851"/>
        </w:tabs>
        <w:ind w:left="240" w:hanging="240"/>
        <w:jc w:val="both"/>
        <w:rPr>
          <w:sz w:val="22"/>
          <w:szCs w:val="22"/>
        </w:rPr>
      </w:pPr>
      <w:r w:rsidRPr="00CD37E2">
        <w:rPr>
          <w:i/>
          <w:sz w:val="22"/>
          <w:szCs w:val="22"/>
        </w:rPr>
        <w:t>Pagyvenusių žmonių sveikatos stiprinimas</w:t>
      </w:r>
      <w:r w:rsidRPr="00EB426F">
        <w:rPr>
          <w:sz w:val="22"/>
          <w:szCs w:val="22"/>
        </w:rPr>
        <w:t>. (2008). Valstybinis aplinkos sveikatos centras. Informacinis  metodinis leidinys. Vilnius.</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Parson</w:t>
      </w:r>
      <w:r>
        <w:rPr>
          <w:sz w:val="22"/>
          <w:szCs w:val="22"/>
        </w:rPr>
        <w:t>s</w:t>
      </w:r>
      <w:r w:rsidRPr="00EB426F">
        <w:rPr>
          <w:sz w:val="22"/>
          <w:szCs w:val="22"/>
        </w:rPr>
        <w:t xml:space="preserve">, W. (2001). </w:t>
      </w:r>
      <w:r w:rsidRPr="00EB426F">
        <w:rPr>
          <w:i/>
          <w:iCs/>
          <w:sz w:val="22"/>
          <w:szCs w:val="22"/>
        </w:rPr>
        <w:t>Viešoji politika</w:t>
      </w:r>
      <w:r>
        <w:rPr>
          <w:i/>
          <w:iCs/>
          <w:sz w:val="22"/>
          <w:szCs w:val="22"/>
        </w:rPr>
        <w:t>: politikos analizės teorijos ir praktikos įvadas</w:t>
      </w:r>
      <w:r w:rsidRPr="00EB426F">
        <w:rPr>
          <w:i/>
          <w:iCs/>
          <w:sz w:val="22"/>
          <w:szCs w:val="22"/>
        </w:rPr>
        <w:t xml:space="preserve">. </w:t>
      </w:r>
      <w:r w:rsidRPr="00EB426F">
        <w:rPr>
          <w:sz w:val="22"/>
          <w:szCs w:val="22"/>
        </w:rPr>
        <w:t>Vilnius: Eugrimas.</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Petrauskienė, A. (2008). </w:t>
      </w:r>
      <w:r w:rsidRPr="00EB426F">
        <w:rPr>
          <w:i/>
          <w:iCs/>
          <w:sz w:val="22"/>
          <w:szCs w:val="22"/>
        </w:rPr>
        <w:t>Mokyklos mediko  profesinio vaidmens kompleksiškumas ir raida ugdant mokinių sveikatą</w:t>
      </w:r>
      <w:r w:rsidRPr="00EB426F">
        <w:rPr>
          <w:sz w:val="22"/>
          <w:szCs w:val="22"/>
        </w:rPr>
        <w:t>. Daktaro disertacija. Kaunas.</w:t>
      </w:r>
    </w:p>
    <w:p w:rsidR="00995BE0" w:rsidRPr="00EB426F" w:rsidRDefault="00995BE0" w:rsidP="00C7610A">
      <w:pPr>
        <w:pStyle w:val="ListParagraph1"/>
        <w:numPr>
          <w:ilvl w:val="0"/>
          <w:numId w:val="16"/>
        </w:numPr>
        <w:tabs>
          <w:tab w:val="left" w:pos="480"/>
          <w:tab w:val="left" w:pos="851"/>
        </w:tabs>
        <w:ind w:left="240" w:hanging="240"/>
        <w:contextualSpacing w:val="0"/>
        <w:jc w:val="both"/>
        <w:rPr>
          <w:sz w:val="22"/>
          <w:szCs w:val="22"/>
          <w:lang w:val="en-GB"/>
        </w:rPr>
      </w:pPr>
      <w:r w:rsidRPr="00EB426F">
        <w:rPr>
          <w:sz w:val="22"/>
          <w:szCs w:val="22"/>
          <w:lang w:val="en-GB"/>
        </w:rPr>
        <w:t xml:space="preserve">Pickett W et al. (2002). Multiple risk behaviours and injury: an international study of youth in 12 countries. </w:t>
      </w:r>
      <w:r w:rsidRPr="00CD37E2">
        <w:rPr>
          <w:i/>
          <w:sz w:val="22"/>
          <w:szCs w:val="22"/>
          <w:lang w:val="en-GB"/>
        </w:rPr>
        <w:t>Archives of Pediatric and Adolescent Medicine, 156(8):886–893.</w:t>
      </w:r>
    </w:p>
    <w:p w:rsidR="00995BE0" w:rsidRPr="00EB426F" w:rsidRDefault="00995BE0" w:rsidP="00C7610A">
      <w:pPr>
        <w:pStyle w:val="ListParagraph1"/>
        <w:numPr>
          <w:ilvl w:val="0"/>
          <w:numId w:val="16"/>
        </w:numPr>
        <w:tabs>
          <w:tab w:val="left" w:pos="480"/>
          <w:tab w:val="left" w:pos="851"/>
        </w:tabs>
        <w:ind w:left="240" w:hanging="240"/>
        <w:contextualSpacing w:val="0"/>
        <w:jc w:val="both"/>
        <w:rPr>
          <w:sz w:val="22"/>
          <w:szCs w:val="22"/>
          <w:lang w:val="en-GB"/>
        </w:rPr>
      </w:pPr>
      <w:r w:rsidRPr="00EB426F">
        <w:rPr>
          <w:sz w:val="22"/>
          <w:szCs w:val="22"/>
        </w:rPr>
        <w:t xml:space="preserve">Pietroni, P. (1991). </w:t>
      </w:r>
      <w:r w:rsidRPr="00EB426F">
        <w:rPr>
          <w:i/>
          <w:iCs/>
          <w:sz w:val="22"/>
          <w:szCs w:val="22"/>
        </w:rPr>
        <w:t>Greening of Medicine</w:t>
      </w:r>
      <w:r w:rsidRPr="00EB426F">
        <w:rPr>
          <w:sz w:val="22"/>
          <w:szCs w:val="22"/>
        </w:rPr>
        <w:t>. London: Trafalgar Square.</w:t>
      </w:r>
    </w:p>
    <w:p w:rsidR="00995BE0" w:rsidRPr="00767A3B"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CD37E2">
        <w:rPr>
          <w:rFonts w:ascii="TimesLT Baltic" w:hAnsi="TimesLT Baltic"/>
          <w:i/>
        </w:rPr>
        <w:t>Pirmasis reformų dešimtmetis</w:t>
      </w:r>
      <w:r w:rsidRPr="00CD37E2">
        <w:rPr>
          <w:rFonts w:ascii="TimesLT" w:hAnsi="TimesLT"/>
          <w:i/>
        </w:rPr>
        <w:t xml:space="preserve"> </w:t>
      </w:r>
      <w:r>
        <w:rPr>
          <w:rFonts w:ascii="TimesLT" w:hAnsi="TimesLT"/>
        </w:rPr>
        <w:t>(</w:t>
      </w:r>
      <w:r w:rsidRPr="00884BD2">
        <w:rPr>
          <w:rFonts w:ascii="TimesLT" w:hAnsi="TimesLT"/>
        </w:rPr>
        <w:t>2000</w:t>
      </w:r>
      <w:r>
        <w:rPr>
          <w:rFonts w:ascii="TimesLT" w:hAnsi="TimesLT"/>
        </w:rPr>
        <w:t>)</w:t>
      </w:r>
      <w:r w:rsidRPr="00884BD2">
        <w:rPr>
          <w:rFonts w:ascii="TimesLT" w:hAnsi="TimesLT"/>
        </w:rPr>
        <w:t>. Sveikatos ekonomikos centras, Vilnius</w:t>
      </w:r>
      <w:r>
        <w:rPr>
          <w:rFonts w:ascii="TimesLT" w:hAnsi="TimesLT"/>
        </w:rPr>
        <w:t>.</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CD37E2">
        <w:rPr>
          <w:i/>
          <w:sz w:val="22"/>
          <w:szCs w:val="22"/>
        </w:rPr>
        <w:t xml:space="preserve">Pirmoji Europos sveikatą stiprinančių mokyklų konferencija „Sveikatą stiprinanti mokykla – investicija į mokymą, sveikatą ir demokratiją“ </w:t>
      </w:r>
      <w:r w:rsidRPr="00EB426F">
        <w:rPr>
          <w:sz w:val="22"/>
          <w:szCs w:val="22"/>
        </w:rPr>
        <w:t>(1997). Konferencijos rezoliucija. Graikija.</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Pollitt, C., Bouckaert, G. (2000). Public Management Reform. Oxford. UK: Oxford University Press.</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Porter M. E. (1998). </w:t>
      </w:r>
      <w:r w:rsidRPr="00EB426F">
        <w:rPr>
          <w:i/>
          <w:iCs/>
          <w:sz w:val="22"/>
          <w:szCs w:val="22"/>
        </w:rPr>
        <w:t>The competitive strategy</w:t>
      </w:r>
      <w:r w:rsidRPr="00EB426F">
        <w:rPr>
          <w:sz w:val="22"/>
          <w:szCs w:val="22"/>
        </w:rPr>
        <w:t xml:space="preserve">. </w:t>
      </w:r>
      <w:r w:rsidRPr="00EB426F">
        <w:rPr>
          <w:i/>
          <w:iCs/>
          <w:sz w:val="22"/>
          <w:szCs w:val="22"/>
        </w:rPr>
        <w:t>Techniques for analyzing industries and competitors</w:t>
      </w:r>
      <w:r w:rsidRPr="00EB426F">
        <w:rPr>
          <w:sz w:val="22"/>
          <w:szCs w:val="22"/>
        </w:rPr>
        <w:t>. New York: The Free Press.</w:t>
      </w:r>
    </w:p>
    <w:p w:rsidR="00995BE0" w:rsidRPr="00EB426F" w:rsidRDefault="00995BE0" w:rsidP="00C7610A">
      <w:pPr>
        <w:numPr>
          <w:ilvl w:val="0"/>
          <w:numId w:val="16"/>
        </w:numPr>
        <w:tabs>
          <w:tab w:val="left" w:pos="480"/>
          <w:tab w:val="left" w:pos="851"/>
        </w:tabs>
        <w:ind w:left="240" w:hanging="240"/>
        <w:jc w:val="both"/>
        <w:rPr>
          <w:sz w:val="22"/>
          <w:szCs w:val="22"/>
        </w:rPr>
      </w:pPr>
      <w:r w:rsidRPr="00CD37E2">
        <w:rPr>
          <w:i/>
          <w:sz w:val="22"/>
          <w:szCs w:val="22"/>
        </w:rPr>
        <w:t>Prevencija ir sveikos gyvensenos propagavimas</w:t>
      </w:r>
      <w:r w:rsidRPr="00EB426F">
        <w:rPr>
          <w:sz w:val="22"/>
          <w:szCs w:val="22"/>
        </w:rPr>
        <w:t>. (2011). Sveikata – ES. Europos Sąjungos por</w:t>
      </w:r>
      <w:r>
        <w:rPr>
          <w:sz w:val="22"/>
          <w:szCs w:val="22"/>
        </w:rPr>
        <w:t>talas apie sveikatos apsaugą [i</w:t>
      </w:r>
      <w:r w:rsidRPr="00EB426F">
        <w:rPr>
          <w:sz w:val="22"/>
          <w:szCs w:val="22"/>
        </w:rPr>
        <w:t>nteraktyvus], [žiūrėta 2011-02-28]. Prieiga per internetą: http://ec.europa.eu/health-eu/health_in_the_eu/prevention_and_promotion/index_lt.htm</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CD37E2">
        <w:rPr>
          <w:i/>
          <w:sz w:val="22"/>
          <w:szCs w:val="22"/>
        </w:rPr>
        <w:t>Primary Health Care – Now more than ever</w:t>
      </w:r>
      <w:r w:rsidRPr="00EB426F">
        <w:rPr>
          <w:sz w:val="22"/>
          <w:szCs w:val="22"/>
        </w:rPr>
        <w:t>. (2008) WHO Report. WHO.</w:t>
      </w:r>
    </w:p>
    <w:p w:rsidR="00995BE0" w:rsidRPr="002A0FD3"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CD37E2">
        <w:rPr>
          <w:i/>
          <w:sz w:val="22"/>
          <w:szCs w:val="22"/>
        </w:rPr>
        <w:t>Primary Health Care in the Northern Dimension Countries</w:t>
      </w:r>
      <w:r w:rsidRPr="00EB426F">
        <w:rPr>
          <w:sz w:val="22"/>
          <w:szCs w:val="22"/>
        </w:rPr>
        <w:t>. (2008). NDPHS Expert Group on Primary Health Care. Th</w:t>
      </w:r>
      <w:r>
        <w:rPr>
          <w:sz w:val="22"/>
          <w:szCs w:val="22"/>
        </w:rPr>
        <w:t>ematic Report DRAFT080520, No 4</w:t>
      </w:r>
      <w:r w:rsidRPr="00EB426F">
        <w:rPr>
          <w:sz w:val="22"/>
          <w:szCs w:val="22"/>
        </w:rPr>
        <w:t xml:space="preserve"> [</w:t>
      </w:r>
      <w:r>
        <w:rPr>
          <w:sz w:val="22"/>
          <w:szCs w:val="22"/>
        </w:rPr>
        <w:t>i</w:t>
      </w:r>
      <w:r w:rsidRPr="00EB426F">
        <w:rPr>
          <w:sz w:val="22"/>
          <w:szCs w:val="22"/>
        </w:rPr>
        <w:t xml:space="preserve">nteraktyvus] [žiūrėta 2011-02-14]. Prieiga per internetą: </w:t>
      </w:r>
      <w:hyperlink r:id="rId73" w:history="1">
        <w:r w:rsidRPr="00EB426F">
          <w:rPr>
            <w:rStyle w:val="Hipersaitas"/>
            <w:sz w:val="22"/>
            <w:szCs w:val="22"/>
          </w:rPr>
          <w:t>www.ndphs.org/?database,view,paper,21</w:t>
        </w:r>
      </w:hyperlink>
      <w:r w:rsidRPr="00EB426F">
        <w:rPr>
          <w:color w:val="004C8A"/>
          <w:sz w:val="22"/>
          <w:szCs w:val="22"/>
        </w:rPr>
        <w:t xml:space="preserve">. </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414B5D">
        <w:rPr>
          <w:sz w:val="22"/>
          <w:szCs w:val="22"/>
        </w:rPr>
        <w:t xml:space="preserve">Rainey, H. (2003). </w:t>
      </w:r>
      <w:r w:rsidRPr="00CD37E2">
        <w:rPr>
          <w:i/>
          <w:sz w:val="22"/>
          <w:szCs w:val="22"/>
        </w:rPr>
        <w:t>Understanding and Managing Public Organizations</w:t>
      </w:r>
      <w:r w:rsidRPr="00414B5D">
        <w:rPr>
          <w:sz w:val="22"/>
          <w:szCs w:val="22"/>
        </w:rPr>
        <w:t>. 3rd ed. – San Francisco: Jossey-Bass.</w:t>
      </w:r>
    </w:p>
    <w:p w:rsidR="00995BE0" w:rsidRPr="00EB426F" w:rsidRDefault="00995BE0" w:rsidP="00C7610A">
      <w:pPr>
        <w:numPr>
          <w:ilvl w:val="0"/>
          <w:numId w:val="16"/>
        </w:numPr>
        <w:tabs>
          <w:tab w:val="left" w:pos="480"/>
          <w:tab w:val="left" w:pos="709"/>
          <w:tab w:val="left" w:pos="851"/>
        </w:tabs>
        <w:autoSpaceDE w:val="0"/>
        <w:autoSpaceDN w:val="0"/>
        <w:adjustRightInd w:val="0"/>
        <w:ind w:left="240" w:hanging="240"/>
        <w:jc w:val="both"/>
        <w:rPr>
          <w:i/>
          <w:iCs/>
          <w:sz w:val="22"/>
          <w:szCs w:val="22"/>
        </w:rPr>
      </w:pPr>
      <w:r w:rsidRPr="00EB426F">
        <w:rPr>
          <w:sz w:val="22"/>
          <w:szCs w:val="22"/>
        </w:rPr>
        <w:t xml:space="preserve">Raipa, A. (1999). Sprendimų priėmimo teorijos. Biurokratijos vieta ir vaidmuo demokratiškai įgyvendinant sprendimus. </w:t>
      </w:r>
      <w:r w:rsidRPr="00CD37E2">
        <w:rPr>
          <w:i/>
          <w:sz w:val="22"/>
          <w:szCs w:val="22"/>
        </w:rPr>
        <w:t>Viešasis administravimas</w:t>
      </w:r>
      <w:r w:rsidRPr="00EB426F">
        <w:rPr>
          <w:sz w:val="22"/>
          <w:szCs w:val="22"/>
        </w:rPr>
        <w:t>.</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Rapolevičiūtė, A. (2006). Visuomenės sveikatos sistemos pertvarka įgauna pagreitį. </w:t>
      </w:r>
      <w:r w:rsidRPr="00EB426F">
        <w:rPr>
          <w:i/>
          <w:iCs/>
          <w:sz w:val="22"/>
          <w:szCs w:val="22"/>
        </w:rPr>
        <w:t>Gydymo menas</w:t>
      </w:r>
      <w:r w:rsidRPr="00EB426F">
        <w:rPr>
          <w:sz w:val="22"/>
          <w:szCs w:val="22"/>
        </w:rPr>
        <w:t xml:space="preserve"> [interaktyvus], [žiūrėta 2010-05-03]. Prieiga per internetą: </w:t>
      </w:r>
      <w:hyperlink r:id="rId74" w:history="1">
        <w:r w:rsidRPr="00EB426F">
          <w:rPr>
            <w:rStyle w:val="Hipersaitas"/>
            <w:sz w:val="22"/>
            <w:szCs w:val="22"/>
          </w:rPr>
          <w:t>http://www.medicine.lt/index.php?pagrid=leidiniai&amp;strid=2883&amp;subid=gm</w:t>
        </w:r>
      </w:hyperlink>
      <w:r w:rsidRPr="00EB426F">
        <w:rPr>
          <w:sz w:val="22"/>
          <w:szCs w:val="22"/>
        </w:rPr>
        <w:t>.</w:t>
      </w:r>
    </w:p>
    <w:p w:rsidR="00995BE0" w:rsidRPr="00CD37E2" w:rsidRDefault="00995BE0" w:rsidP="00C7610A">
      <w:pPr>
        <w:numPr>
          <w:ilvl w:val="0"/>
          <w:numId w:val="16"/>
        </w:numPr>
        <w:tabs>
          <w:tab w:val="left" w:pos="480"/>
          <w:tab w:val="left" w:pos="851"/>
        </w:tabs>
        <w:autoSpaceDE w:val="0"/>
        <w:autoSpaceDN w:val="0"/>
        <w:adjustRightInd w:val="0"/>
        <w:ind w:left="240" w:hanging="240"/>
        <w:jc w:val="both"/>
        <w:rPr>
          <w:i/>
          <w:sz w:val="22"/>
          <w:szCs w:val="22"/>
        </w:rPr>
      </w:pPr>
      <w:r w:rsidRPr="00EB426F">
        <w:rPr>
          <w:sz w:val="22"/>
          <w:szCs w:val="22"/>
        </w:rPr>
        <w:t xml:space="preserve">Ratkevičienė, V., Jankūnienė, J. (1998). Požiūrių į organizacijos strategijos kūrimą vertinimas. </w:t>
      </w:r>
      <w:r w:rsidRPr="00CD37E2">
        <w:rPr>
          <w:i/>
          <w:sz w:val="22"/>
          <w:szCs w:val="22"/>
        </w:rPr>
        <w:t>Organizacijų vadyba: sisteminiai tyrimai 8: 113-120.</w:t>
      </w:r>
    </w:p>
    <w:p w:rsidR="00995BE0" w:rsidRPr="00EC010E" w:rsidRDefault="00995BE0" w:rsidP="00C7610A">
      <w:pPr>
        <w:numPr>
          <w:ilvl w:val="0"/>
          <w:numId w:val="16"/>
        </w:numPr>
        <w:tabs>
          <w:tab w:val="left" w:pos="480"/>
          <w:tab w:val="left" w:pos="851"/>
        </w:tabs>
        <w:ind w:left="240" w:hanging="240"/>
        <w:jc w:val="both"/>
        <w:rPr>
          <w:i/>
          <w:sz w:val="22"/>
          <w:szCs w:val="22"/>
          <w:lang w:val="sv-SE"/>
        </w:rPr>
      </w:pPr>
      <w:r w:rsidRPr="00EB426F">
        <w:rPr>
          <w:sz w:val="22"/>
          <w:szCs w:val="22"/>
          <w:lang w:val="en-GB"/>
        </w:rPr>
        <w:t xml:space="preserve">Richardson, B. (1994). Comprehensive approach to strategic management: leading across the strategic management domain. </w:t>
      </w:r>
      <w:r w:rsidRPr="00EC010E">
        <w:rPr>
          <w:i/>
          <w:sz w:val="22"/>
          <w:szCs w:val="22"/>
          <w:lang w:val="sv-SE"/>
        </w:rPr>
        <w:t>Management Decision 32 (8).</w:t>
      </w:r>
    </w:p>
    <w:p w:rsidR="00995BE0" w:rsidRPr="00EC010E" w:rsidRDefault="00995BE0" w:rsidP="00C7610A">
      <w:pPr>
        <w:pStyle w:val="ListParagraph1"/>
        <w:numPr>
          <w:ilvl w:val="0"/>
          <w:numId w:val="16"/>
        </w:numPr>
        <w:tabs>
          <w:tab w:val="left" w:pos="480"/>
          <w:tab w:val="left" w:pos="851"/>
        </w:tabs>
        <w:ind w:left="240" w:hanging="240"/>
        <w:contextualSpacing w:val="0"/>
        <w:jc w:val="both"/>
        <w:rPr>
          <w:i/>
          <w:sz w:val="22"/>
          <w:szCs w:val="22"/>
          <w:lang w:val="en-GB"/>
        </w:rPr>
      </w:pPr>
      <w:r w:rsidRPr="00EB426F">
        <w:rPr>
          <w:sz w:val="22"/>
          <w:szCs w:val="22"/>
        </w:rPr>
        <w:t>Rohde</w:t>
      </w:r>
      <w:r>
        <w:rPr>
          <w:sz w:val="22"/>
          <w:szCs w:val="22"/>
        </w:rPr>
        <w:t>,</w:t>
      </w:r>
      <w:r w:rsidRPr="00EB426F">
        <w:rPr>
          <w:sz w:val="22"/>
          <w:szCs w:val="22"/>
        </w:rPr>
        <w:t xml:space="preserve"> P</w:t>
      </w:r>
      <w:r>
        <w:rPr>
          <w:sz w:val="22"/>
          <w:szCs w:val="22"/>
        </w:rPr>
        <w:t>.</w:t>
      </w:r>
      <w:r w:rsidRPr="00EB426F">
        <w:rPr>
          <w:sz w:val="22"/>
          <w:szCs w:val="22"/>
        </w:rPr>
        <w:t>, Lewinsohn</w:t>
      </w:r>
      <w:r>
        <w:rPr>
          <w:sz w:val="22"/>
          <w:szCs w:val="22"/>
        </w:rPr>
        <w:t>,</w:t>
      </w:r>
      <w:r w:rsidRPr="00EB426F">
        <w:rPr>
          <w:sz w:val="22"/>
          <w:szCs w:val="22"/>
        </w:rPr>
        <w:t xml:space="preserve"> P</w:t>
      </w:r>
      <w:r>
        <w:rPr>
          <w:sz w:val="22"/>
          <w:szCs w:val="22"/>
        </w:rPr>
        <w:t xml:space="preserve">. </w:t>
      </w:r>
      <w:r w:rsidRPr="00EB426F">
        <w:rPr>
          <w:sz w:val="22"/>
          <w:szCs w:val="22"/>
        </w:rPr>
        <w:t>M, Seeley</w:t>
      </w:r>
      <w:r>
        <w:rPr>
          <w:sz w:val="22"/>
          <w:szCs w:val="22"/>
        </w:rPr>
        <w:t>,</w:t>
      </w:r>
      <w:r w:rsidRPr="00EB426F">
        <w:rPr>
          <w:sz w:val="22"/>
          <w:szCs w:val="22"/>
        </w:rPr>
        <w:t xml:space="preserve"> J</w:t>
      </w:r>
      <w:r>
        <w:rPr>
          <w:sz w:val="22"/>
          <w:szCs w:val="22"/>
        </w:rPr>
        <w:t xml:space="preserve">. </w:t>
      </w:r>
      <w:r w:rsidRPr="00EB426F">
        <w:rPr>
          <w:sz w:val="22"/>
          <w:szCs w:val="22"/>
        </w:rPr>
        <w:t xml:space="preserve">R. </w:t>
      </w:r>
      <w:r>
        <w:rPr>
          <w:sz w:val="22"/>
          <w:szCs w:val="22"/>
        </w:rPr>
        <w:t>(</w:t>
      </w:r>
      <w:r w:rsidRPr="00AF3310">
        <w:rPr>
          <w:sz w:val="22"/>
          <w:szCs w:val="22"/>
          <w:lang w:val="sv-SE"/>
        </w:rPr>
        <w:t xml:space="preserve">1995). </w:t>
      </w:r>
      <w:r w:rsidRPr="00EB426F">
        <w:rPr>
          <w:sz w:val="22"/>
          <w:szCs w:val="22"/>
          <w:lang w:val="en-GB"/>
        </w:rPr>
        <w:t xml:space="preserve">Psychiatric comorbidity with problematic alcohol use in high school students. </w:t>
      </w:r>
      <w:r w:rsidRPr="00EC010E">
        <w:rPr>
          <w:i/>
          <w:sz w:val="22"/>
          <w:szCs w:val="22"/>
          <w:lang w:val="en-GB"/>
        </w:rPr>
        <w:t>Journal of the American Academy of Child and Adolescent Psychiatry</w:t>
      </w:r>
      <w:r w:rsidRPr="00EB426F">
        <w:rPr>
          <w:sz w:val="22"/>
          <w:szCs w:val="22"/>
          <w:lang w:val="en-GB"/>
        </w:rPr>
        <w:t xml:space="preserve">, </w:t>
      </w:r>
      <w:r w:rsidRPr="00EC010E">
        <w:rPr>
          <w:i/>
          <w:sz w:val="22"/>
          <w:szCs w:val="22"/>
          <w:lang w:val="en-GB"/>
        </w:rPr>
        <w:t>35:101–109.</w:t>
      </w:r>
    </w:p>
    <w:p w:rsidR="00995BE0" w:rsidRPr="00EB426F" w:rsidRDefault="00995BE0" w:rsidP="00C7610A">
      <w:pPr>
        <w:pStyle w:val="ListParagraph1"/>
        <w:numPr>
          <w:ilvl w:val="0"/>
          <w:numId w:val="16"/>
        </w:numPr>
        <w:tabs>
          <w:tab w:val="left" w:pos="480"/>
          <w:tab w:val="left" w:pos="851"/>
        </w:tabs>
        <w:ind w:left="240" w:hanging="240"/>
        <w:contextualSpacing w:val="0"/>
        <w:jc w:val="both"/>
        <w:rPr>
          <w:sz w:val="22"/>
          <w:szCs w:val="22"/>
          <w:lang w:val="en-GB"/>
        </w:rPr>
      </w:pPr>
      <w:r w:rsidRPr="00EB426F">
        <w:rPr>
          <w:sz w:val="22"/>
          <w:szCs w:val="22"/>
        </w:rPr>
        <w:t xml:space="preserve">Saloner, G., Shepard, A., Podolny, J. (2001). </w:t>
      </w:r>
      <w:r w:rsidRPr="00EC010E">
        <w:rPr>
          <w:i/>
          <w:sz w:val="22"/>
          <w:szCs w:val="22"/>
        </w:rPr>
        <w:t>Strategic Management</w:t>
      </w:r>
      <w:r w:rsidRPr="00EB426F">
        <w:rPr>
          <w:sz w:val="22"/>
          <w:szCs w:val="22"/>
        </w:rPr>
        <w:t>. John Wiley</w:t>
      </w:r>
      <w:r w:rsidRPr="00EB426F">
        <w:rPr>
          <w:sz w:val="22"/>
          <w:szCs w:val="22"/>
          <w:lang w:val="en-US"/>
        </w:rPr>
        <w:t>&amp;Sons, Inc.</w:t>
      </w:r>
    </w:p>
    <w:p w:rsidR="00995BE0" w:rsidRPr="00EB426F" w:rsidRDefault="00995BE0" w:rsidP="00C7610A">
      <w:pPr>
        <w:pStyle w:val="ListParagraph1"/>
        <w:numPr>
          <w:ilvl w:val="0"/>
          <w:numId w:val="16"/>
        </w:numPr>
        <w:tabs>
          <w:tab w:val="left" w:pos="480"/>
          <w:tab w:val="left" w:pos="851"/>
        </w:tabs>
        <w:ind w:left="240" w:hanging="240"/>
        <w:contextualSpacing w:val="0"/>
        <w:jc w:val="both"/>
        <w:rPr>
          <w:sz w:val="22"/>
          <w:szCs w:val="22"/>
          <w:lang w:val="en-GB"/>
        </w:rPr>
      </w:pPr>
      <w:r w:rsidRPr="00EB426F">
        <w:rPr>
          <w:sz w:val="22"/>
          <w:szCs w:val="22"/>
        </w:rPr>
        <w:t xml:space="preserve">Sanchez, R., Heene, A. (2004). </w:t>
      </w:r>
      <w:r w:rsidRPr="00EC010E">
        <w:rPr>
          <w:i/>
          <w:sz w:val="22"/>
          <w:szCs w:val="22"/>
        </w:rPr>
        <w:t>The New Strategic Management. Organization, Competition and Competence.</w:t>
      </w:r>
      <w:r w:rsidRPr="00EB426F">
        <w:rPr>
          <w:sz w:val="22"/>
          <w:szCs w:val="22"/>
        </w:rPr>
        <w:t xml:space="preserve"> USA</w:t>
      </w:r>
      <w:r>
        <w:rPr>
          <w:sz w:val="22"/>
          <w:szCs w:val="22"/>
        </w:rPr>
        <w:t>.</w:t>
      </w:r>
    </w:p>
    <w:p w:rsidR="00995BE0" w:rsidRPr="00EB426F" w:rsidRDefault="00995BE0" w:rsidP="00C7610A">
      <w:pPr>
        <w:pStyle w:val="ListParagraph1"/>
        <w:numPr>
          <w:ilvl w:val="0"/>
          <w:numId w:val="16"/>
        </w:numPr>
        <w:tabs>
          <w:tab w:val="left" w:pos="480"/>
          <w:tab w:val="left" w:pos="851"/>
        </w:tabs>
        <w:ind w:left="240" w:hanging="240"/>
        <w:contextualSpacing w:val="0"/>
        <w:jc w:val="both"/>
        <w:rPr>
          <w:sz w:val="22"/>
          <w:szCs w:val="22"/>
        </w:rPr>
      </w:pPr>
      <w:r w:rsidRPr="00EB426F">
        <w:rPr>
          <w:sz w:val="22"/>
          <w:szCs w:val="22"/>
        </w:rPr>
        <w:t>Sharplin, A. (1985</w:t>
      </w:r>
      <w:r w:rsidRPr="00EC010E">
        <w:rPr>
          <w:i/>
          <w:sz w:val="22"/>
          <w:szCs w:val="22"/>
        </w:rPr>
        <w:t>). Strategic management</w:t>
      </w:r>
      <w:r w:rsidRPr="00EB426F">
        <w:rPr>
          <w:sz w:val="22"/>
          <w:szCs w:val="22"/>
        </w:rPr>
        <w:t>. McGraw – Hill. New York.</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Sketerskienė, R. (2009). </w:t>
      </w:r>
      <w:r w:rsidRPr="00EB426F">
        <w:rPr>
          <w:i/>
          <w:iCs/>
          <w:sz w:val="22"/>
          <w:szCs w:val="22"/>
        </w:rPr>
        <w:t>Sveikatos priežiūra mokykloje: reformos lūkesčiai ir realijos</w:t>
      </w:r>
      <w:r w:rsidRPr="00EB426F">
        <w:rPr>
          <w:sz w:val="22"/>
          <w:szCs w:val="22"/>
        </w:rPr>
        <w:t>. Sveikatos priežiūros organizavimas ugdymo įstaigose: dabartis ir perspektyvos. Konferencinė medžiaga. Ignalina.</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Smailyte G., Kurtinaitis J. (2008). Cancer mortality differences among urban and rural residents in Lithuania. </w:t>
      </w:r>
      <w:r w:rsidRPr="00EC010E">
        <w:rPr>
          <w:i/>
          <w:sz w:val="22"/>
          <w:szCs w:val="22"/>
        </w:rPr>
        <w:t>BMC Public health</w:t>
      </w:r>
      <w:r w:rsidRPr="00EB426F">
        <w:rPr>
          <w:sz w:val="22"/>
          <w:szCs w:val="22"/>
        </w:rPr>
        <w:t>.</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Smilga, E. (1997). Strateginio valdymo galimybės: ar visiškai suvoktos ir panaudojamos. </w:t>
      </w:r>
      <w:r w:rsidRPr="00EC010E">
        <w:rPr>
          <w:iCs/>
          <w:sz w:val="22"/>
          <w:szCs w:val="22"/>
        </w:rPr>
        <w:t>(The facilities of strategic management: are they clean recognized and realized)</w:t>
      </w:r>
      <w:r w:rsidRPr="00EB426F">
        <w:rPr>
          <w:sz w:val="22"/>
          <w:szCs w:val="22"/>
        </w:rPr>
        <w:t xml:space="preserve">. </w:t>
      </w:r>
      <w:r w:rsidRPr="00EB426F">
        <w:rPr>
          <w:i/>
          <w:iCs/>
          <w:sz w:val="22"/>
          <w:szCs w:val="22"/>
        </w:rPr>
        <w:t>Lietuvos ūkis 10; 11</w:t>
      </w:r>
      <w:r w:rsidRPr="00EB426F">
        <w:rPr>
          <w:sz w:val="22"/>
          <w:szCs w:val="22"/>
        </w:rPr>
        <w:t>. Vilnius.</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Smilga, E., Janušonienė, K. (2003). The problems of the Public Health Keeping Strategy. </w:t>
      </w:r>
      <w:r w:rsidRPr="00EC010E">
        <w:rPr>
          <w:i/>
          <w:sz w:val="22"/>
          <w:szCs w:val="22"/>
        </w:rPr>
        <w:t>Organizacijų vadyba; sisteminiai tyrimai</w:t>
      </w:r>
      <w:r w:rsidRPr="00321FBE">
        <w:rPr>
          <w:sz w:val="22"/>
          <w:szCs w:val="22"/>
        </w:rPr>
        <w:t xml:space="preserve"> </w:t>
      </w:r>
      <w:r>
        <w:rPr>
          <w:sz w:val="22"/>
          <w:szCs w:val="22"/>
        </w:rPr>
        <w:t>(</w:t>
      </w:r>
      <w:r w:rsidRPr="00EB426F">
        <w:rPr>
          <w:sz w:val="22"/>
          <w:szCs w:val="22"/>
        </w:rPr>
        <w:t>25</w:t>
      </w:r>
      <w:r>
        <w:rPr>
          <w:sz w:val="22"/>
          <w:szCs w:val="22"/>
        </w:rPr>
        <w:t>). Kaunas: VDU.</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lastRenderedPageBreak/>
        <w:t xml:space="preserve">Smilga, E., Janušonienė, K. (2005). </w:t>
      </w:r>
      <w:r w:rsidRPr="00EC010E">
        <w:rPr>
          <w:sz w:val="22"/>
          <w:szCs w:val="22"/>
        </w:rPr>
        <w:t>Sveikatingumo koncepcija ir jos taikymas strategiškai valdomoje sveikatos apsaugos sistemoje</w:t>
      </w:r>
      <w:r w:rsidRPr="00EB426F">
        <w:rPr>
          <w:i/>
          <w:sz w:val="22"/>
          <w:szCs w:val="22"/>
        </w:rPr>
        <w:t>.</w:t>
      </w:r>
      <w:r w:rsidRPr="00EB426F">
        <w:rPr>
          <w:sz w:val="22"/>
          <w:szCs w:val="22"/>
        </w:rPr>
        <w:t xml:space="preserve"> </w:t>
      </w:r>
      <w:r w:rsidRPr="00EC010E">
        <w:rPr>
          <w:i/>
          <w:sz w:val="22"/>
          <w:szCs w:val="22"/>
        </w:rPr>
        <w:t>Tiltai</w:t>
      </w:r>
      <w:r w:rsidRPr="00EB426F">
        <w:rPr>
          <w:sz w:val="22"/>
          <w:szCs w:val="22"/>
        </w:rPr>
        <w:t xml:space="preserve"> (1).</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Smilga, E., Janušonienė, K. (2006). Galimybė taikyti strateginį valdymą sveikatos apsaugos sistemoje. </w:t>
      </w:r>
      <w:r w:rsidRPr="00EC010E">
        <w:rPr>
          <w:i/>
          <w:sz w:val="22"/>
          <w:szCs w:val="22"/>
        </w:rPr>
        <w:t>Organizacijų vadyba; sisteminiai tyrima</w:t>
      </w:r>
      <w:r w:rsidRPr="00EB426F">
        <w:rPr>
          <w:sz w:val="22"/>
          <w:szCs w:val="22"/>
        </w:rPr>
        <w:t>i. Kaunas: VDU, Nr. 40.</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Smilga, E., Janušonienė, K. (2007). Strategiškai orientuotos organizacijos veikimo principai sveikatos apsaugos sistemoje. </w:t>
      </w:r>
      <w:r w:rsidRPr="00EC010E">
        <w:rPr>
          <w:i/>
          <w:sz w:val="22"/>
          <w:szCs w:val="22"/>
        </w:rPr>
        <w:t>Organizacijų vadyba; sisteminiai tyrimai</w:t>
      </w:r>
      <w:r w:rsidRPr="00EB426F">
        <w:rPr>
          <w:sz w:val="22"/>
          <w:szCs w:val="22"/>
        </w:rPr>
        <w:t>. Kaunas: VDU, Nr. 44.</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Smilga, E., Janušonienė, K. (2009). The Process of Strategic Management Model Formation and Application in The Lithuanian Health Care System. </w:t>
      </w:r>
      <w:r w:rsidRPr="00EC010E">
        <w:rPr>
          <w:i/>
          <w:sz w:val="22"/>
          <w:szCs w:val="22"/>
        </w:rPr>
        <w:t>Ekonomika</w:t>
      </w:r>
      <w:r>
        <w:rPr>
          <w:sz w:val="22"/>
          <w:szCs w:val="22"/>
        </w:rPr>
        <w:t xml:space="preserve"> [i</w:t>
      </w:r>
      <w:r w:rsidRPr="00EB426F">
        <w:rPr>
          <w:sz w:val="22"/>
          <w:szCs w:val="22"/>
        </w:rPr>
        <w:t xml:space="preserve">nteraktyvus] [žiūrėta 2011-02-14]. Prieiga per internetą: </w:t>
      </w:r>
      <w:hyperlink r:id="rId75" w:history="1">
        <w:r w:rsidRPr="00EB426F">
          <w:rPr>
            <w:rStyle w:val="Hipersaitas"/>
            <w:sz w:val="22"/>
            <w:szCs w:val="22"/>
          </w:rPr>
          <w:t>http://www.leidykla.vu.lt/fileadmin/Ekonomika/87/124-140.pdf</w:t>
        </w:r>
      </w:hyperlink>
      <w:r w:rsidRPr="00EB426F">
        <w:rPr>
          <w:sz w:val="22"/>
          <w:szCs w:val="22"/>
        </w:rPr>
        <w:t xml:space="preserve"> </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Smilga, E., Grebliauskas, A. (2000). Lietuvos ekonomikos konkurencingumas: strateginio valdymo aspektas. </w:t>
      </w:r>
      <w:r w:rsidRPr="00EB426F">
        <w:rPr>
          <w:i/>
          <w:iCs/>
          <w:sz w:val="22"/>
          <w:szCs w:val="22"/>
        </w:rPr>
        <w:t>Organizacijų vadyba: sisteminiai tyrimai</w:t>
      </w:r>
      <w:r w:rsidRPr="00EB426F">
        <w:rPr>
          <w:sz w:val="22"/>
          <w:szCs w:val="22"/>
        </w:rPr>
        <w:t>, t. 14. Kaunas.</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Syme, S. L. (1996). To Prevent Disease: The Need For A New Appro-ach. In: D. Blane, E. Brunner, R. Wilkinson. </w:t>
      </w:r>
      <w:r w:rsidRPr="00EB426F">
        <w:rPr>
          <w:i/>
          <w:iCs/>
          <w:sz w:val="22"/>
          <w:szCs w:val="22"/>
        </w:rPr>
        <w:t>Health and Social Organization: Towards a Health policy for the 21st Century</w:t>
      </w:r>
      <w:r w:rsidRPr="00EB426F">
        <w:rPr>
          <w:sz w:val="22"/>
          <w:szCs w:val="22"/>
        </w:rPr>
        <w:t>. Lon-don: Routlage.</w:t>
      </w:r>
    </w:p>
    <w:p w:rsidR="00995BE0" w:rsidRPr="00EB426F" w:rsidRDefault="00995BE0" w:rsidP="00C7610A">
      <w:pPr>
        <w:pStyle w:val="Puslapioinaostekstas"/>
        <w:numPr>
          <w:ilvl w:val="0"/>
          <w:numId w:val="16"/>
        </w:numPr>
        <w:tabs>
          <w:tab w:val="left" w:pos="480"/>
          <w:tab w:val="left" w:pos="851"/>
        </w:tabs>
        <w:ind w:left="240" w:hanging="240"/>
        <w:jc w:val="both"/>
        <w:rPr>
          <w:i/>
          <w:iCs/>
          <w:sz w:val="22"/>
          <w:szCs w:val="22"/>
          <w:lang w:val="lt-LT"/>
        </w:rPr>
      </w:pPr>
      <w:r w:rsidRPr="00EB426F">
        <w:rPr>
          <w:sz w:val="22"/>
          <w:szCs w:val="22"/>
          <w:lang w:val="lt-LT"/>
        </w:rPr>
        <w:t>Staponkienė, J. (2004). Strateginis valdymas privataus ir viešojo sektoriaus organizacijose: pranašumai ir skirtumai.</w:t>
      </w:r>
      <w:r w:rsidRPr="00EB426F">
        <w:rPr>
          <w:i/>
          <w:iCs/>
          <w:sz w:val="22"/>
          <w:szCs w:val="22"/>
          <w:lang w:val="lt-LT"/>
        </w:rPr>
        <w:t xml:space="preserve">  Socialiniai tyrimai</w:t>
      </w:r>
      <w:r w:rsidRPr="00EB426F">
        <w:rPr>
          <w:sz w:val="22"/>
          <w:szCs w:val="22"/>
          <w:lang w:val="lt-LT"/>
        </w:rPr>
        <w:t xml:space="preserve"> </w:t>
      </w:r>
      <w:r w:rsidRPr="00EC010E">
        <w:rPr>
          <w:i/>
          <w:sz w:val="22"/>
          <w:szCs w:val="22"/>
          <w:lang w:val="lt-LT"/>
        </w:rPr>
        <w:t>1 (4).</w:t>
      </w:r>
      <w:r w:rsidRPr="00EB426F">
        <w:rPr>
          <w:sz w:val="22"/>
          <w:szCs w:val="22"/>
          <w:lang w:val="lt-LT"/>
        </w:rPr>
        <w:t xml:space="preserve"> </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Statistikos departamentas prie LR Vyriausybės</w:t>
      </w:r>
      <w:r w:rsidRPr="00EB426F">
        <w:rPr>
          <w:sz w:val="22"/>
          <w:szCs w:val="22"/>
        </w:rPr>
        <w:t xml:space="preserve"> [interaktyvus] [žiūrėta 2009-12-16]. Prieiga per internetą: </w:t>
      </w:r>
      <w:hyperlink r:id="rId76" w:history="1">
        <w:r w:rsidRPr="00EB426F">
          <w:rPr>
            <w:rStyle w:val="Hipersaitas"/>
            <w:sz w:val="22"/>
            <w:szCs w:val="22"/>
          </w:rPr>
          <w:t>http://www.stat.gov.lt/lt/</w:t>
        </w:r>
      </w:hyperlink>
      <w:r w:rsidRPr="00EB426F">
        <w:rPr>
          <w:sz w:val="22"/>
          <w:szCs w:val="22"/>
        </w:rPr>
        <w:t>.</w:t>
      </w:r>
    </w:p>
    <w:p w:rsidR="00995BE0" w:rsidRPr="00EC010E" w:rsidRDefault="00995BE0" w:rsidP="00C7610A">
      <w:pPr>
        <w:numPr>
          <w:ilvl w:val="0"/>
          <w:numId w:val="16"/>
        </w:numPr>
        <w:tabs>
          <w:tab w:val="left" w:pos="480"/>
          <w:tab w:val="left" w:pos="851"/>
        </w:tabs>
        <w:ind w:left="240" w:hanging="240"/>
        <w:jc w:val="both"/>
        <w:rPr>
          <w:i/>
          <w:sz w:val="22"/>
          <w:szCs w:val="22"/>
        </w:rPr>
      </w:pPr>
      <w:r w:rsidRPr="00EB426F">
        <w:rPr>
          <w:sz w:val="22"/>
          <w:szCs w:val="22"/>
        </w:rPr>
        <w:t>Stein, J. (1981). Contextual factors in the selection of strategi</w:t>
      </w:r>
      <w:r>
        <w:rPr>
          <w:sz w:val="22"/>
          <w:szCs w:val="22"/>
        </w:rPr>
        <w:t>c</w:t>
      </w:r>
      <w:r w:rsidRPr="00EB426F">
        <w:rPr>
          <w:sz w:val="22"/>
          <w:szCs w:val="22"/>
        </w:rPr>
        <w:t xml:space="preserve"> decision methots. </w:t>
      </w:r>
      <w:r w:rsidRPr="00EC010E">
        <w:rPr>
          <w:i/>
          <w:sz w:val="22"/>
          <w:szCs w:val="22"/>
        </w:rPr>
        <w:t>Human relations 34 (10).</w:t>
      </w:r>
    </w:p>
    <w:p w:rsidR="00995BE0" w:rsidRPr="00EB426F" w:rsidRDefault="00995BE0" w:rsidP="00C7610A">
      <w:pPr>
        <w:numPr>
          <w:ilvl w:val="0"/>
          <w:numId w:val="16"/>
        </w:numPr>
        <w:tabs>
          <w:tab w:val="left" w:pos="480"/>
          <w:tab w:val="left" w:pos="900"/>
        </w:tabs>
        <w:autoSpaceDE w:val="0"/>
        <w:autoSpaceDN w:val="0"/>
        <w:adjustRightInd w:val="0"/>
        <w:ind w:left="240" w:hanging="240"/>
        <w:jc w:val="both"/>
        <w:rPr>
          <w:sz w:val="22"/>
          <w:szCs w:val="22"/>
        </w:rPr>
      </w:pPr>
      <w:r w:rsidRPr="00EB426F">
        <w:rPr>
          <w:sz w:val="22"/>
          <w:szCs w:val="22"/>
        </w:rPr>
        <w:t xml:space="preserve">Stewart-Brown, S. (2006). </w:t>
      </w:r>
      <w:r w:rsidRPr="00EC010E">
        <w:rPr>
          <w:i/>
          <w:sz w:val="22"/>
          <w:szCs w:val="22"/>
        </w:rPr>
        <w:t xml:space="preserve">What is the evidence on school health promotion in improving health or preventing disease and, specifically, what is the effectiveness of the health promoting schools approach? </w:t>
      </w:r>
      <w:r w:rsidRPr="00EC010E">
        <w:rPr>
          <w:sz w:val="22"/>
          <w:szCs w:val="22"/>
        </w:rPr>
        <w:t>Copenhagen, WHO Regional Office for Europe. Health E</w:t>
      </w:r>
      <w:r w:rsidRPr="00EB426F">
        <w:rPr>
          <w:sz w:val="22"/>
          <w:szCs w:val="22"/>
        </w:rPr>
        <w:t>vidence Network report, accessed 01 March.</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Stoner, J. A. F., Freeman, R. E., R. Gilbert, Jr. D. R. (2005). </w:t>
      </w:r>
      <w:r w:rsidRPr="00EB426F">
        <w:rPr>
          <w:i/>
          <w:iCs/>
          <w:sz w:val="22"/>
          <w:szCs w:val="22"/>
        </w:rPr>
        <w:t>Vadyba.</w:t>
      </w:r>
      <w:r w:rsidRPr="00EB426F">
        <w:rPr>
          <w:sz w:val="22"/>
          <w:szCs w:val="22"/>
        </w:rPr>
        <w:t xml:space="preserve"> Kaunas: Poligrafija ir informatika.</w:t>
      </w:r>
    </w:p>
    <w:p w:rsidR="00995BE0" w:rsidRPr="00EB426F" w:rsidRDefault="00995BE0" w:rsidP="00C7610A">
      <w:pPr>
        <w:pStyle w:val="Puslapioinaostekstas"/>
        <w:numPr>
          <w:ilvl w:val="0"/>
          <w:numId w:val="16"/>
        </w:numPr>
        <w:tabs>
          <w:tab w:val="left" w:pos="480"/>
          <w:tab w:val="left" w:pos="851"/>
        </w:tabs>
        <w:ind w:left="240" w:hanging="240"/>
        <w:jc w:val="both"/>
        <w:rPr>
          <w:sz w:val="22"/>
          <w:szCs w:val="22"/>
          <w:lang w:val="lt-LT"/>
        </w:rPr>
      </w:pPr>
      <w:r w:rsidRPr="00EB426F">
        <w:rPr>
          <w:spacing w:val="-6"/>
          <w:sz w:val="22"/>
          <w:szCs w:val="22"/>
          <w:lang w:val="lt-LT"/>
        </w:rPr>
        <w:t>Stoškus, S., Beržinskienė, D.</w:t>
      </w:r>
      <w:r w:rsidRPr="00EB426F">
        <w:rPr>
          <w:spacing w:val="-6"/>
          <w:sz w:val="22"/>
          <w:szCs w:val="22"/>
          <w:lang w:val="pl-PL"/>
        </w:rPr>
        <w:t xml:space="preserve"> (</w:t>
      </w:r>
      <w:r w:rsidRPr="00EB426F">
        <w:rPr>
          <w:spacing w:val="-6"/>
          <w:sz w:val="22"/>
          <w:szCs w:val="22"/>
          <w:lang w:val="lt-LT"/>
        </w:rPr>
        <w:t xml:space="preserve">2005).  </w:t>
      </w:r>
      <w:r w:rsidRPr="00EB426F">
        <w:rPr>
          <w:i/>
          <w:iCs/>
          <w:spacing w:val="-6"/>
          <w:sz w:val="22"/>
          <w:szCs w:val="22"/>
          <w:lang w:val="pl-PL"/>
        </w:rPr>
        <w:t>Vadyba</w:t>
      </w:r>
      <w:r w:rsidRPr="00EB426F">
        <w:rPr>
          <w:spacing w:val="-6"/>
          <w:sz w:val="22"/>
          <w:szCs w:val="22"/>
          <w:lang w:val="pl-PL"/>
        </w:rPr>
        <w:t xml:space="preserve"> Kaunas: Technologija.</w:t>
      </w:r>
    </w:p>
    <w:p w:rsidR="00995BE0" w:rsidRPr="00EB426F" w:rsidRDefault="00995BE0" w:rsidP="00C7610A">
      <w:pPr>
        <w:pStyle w:val="Puslapioinaostekstas"/>
        <w:numPr>
          <w:ilvl w:val="0"/>
          <w:numId w:val="16"/>
        </w:numPr>
        <w:tabs>
          <w:tab w:val="left" w:pos="480"/>
          <w:tab w:val="left" w:pos="851"/>
        </w:tabs>
        <w:ind w:left="240" w:hanging="240"/>
        <w:jc w:val="both"/>
        <w:rPr>
          <w:sz w:val="22"/>
          <w:szCs w:val="22"/>
          <w:lang w:val="lt-LT"/>
        </w:rPr>
      </w:pPr>
      <w:r w:rsidRPr="00EC010E">
        <w:rPr>
          <w:i/>
          <w:sz w:val="22"/>
          <w:szCs w:val="22"/>
          <w:lang w:val="pt-BR"/>
        </w:rPr>
        <w:t>Strateginis valdymas valstybės valdymo institucijose, (2001 – 2002</w:t>
      </w:r>
      <w:r w:rsidRPr="00EB426F">
        <w:rPr>
          <w:sz w:val="22"/>
          <w:szCs w:val="22"/>
          <w:lang w:val="pt-BR"/>
        </w:rPr>
        <w:t xml:space="preserve">). Seminaro medžiaga. </w:t>
      </w:r>
      <w:r w:rsidRPr="00674FEA">
        <w:rPr>
          <w:sz w:val="22"/>
          <w:szCs w:val="22"/>
          <w:lang w:val="pt-BR"/>
        </w:rPr>
        <w:t>LR Krašto apsaugos ministerija</w:t>
      </w:r>
      <w:r w:rsidRPr="00EB426F">
        <w:rPr>
          <w:sz w:val="22"/>
          <w:szCs w:val="22"/>
          <w:lang w:val="lt-LT"/>
        </w:rPr>
        <w:t>.</w:t>
      </w:r>
    </w:p>
    <w:p w:rsidR="00995BE0" w:rsidRPr="00EB426F" w:rsidRDefault="00995BE0" w:rsidP="00C7610A">
      <w:pPr>
        <w:pStyle w:val="Puslapioinaostekstas"/>
        <w:numPr>
          <w:ilvl w:val="0"/>
          <w:numId w:val="16"/>
        </w:numPr>
        <w:tabs>
          <w:tab w:val="left" w:pos="480"/>
          <w:tab w:val="left" w:pos="851"/>
        </w:tabs>
        <w:ind w:left="240" w:hanging="240"/>
        <w:jc w:val="both"/>
        <w:rPr>
          <w:sz w:val="22"/>
          <w:szCs w:val="22"/>
          <w:lang w:val="lt-LT"/>
        </w:rPr>
      </w:pPr>
      <w:r w:rsidRPr="00EB426F">
        <w:rPr>
          <w:spacing w:val="-6"/>
          <w:sz w:val="22"/>
          <w:szCs w:val="22"/>
          <w:lang w:val="pl-PL"/>
        </w:rPr>
        <w:t xml:space="preserve"> Stulgienė, A, Daunonienė, A. (2009). Migracijos poveikis darbo jėgos rinkos pusiausvyrai. </w:t>
      </w:r>
      <w:r w:rsidRPr="00EB426F">
        <w:rPr>
          <w:i/>
          <w:spacing w:val="-6"/>
          <w:sz w:val="22"/>
          <w:szCs w:val="22"/>
          <w:lang w:val="pl-PL"/>
        </w:rPr>
        <w:t>Ekonomika ir vadyba</w:t>
      </w:r>
      <w:r w:rsidRPr="00EB426F">
        <w:rPr>
          <w:spacing w:val="-6"/>
          <w:sz w:val="22"/>
          <w:szCs w:val="22"/>
          <w:lang w:val="pl-PL"/>
        </w:rPr>
        <w:t>. [interaktyvus] (14) [žiūrėta 2010-12-13]. Prieiga per internetą: &lt;</w:t>
      </w:r>
      <w:hyperlink r:id="rId77" w:history="1">
        <w:r w:rsidRPr="00EB426F">
          <w:rPr>
            <w:rStyle w:val="Hipersaitas"/>
            <w:spacing w:val="-6"/>
            <w:sz w:val="22"/>
            <w:szCs w:val="22"/>
            <w:lang w:val="pl-PL"/>
          </w:rPr>
          <w:t>http://www.ktu.lt/lt/mokslas/zurnalai/ekovad/14/1822-6515-2009-984.pdf</w:t>
        </w:r>
      </w:hyperlink>
      <w:r w:rsidRPr="00EB426F">
        <w:rPr>
          <w:spacing w:val="-6"/>
          <w:sz w:val="22"/>
          <w:szCs w:val="22"/>
          <w:lang w:val="pl-PL"/>
        </w:rPr>
        <w:t>&gt;.</w:t>
      </w:r>
    </w:p>
    <w:p w:rsidR="00995BE0" w:rsidRPr="00EB426F" w:rsidRDefault="00995BE0" w:rsidP="00C7610A">
      <w:pPr>
        <w:pStyle w:val="Puslapioinaostekstas"/>
        <w:numPr>
          <w:ilvl w:val="0"/>
          <w:numId w:val="16"/>
        </w:numPr>
        <w:tabs>
          <w:tab w:val="left" w:pos="480"/>
          <w:tab w:val="left" w:pos="851"/>
        </w:tabs>
        <w:ind w:left="240" w:hanging="240"/>
        <w:jc w:val="both"/>
        <w:rPr>
          <w:sz w:val="22"/>
          <w:szCs w:val="22"/>
          <w:lang w:val="lt-LT"/>
        </w:rPr>
      </w:pPr>
      <w:r w:rsidRPr="00EC010E">
        <w:rPr>
          <w:i/>
          <w:sz w:val="22"/>
          <w:szCs w:val="22"/>
          <w:lang w:val="lt-LT"/>
        </w:rPr>
        <w:t>Svarbiausi faktai apie sveikatą stiprinančių mokyklų tinklą Europoje ir Lietuvoje. (</w:t>
      </w:r>
      <w:r w:rsidRPr="00EB426F">
        <w:rPr>
          <w:sz w:val="22"/>
          <w:szCs w:val="22"/>
          <w:lang w:val="lt-LT"/>
        </w:rPr>
        <w:t>2010) [interaktyvus]</w:t>
      </w:r>
      <w:r w:rsidRPr="00EB426F">
        <w:rPr>
          <w:spacing w:val="-6"/>
          <w:sz w:val="22"/>
          <w:szCs w:val="22"/>
          <w:lang w:val="pl-PL"/>
        </w:rPr>
        <w:t xml:space="preserve"> [žiūrėta 2010-12-13]. Prieiga per internetą: </w:t>
      </w:r>
      <w:hyperlink r:id="rId78" w:history="1">
        <w:r w:rsidRPr="00EB426F">
          <w:rPr>
            <w:rStyle w:val="Hipersaitas"/>
            <w:spacing w:val="-6"/>
            <w:sz w:val="22"/>
            <w:szCs w:val="22"/>
            <w:lang w:val="pl-PL"/>
          </w:rPr>
          <w:t>http://www.smlpc.lt/media/file/Skyriu_info/Vaiku_sveikata/SSM/Svarbiausi_faktai.pdf</w:t>
        </w:r>
      </w:hyperlink>
    </w:p>
    <w:p w:rsidR="00995BE0" w:rsidRPr="00EB426F" w:rsidRDefault="00995BE0" w:rsidP="00C7610A">
      <w:pPr>
        <w:pStyle w:val="prastasistinklapis"/>
        <w:numPr>
          <w:ilvl w:val="0"/>
          <w:numId w:val="16"/>
        </w:numPr>
        <w:tabs>
          <w:tab w:val="left" w:pos="480"/>
          <w:tab w:val="left" w:pos="851"/>
        </w:tabs>
        <w:spacing w:before="0" w:beforeAutospacing="0" w:after="0" w:afterAutospacing="0"/>
        <w:ind w:left="240" w:hanging="240"/>
        <w:jc w:val="both"/>
        <w:rPr>
          <w:i/>
          <w:sz w:val="22"/>
          <w:szCs w:val="22"/>
        </w:rPr>
      </w:pPr>
      <w:r w:rsidRPr="00EC010E">
        <w:rPr>
          <w:i/>
          <w:sz w:val="22"/>
          <w:szCs w:val="22"/>
        </w:rPr>
        <w:t>Sveikata visiems XXI amžiuje</w:t>
      </w:r>
      <w:r w:rsidRPr="00EB426F">
        <w:rPr>
          <w:sz w:val="22"/>
          <w:szCs w:val="22"/>
        </w:rPr>
        <w:t xml:space="preserve"> (1998). Pagrindiniai PSO visuomenės Sveikatos priežiūros principai Europos regione. Vilnius: Lietuvos Respublikos sveikatos apsaugos ministerija.</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Šiaulių teritorinė ligonių kasa</w:t>
      </w:r>
      <w:r>
        <w:rPr>
          <w:sz w:val="22"/>
          <w:szCs w:val="22"/>
        </w:rPr>
        <w:t xml:space="preserve"> [interaktyvus]</w:t>
      </w:r>
      <w:r w:rsidRPr="00EB426F">
        <w:rPr>
          <w:sz w:val="22"/>
          <w:szCs w:val="22"/>
        </w:rPr>
        <w:t xml:space="preserve"> [žiūrėta 2009-12-16]. Prieiga per internetą: </w:t>
      </w:r>
      <w:hyperlink r:id="rId79" w:history="1">
        <w:r w:rsidRPr="00EB426F">
          <w:rPr>
            <w:rStyle w:val="Hipersaitas"/>
            <w:sz w:val="22"/>
            <w:szCs w:val="22"/>
          </w:rPr>
          <w:t>http://www.siauliutlk.lt/</w:t>
        </w:r>
      </w:hyperlink>
      <w:r w:rsidRPr="00EB426F">
        <w:rPr>
          <w:sz w:val="22"/>
          <w:szCs w:val="22"/>
        </w:rPr>
        <w:t>.</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Sveikas senėjimas. Europos siekis. Sutrumpinta versija</w:t>
      </w:r>
      <w:r w:rsidRPr="00EB426F">
        <w:rPr>
          <w:sz w:val="22"/>
          <w:szCs w:val="22"/>
        </w:rPr>
        <w:t xml:space="preserve">. (2007) [interaktyvus] [žiūrėta 2011-03-16]. Prieiga per internetą: </w:t>
      </w:r>
      <w:hyperlink r:id="rId80" w:history="1">
        <w:r w:rsidRPr="00EB426F">
          <w:rPr>
            <w:rStyle w:val="Hipersaitas"/>
            <w:sz w:val="22"/>
            <w:szCs w:val="22"/>
          </w:rPr>
          <w:t>http://sena.sam.lt/repository/dokumentai/Sveikatos%20patarimai/lithuanian_shortHA_web.pdf</w:t>
        </w:r>
      </w:hyperlink>
    </w:p>
    <w:p w:rsidR="00995BE0" w:rsidRPr="00EB426F" w:rsidRDefault="00995BE0" w:rsidP="00C7610A">
      <w:pPr>
        <w:pStyle w:val="Puslapioinaostekstas"/>
        <w:numPr>
          <w:ilvl w:val="0"/>
          <w:numId w:val="16"/>
        </w:numPr>
        <w:tabs>
          <w:tab w:val="left" w:pos="480"/>
          <w:tab w:val="left" w:pos="851"/>
        </w:tabs>
        <w:ind w:left="240" w:hanging="240"/>
        <w:jc w:val="both"/>
        <w:rPr>
          <w:sz w:val="22"/>
          <w:szCs w:val="22"/>
          <w:lang w:val="lt-LT"/>
        </w:rPr>
      </w:pPr>
      <w:r w:rsidRPr="00EC010E">
        <w:rPr>
          <w:i/>
          <w:spacing w:val="-6"/>
          <w:sz w:val="22"/>
          <w:szCs w:val="22"/>
          <w:lang w:val="lt-LT"/>
        </w:rPr>
        <w:t>Sveikatą stiprinančios mokyklos</w:t>
      </w:r>
      <w:r w:rsidRPr="00EB426F">
        <w:rPr>
          <w:spacing w:val="-6"/>
          <w:sz w:val="22"/>
          <w:szCs w:val="22"/>
          <w:lang w:val="lt-LT"/>
        </w:rPr>
        <w:t xml:space="preserve"> (2011)</w:t>
      </w:r>
      <w:r w:rsidRPr="00EB426F">
        <w:rPr>
          <w:sz w:val="22"/>
          <w:szCs w:val="22"/>
          <w:lang w:val="lt-LT"/>
        </w:rPr>
        <w:t xml:space="preserve"> [interaktyvus]</w:t>
      </w:r>
      <w:r w:rsidRPr="00EB426F">
        <w:rPr>
          <w:spacing w:val="-6"/>
          <w:sz w:val="22"/>
          <w:szCs w:val="22"/>
          <w:lang w:val="pl-PL"/>
        </w:rPr>
        <w:t xml:space="preserve"> [žiūrėta 2011-02-28]. Prieiga per internetą:</w:t>
      </w:r>
      <w:r w:rsidRPr="00EB426F">
        <w:rPr>
          <w:sz w:val="22"/>
          <w:szCs w:val="22"/>
          <w:lang w:val="sv-SE"/>
        </w:rPr>
        <w:t xml:space="preserve"> </w:t>
      </w:r>
      <w:r w:rsidRPr="00EB426F">
        <w:rPr>
          <w:spacing w:val="-6"/>
          <w:sz w:val="22"/>
          <w:szCs w:val="22"/>
          <w:lang w:val="pl-PL"/>
        </w:rPr>
        <w:t>http://www.smlpc.lt/lt/vaiku_sveikata/sveikata_stiprinanti_mokykla/</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Sveikatos sistemos plėtros pagrindinės nuostatos</w:t>
      </w:r>
      <w:r w:rsidRPr="00EB426F">
        <w:rPr>
          <w:sz w:val="22"/>
          <w:szCs w:val="22"/>
        </w:rPr>
        <w:t xml:space="preserve"> </w:t>
      </w:r>
      <w:r>
        <w:rPr>
          <w:sz w:val="22"/>
          <w:szCs w:val="22"/>
        </w:rPr>
        <w:t>(</w:t>
      </w:r>
      <w:r w:rsidRPr="00EB426F">
        <w:rPr>
          <w:sz w:val="22"/>
          <w:szCs w:val="22"/>
        </w:rPr>
        <w:t>2010</w:t>
      </w:r>
      <w:r>
        <w:rPr>
          <w:sz w:val="22"/>
          <w:szCs w:val="22"/>
        </w:rPr>
        <w:t>)</w:t>
      </w:r>
      <w:r w:rsidRPr="00EB426F">
        <w:rPr>
          <w:sz w:val="22"/>
          <w:szCs w:val="22"/>
        </w:rPr>
        <w:t xml:space="preserve"> [interaktyvus] [žiūrėta 2010-12-15]. Prieiga per internetą: </w:t>
      </w:r>
      <w:hyperlink r:id="rId81" w:history="1">
        <w:r w:rsidRPr="00EB426F">
          <w:rPr>
            <w:rStyle w:val="Hipersaitas"/>
            <w:sz w:val="22"/>
            <w:szCs w:val="22"/>
          </w:rPr>
          <w:t>http://www.tsajunga.lt/uploads/files/dir33/dir1/19_0.php</w:t>
        </w:r>
      </w:hyperlink>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Swayne, L., E., Duncan, W., J., Ginter, P., M. (2006). </w:t>
      </w:r>
      <w:r w:rsidRPr="00EC010E">
        <w:rPr>
          <w:i/>
          <w:sz w:val="22"/>
          <w:szCs w:val="22"/>
          <w:lang w:val="en-US"/>
        </w:rPr>
        <w:t>Strategic</w:t>
      </w:r>
      <w:r w:rsidRPr="00EC010E">
        <w:rPr>
          <w:i/>
          <w:sz w:val="22"/>
          <w:szCs w:val="22"/>
        </w:rPr>
        <w:t xml:space="preserve"> Management of Health Care Organization</w:t>
      </w:r>
      <w:r w:rsidRPr="00EB426F">
        <w:rPr>
          <w:sz w:val="22"/>
          <w:szCs w:val="22"/>
        </w:rPr>
        <w:t>. Fifth edition. Australia.</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Šiaulių miesto mokinių gyvensenos tyrimas</w:t>
      </w:r>
      <w:r w:rsidRPr="00EB426F">
        <w:rPr>
          <w:sz w:val="22"/>
          <w:szCs w:val="22"/>
        </w:rPr>
        <w:t>. (2011). Šiaulių miesto savivaldybės visuomenės sveikatos biuras [interaktyvus] [žiūrėta 2010-12-15]. Prieiga per internetą: http://www.sveikatos-biuras.lt/index.php?id=672</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Šidiškienė, D. (2007)</w:t>
      </w:r>
      <w:r w:rsidRPr="00EB426F">
        <w:rPr>
          <w:b/>
          <w:bCs/>
          <w:sz w:val="22"/>
          <w:szCs w:val="22"/>
        </w:rPr>
        <w:t>.</w:t>
      </w:r>
      <w:r w:rsidRPr="00EB426F">
        <w:rPr>
          <w:sz w:val="22"/>
          <w:szCs w:val="22"/>
        </w:rPr>
        <w:t xml:space="preserve"> </w:t>
      </w:r>
      <w:r w:rsidRPr="00EC010E">
        <w:rPr>
          <w:i/>
          <w:sz w:val="22"/>
          <w:szCs w:val="22"/>
        </w:rPr>
        <w:t>Mokinių sveikatos priežiūros mokyklose 2007 m. ataskaita</w:t>
      </w:r>
      <w:r w:rsidRPr="00EB426F">
        <w:rPr>
          <w:sz w:val="22"/>
          <w:szCs w:val="22"/>
        </w:rPr>
        <w:t xml:space="preserve"> [interaktyvus] [žiūrėta 2010-05-03]. Prieiga per internetą: </w:t>
      </w:r>
      <w:hyperlink r:id="rId82" w:history="1">
        <w:r w:rsidRPr="00EB426F">
          <w:rPr>
            <w:rStyle w:val="Hipersaitas"/>
            <w:sz w:val="22"/>
            <w:szCs w:val="22"/>
          </w:rPr>
          <w:t>http://www.vvspt.lt/pub/imagelib/file/MOKINIU%20SVEIKATOS%20PRIEZIURA%20MOKYKLOSE-%202007%20m.pdf</w:t>
        </w:r>
      </w:hyperlink>
      <w:r w:rsidRPr="00EB426F">
        <w:rPr>
          <w:sz w:val="22"/>
          <w:szCs w:val="22"/>
        </w:rPr>
        <w:t>.</w:t>
      </w:r>
    </w:p>
    <w:p w:rsidR="00995BE0" w:rsidRPr="00EB426F" w:rsidRDefault="00995BE0" w:rsidP="00C7610A">
      <w:pPr>
        <w:numPr>
          <w:ilvl w:val="0"/>
          <w:numId w:val="16"/>
        </w:numPr>
        <w:tabs>
          <w:tab w:val="left" w:pos="480"/>
          <w:tab w:val="left" w:pos="900"/>
          <w:tab w:val="left" w:pos="1080"/>
        </w:tabs>
        <w:autoSpaceDE w:val="0"/>
        <w:autoSpaceDN w:val="0"/>
        <w:adjustRightInd w:val="0"/>
        <w:ind w:left="240" w:hanging="240"/>
        <w:jc w:val="both"/>
        <w:rPr>
          <w:i/>
          <w:iCs/>
          <w:sz w:val="22"/>
          <w:szCs w:val="22"/>
        </w:rPr>
      </w:pPr>
      <w:r w:rsidRPr="00EB426F">
        <w:rPr>
          <w:sz w:val="22"/>
          <w:szCs w:val="22"/>
        </w:rPr>
        <w:t xml:space="preserve">Šliaupa, S., Žukauskas, G., Petrošius, R. (2010). </w:t>
      </w:r>
      <w:r w:rsidRPr="00EC010E">
        <w:rPr>
          <w:i/>
          <w:sz w:val="22"/>
          <w:szCs w:val="22"/>
        </w:rPr>
        <w:t>Geologinė aplinka ir žmonių sergamumas. Nacionalinės sveikatos tarybos metinis pranešimas 2010.</w:t>
      </w:r>
      <w:r w:rsidRPr="00EB426F">
        <w:rPr>
          <w:sz w:val="22"/>
          <w:szCs w:val="22"/>
        </w:rPr>
        <w:t xml:space="preserve"> </w:t>
      </w:r>
      <w:r w:rsidRPr="00EC010E">
        <w:rPr>
          <w:iCs/>
          <w:sz w:val="22"/>
          <w:szCs w:val="22"/>
        </w:rPr>
        <w:t>Urbanizacija – nauji iššūkiai sveikatai</w:t>
      </w:r>
      <w:r w:rsidRPr="00EB426F">
        <w:rPr>
          <w:i/>
          <w:iCs/>
          <w:sz w:val="22"/>
          <w:szCs w:val="22"/>
        </w:rPr>
        <w:t xml:space="preserve"> </w:t>
      </w:r>
      <w:r w:rsidRPr="00EB426F">
        <w:rPr>
          <w:sz w:val="22"/>
          <w:szCs w:val="22"/>
        </w:rPr>
        <w:t xml:space="preserve">[žiūrėta 2010-11-03]. Prieiga per internetą: </w:t>
      </w:r>
      <w:hyperlink r:id="rId83" w:history="1">
        <w:r w:rsidRPr="00EB426F">
          <w:rPr>
            <w:rStyle w:val="Hipersaitas"/>
            <w:sz w:val="22"/>
            <w:szCs w:val="22"/>
          </w:rPr>
          <w:t>http://www3.lrs.lt/docs2/OIUPIBTO.PDF</w:t>
        </w:r>
      </w:hyperlink>
    </w:p>
    <w:p w:rsidR="00995BE0" w:rsidRPr="00EB426F" w:rsidRDefault="00995BE0" w:rsidP="00C7610A">
      <w:pPr>
        <w:numPr>
          <w:ilvl w:val="0"/>
          <w:numId w:val="16"/>
        </w:numPr>
        <w:tabs>
          <w:tab w:val="left" w:pos="480"/>
          <w:tab w:val="left" w:pos="900"/>
          <w:tab w:val="left" w:pos="1080"/>
        </w:tabs>
        <w:autoSpaceDE w:val="0"/>
        <w:autoSpaceDN w:val="0"/>
        <w:adjustRightInd w:val="0"/>
        <w:ind w:left="240" w:hanging="240"/>
        <w:jc w:val="both"/>
        <w:rPr>
          <w:i/>
          <w:iCs/>
          <w:sz w:val="22"/>
          <w:szCs w:val="22"/>
        </w:rPr>
      </w:pPr>
      <w:r w:rsidRPr="00EB426F">
        <w:rPr>
          <w:sz w:val="22"/>
          <w:szCs w:val="22"/>
        </w:rPr>
        <w:lastRenderedPageBreak/>
        <w:t xml:space="preserve">Tamošiūnas, T., Šutinienė, I., Šimaitis, A. (2008). </w:t>
      </w:r>
      <w:r w:rsidRPr="00EC010E">
        <w:rPr>
          <w:i/>
          <w:sz w:val="22"/>
          <w:szCs w:val="22"/>
        </w:rPr>
        <w:t>Alkoholi</w:t>
      </w:r>
      <w:r>
        <w:rPr>
          <w:i/>
          <w:sz w:val="22"/>
          <w:szCs w:val="22"/>
        </w:rPr>
        <w:t>o ir kitų</w:t>
      </w:r>
      <w:r w:rsidRPr="00EC010E">
        <w:rPr>
          <w:i/>
          <w:sz w:val="22"/>
          <w:szCs w:val="22"/>
        </w:rPr>
        <w:t xml:space="preserve"> narkotikų tyrimas Europos mokyklose ESPAD 2007</w:t>
      </w:r>
      <w:r w:rsidRPr="00EB426F">
        <w:rPr>
          <w:sz w:val="22"/>
          <w:szCs w:val="22"/>
        </w:rPr>
        <w:t xml:space="preserve">. Vilnius [interaktyvus] [žiūrėta 2010-05-03]. Prieiga per internetą: </w:t>
      </w:r>
      <w:hyperlink r:id="rId84" w:history="1">
        <w:r w:rsidRPr="00EB426F">
          <w:rPr>
            <w:rStyle w:val="Hipersaitas"/>
            <w:sz w:val="22"/>
            <w:szCs w:val="22"/>
          </w:rPr>
          <w:t>http://www.suaugusiujusvietimas.lt/modules/document_publisher/documents/3/ESPAD_2007_leidinys.pdf</w:t>
        </w:r>
      </w:hyperlink>
      <w:r w:rsidRPr="00EB426F">
        <w:rPr>
          <w:sz w:val="22"/>
          <w:szCs w:val="22"/>
        </w:rPr>
        <w:t xml:space="preserve"> </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Thomson, J., Martin, F. (2005). </w:t>
      </w:r>
      <w:r w:rsidRPr="00EC010E">
        <w:rPr>
          <w:i/>
          <w:sz w:val="22"/>
          <w:szCs w:val="22"/>
        </w:rPr>
        <w:t>Strategic Management. Awareness and Change</w:t>
      </w:r>
      <w:r w:rsidRPr="00EB426F">
        <w:rPr>
          <w:sz w:val="22"/>
          <w:szCs w:val="22"/>
        </w:rPr>
        <w:t>. London.</w:t>
      </w:r>
    </w:p>
    <w:p w:rsidR="00995BE0" w:rsidRPr="00EC010E" w:rsidRDefault="00995BE0" w:rsidP="00C7610A">
      <w:pPr>
        <w:numPr>
          <w:ilvl w:val="0"/>
          <w:numId w:val="16"/>
        </w:numPr>
        <w:tabs>
          <w:tab w:val="left" w:pos="480"/>
          <w:tab w:val="left" w:pos="851"/>
        </w:tabs>
        <w:autoSpaceDE w:val="0"/>
        <w:autoSpaceDN w:val="0"/>
        <w:adjustRightInd w:val="0"/>
        <w:ind w:left="240" w:hanging="240"/>
        <w:jc w:val="both"/>
        <w:rPr>
          <w:i/>
          <w:sz w:val="22"/>
          <w:szCs w:val="22"/>
        </w:rPr>
      </w:pPr>
      <w:r w:rsidRPr="00EB426F">
        <w:rPr>
          <w:sz w:val="22"/>
          <w:szCs w:val="22"/>
        </w:rPr>
        <w:t xml:space="preserve">Todorova I., et al. (2009). Inequalities in cervical cancer screening in Eastern Europe: perspectives from Bulgaria and Romania. </w:t>
      </w:r>
      <w:r w:rsidRPr="00EC010E">
        <w:rPr>
          <w:i/>
          <w:sz w:val="22"/>
          <w:szCs w:val="22"/>
        </w:rPr>
        <w:t>Public Health 54  222–232.</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C010E">
        <w:rPr>
          <w:rFonts w:ascii="TimesNewRoman,Bold" w:hAnsi="TimesNewRoman,Bold" w:cs="TimesNewRoman,Bold"/>
          <w:bCs/>
          <w:i/>
          <w:sz w:val="22"/>
          <w:szCs w:val="22"/>
        </w:rPr>
        <w:t>Tolesnės sveikatos sistemos plėtros 2008−2015 metų metmenys</w:t>
      </w:r>
      <w:r w:rsidRPr="00EB426F">
        <w:rPr>
          <w:rFonts w:ascii="TimesNewRoman,Bold" w:hAnsi="TimesNewRoman,Bold" w:cs="TimesNewRoman,Bold"/>
          <w:bCs/>
          <w:sz w:val="22"/>
          <w:szCs w:val="22"/>
        </w:rPr>
        <w:t xml:space="preserve">. (2007) </w:t>
      </w:r>
      <w:r w:rsidRPr="00EB426F">
        <w:rPr>
          <w:sz w:val="22"/>
          <w:szCs w:val="22"/>
        </w:rPr>
        <w:t xml:space="preserve">[interaktyvus] [žiūrėta 2009-11-16]. Prieiga per internetą: </w:t>
      </w:r>
      <w:hyperlink r:id="rId85" w:history="1">
        <w:r w:rsidRPr="00EB426F">
          <w:rPr>
            <w:rStyle w:val="Hipersaitas"/>
            <w:sz w:val="22"/>
            <w:szCs w:val="22"/>
          </w:rPr>
          <w:t>http://jga.lt/uploads/studijos/Tolesnes_sveikatos_sistemos_pletros_2008_2015_.pdf</w:t>
        </w:r>
      </w:hyperlink>
      <w:r w:rsidRPr="00EB426F">
        <w:rPr>
          <w:sz w:val="22"/>
          <w:szCs w:val="22"/>
        </w:rPr>
        <w:t xml:space="preserve"> </w:t>
      </w:r>
    </w:p>
    <w:p w:rsidR="00995BE0" w:rsidRPr="00EB426F" w:rsidRDefault="00995BE0" w:rsidP="00C7610A">
      <w:pPr>
        <w:pStyle w:val="Puslapioinaostekstas"/>
        <w:numPr>
          <w:ilvl w:val="0"/>
          <w:numId w:val="16"/>
        </w:numPr>
        <w:tabs>
          <w:tab w:val="left" w:pos="480"/>
          <w:tab w:val="left" w:pos="851"/>
        </w:tabs>
        <w:ind w:left="240" w:hanging="240"/>
        <w:rPr>
          <w:sz w:val="22"/>
          <w:szCs w:val="22"/>
          <w:lang w:val="lt-LT"/>
        </w:rPr>
      </w:pPr>
      <w:r w:rsidRPr="00EB426F">
        <w:rPr>
          <w:sz w:val="22"/>
          <w:szCs w:val="22"/>
          <w:lang w:val="lt-LT"/>
        </w:rPr>
        <w:t>Urbelis, V. (</w:t>
      </w:r>
      <w:r w:rsidRPr="00EB426F">
        <w:rPr>
          <w:sz w:val="22"/>
          <w:szCs w:val="22"/>
          <w:lang w:val="it-IT"/>
        </w:rPr>
        <w:t xml:space="preserve">2001). </w:t>
      </w:r>
      <w:r w:rsidRPr="00EB426F">
        <w:rPr>
          <w:sz w:val="22"/>
          <w:szCs w:val="22"/>
          <w:lang w:val="lt-LT"/>
        </w:rPr>
        <w:t xml:space="preserve">Strategija – jos elementai ir sąvokos evoliucija. </w:t>
      </w:r>
      <w:r w:rsidRPr="00EB426F">
        <w:rPr>
          <w:i/>
          <w:iCs/>
          <w:sz w:val="22"/>
          <w:szCs w:val="22"/>
          <w:lang w:val="it-IT"/>
        </w:rPr>
        <w:t>Politologija</w:t>
      </w:r>
      <w:r>
        <w:rPr>
          <w:sz w:val="22"/>
          <w:szCs w:val="22"/>
          <w:lang w:val="it-IT"/>
        </w:rPr>
        <w:t xml:space="preserve"> 4 (24), ISSN 1392-1681</w:t>
      </w:r>
      <w:r w:rsidRPr="00EB426F">
        <w:rPr>
          <w:sz w:val="22"/>
          <w:szCs w:val="22"/>
          <w:lang w:val="it-IT"/>
        </w:rPr>
        <w:t xml:space="preserve"> [interaktyvus] </w:t>
      </w:r>
      <w:r w:rsidRPr="00EB426F">
        <w:rPr>
          <w:sz w:val="22"/>
          <w:szCs w:val="22"/>
          <w:lang w:val="lt-LT"/>
        </w:rPr>
        <w:t>[ž</w:t>
      </w:r>
      <w:r w:rsidRPr="00EB426F">
        <w:rPr>
          <w:sz w:val="22"/>
          <w:szCs w:val="22"/>
          <w:lang w:val="it-IT"/>
        </w:rPr>
        <w:t xml:space="preserve">iūrėta 2009-12-21]. Prieiga per internetą: </w:t>
      </w:r>
      <w:hyperlink r:id="rId86" w:history="1">
        <w:r w:rsidRPr="00EB426F">
          <w:rPr>
            <w:rStyle w:val="Hipersaitas"/>
            <w:sz w:val="22"/>
            <w:szCs w:val="22"/>
            <w:lang w:val="it-IT"/>
          </w:rPr>
          <w:t>http://www.ceeol.com/aspx/getdocument.aspx?logid=5&amp;id=F7B32AF7-01DE-444C-A05A-784DC37D53D0</w:t>
        </w:r>
      </w:hyperlink>
      <w:r w:rsidRPr="00EB426F">
        <w:rPr>
          <w:sz w:val="22"/>
          <w:szCs w:val="22"/>
          <w:lang w:val="lt-LT"/>
        </w:rPr>
        <w:t>.</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Užkrečiamųjų ligų ir AIDS centras</w:t>
      </w:r>
      <w:r w:rsidRPr="00EB426F">
        <w:rPr>
          <w:sz w:val="22"/>
          <w:szCs w:val="22"/>
        </w:rPr>
        <w:t xml:space="preserve"> [interaktyvus] [žiūrėta 2009-12-16]. </w:t>
      </w:r>
      <w:r w:rsidRPr="00EB426F">
        <w:rPr>
          <w:sz w:val="22"/>
          <w:szCs w:val="22"/>
          <w:lang w:val="sv-SE"/>
        </w:rPr>
        <w:t>Prieiga per internetą:</w:t>
      </w:r>
      <w:r w:rsidRPr="00EB426F">
        <w:rPr>
          <w:sz w:val="22"/>
          <w:szCs w:val="22"/>
        </w:rPr>
        <w:t xml:space="preserve"> </w:t>
      </w:r>
      <w:hyperlink r:id="rId87" w:history="1">
        <w:r w:rsidRPr="00EB426F">
          <w:rPr>
            <w:rStyle w:val="Hipersaitas"/>
            <w:sz w:val="22"/>
            <w:szCs w:val="22"/>
          </w:rPr>
          <w:t>http://www.ulac.lt/</w:t>
        </w:r>
      </w:hyperlink>
      <w:r w:rsidRPr="00EB426F">
        <w:rPr>
          <w:sz w:val="22"/>
          <w:szCs w:val="22"/>
        </w:rPr>
        <w:t>.</w:t>
      </w:r>
    </w:p>
    <w:p w:rsidR="00995BE0" w:rsidRDefault="00995BE0" w:rsidP="00EC010E">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Valius, L., Jurgutis, A. (2003). </w:t>
      </w:r>
      <w:r w:rsidRPr="00EC010E">
        <w:rPr>
          <w:i/>
          <w:sz w:val="22"/>
          <w:szCs w:val="22"/>
        </w:rPr>
        <w:t>Gydytojo ir paciento bendravimas</w:t>
      </w:r>
      <w:r w:rsidRPr="00EB426F">
        <w:rPr>
          <w:sz w:val="22"/>
          <w:szCs w:val="22"/>
        </w:rPr>
        <w:t xml:space="preserve">. </w:t>
      </w:r>
      <w:r w:rsidRPr="00EB426F">
        <w:rPr>
          <w:rFonts w:ascii="TimesNewRoman" w:eastAsia="TimesNewRoman" w:cs="TimesNewRoman"/>
          <w:sz w:val="22"/>
          <w:szCs w:val="22"/>
        </w:rPr>
        <w:t>Š</w:t>
      </w:r>
      <w:r w:rsidRPr="00EB426F">
        <w:rPr>
          <w:sz w:val="22"/>
          <w:szCs w:val="22"/>
        </w:rPr>
        <w:t>eimos medicinos</w:t>
      </w:r>
      <w:r>
        <w:rPr>
          <w:sz w:val="22"/>
          <w:szCs w:val="22"/>
        </w:rPr>
        <w:t xml:space="preserve"> </w:t>
      </w:r>
      <w:r w:rsidRPr="00EB426F">
        <w:rPr>
          <w:sz w:val="22"/>
          <w:szCs w:val="22"/>
        </w:rPr>
        <w:t>pagrindai</w:t>
      </w:r>
      <w:r>
        <w:rPr>
          <w:sz w:val="22"/>
          <w:szCs w:val="22"/>
        </w:rPr>
        <w:t>.</w:t>
      </w:r>
      <w:r w:rsidRPr="00EB426F">
        <w:rPr>
          <w:sz w:val="22"/>
          <w:szCs w:val="22"/>
        </w:rPr>
        <w:t xml:space="preserve"> Kaunas; 56-59.</w:t>
      </w:r>
    </w:p>
    <w:p w:rsidR="00995BE0" w:rsidRPr="00EF7A90" w:rsidRDefault="00995BE0" w:rsidP="00C7610A">
      <w:pPr>
        <w:numPr>
          <w:ilvl w:val="0"/>
          <w:numId w:val="16"/>
        </w:numPr>
        <w:tabs>
          <w:tab w:val="left" w:pos="480"/>
          <w:tab w:val="left" w:pos="840"/>
        </w:tabs>
        <w:ind w:left="240" w:hanging="240"/>
        <w:jc w:val="both"/>
        <w:rPr>
          <w:sz w:val="22"/>
          <w:szCs w:val="22"/>
          <w:lang w:val="it-IT"/>
        </w:rPr>
      </w:pPr>
      <w:r>
        <w:rPr>
          <w:sz w:val="22"/>
          <w:szCs w:val="22"/>
        </w:rPr>
        <w:t xml:space="preserve">Valstybinis aplinkos sveikatos centras. (2006). </w:t>
      </w:r>
      <w:r w:rsidRPr="00EC010E">
        <w:rPr>
          <w:i/>
          <w:sz w:val="22"/>
          <w:szCs w:val="22"/>
        </w:rPr>
        <w:t>Vaikų sveikatingumo programų rengimas</w:t>
      </w:r>
      <w:r>
        <w:rPr>
          <w:sz w:val="22"/>
          <w:szCs w:val="22"/>
        </w:rPr>
        <w:t xml:space="preserve">. Metodinės rekomendacijos. Vilnius </w:t>
      </w:r>
      <w:r w:rsidRPr="00EB426F">
        <w:rPr>
          <w:sz w:val="22"/>
          <w:szCs w:val="22"/>
          <w:lang w:val="it-IT"/>
        </w:rPr>
        <w:t xml:space="preserve">[interaktyvus] </w:t>
      </w:r>
      <w:r w:rsidRPr="00EB426F">
        <w:rPr>
          <w:sz w:val="22"/>
          <w:szCs w:val="22"/>
        </w:rPr>
        <w:t>[ž</w:t>
      </w:r>
      <w:r w:rsidRPr="00EB426F">
        <w:rPr>
          <w:sz w:val="22"/>
          <w:szCs w:val="22"/>
          <w:lang w:val="it-IT"/>
        </w:rPr>
        <w:t>iūrėta 2009-12-21]. Prieiga per internetą:</w:t>
      </w:r>
      <w:r w:rsidRPr="00EF7A90">
        <w:t xml:space="preserve"> </w:t>
      </w:r>
      <w:hyperlink r:id="rId88" w:history="1">
        <w:r w:rsidRPr="00004850">
          <w:rPr>
            <w:rStyle w:val="Hipersaitas"/>
            <w:sz w:val="22"/>
            <w:szCs w:val="22"/>
            <w:lang w:val="it-IT"/>
          </w:rPr>
          <w:t>http://smlpc.lt/media/file/Skyriu_info/Vaiku_sveikata/SSM/Publikacijos_leidiniai/Vaiku_sveikatingumo_programu_rengimas.pdf</w:t>
        </w:r>
      </w:hyperlink>
      <w:r>
        <w:rPr>
          <w:sz w:val="22"/>
          <w:szCs w:val="22"/>
          <w:lang w:val="it-IT"/>
        </w:rPr>
        <w:t xml:space="preserve"> </w:t>
      </w:r>
    </w:p>
    <w:p w:rsidR="00995BE0" w:rsidRPr="00EC010E" w:rsidRDefault="00995BE0" w:rsidP="00C7610A">
      <w:pPr>
        <w:numPr>
          <w:ilvl w:val="0"/>
          <w:numId w:val="16"/>
        </w:numPr>
        <w:tabs>
          <w:tab w:val="left" w:pos="480"/>
          <w:tab w:val="left" w:pos="851"/>
        </w:tabs>
        <w:ind w:left="240" w:hanging="240"/>
        <w:jc w:val="both"/>
        <w:rPr>
          <w:i/>
          <w:sz w:val="22"/>
          <w:szCs w:val="22"/>
        </w:rPr>
      </w:pPr>
      <w:r w:rsidRPr="00EB426F">
        <w:rPr>
          <w:sz w:val="22"/>
          <w:szCs w:val="22"/>
        </w:rPr>
        <w:t xml:space="preserve">Vasiliauskas, A. (2000). Lietuvos ekonomikos plėtros strategijos kūrimo ir įgyvendinimo metodologiniai principai. Pinigų studijos. </w:t>
      </w:r>
      <w:r w:rsidRPr="00EC010E">
        <w:rPr>
          <w:i/>
          <w:sz w:val="22"/>
          <w:szCs w:val="22"/>
        </w:rPr>
        <w:t xml:space="preserve">Ekonomikos teorija ir praktika </w:t>
      </w:r>
      <w:r w:rsidRPr="00EC010E">
        <w:rPr>
          <w:i/>
          <w:sz w:val="22"/>
          <w:szCs w:val="22"/>
          <w:lang w:val="en-GB"/>
        </w:rPr>
        <w:t>4</w:t>
      </w:r>
      <w:r w:rsidRPr="00EC010E">
        <w:rPr>
          <w:i/>
          <w:sz w:val="22"/>
          <w:szCs w:val="22"/>
        </w:rPr>
        <w:t>.</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Vasiliauskas, A. (2001). </w:t>
      </w:r>
      <w:r w:rsidRPr="00EB426F">
        <w:rPr>
          <w:i/>
          <w:iCs/>
          <w:sz w:val="22"/>
          <w:szCs w:val="22"/>
        </w:rPr>
        <w:t xml:space="preserve">Firmų strateginis valdymas: studentams ir verslininkams: mokomoji knyga. </w:t>
      </w:r>
      <w:r w:rsidRPr="00EB426F">
        <w:rPr>
          <w:sz w:val="22"/>
          <w:szCs w:val="22"/>
        </w:rPr>
        <w:t>Vilnius.</w:t>
      </w:r>
    </w:p>
    <w:p w:rsidR="00995BE0" w:rsidRPr="00EB426F" w:rsidRDefault="00995BE0" w:rsidP="00C7610A">
      <w:pPr>
        <w:numPr>
          <w:ilvl w:val="0"/>
          <w:numId w:val="16"/>
        </w:numPr>
        <w:tabs>
          <w:tab w:val="left" w:pos="480"/>
          <w:tab w:val="left" w:pos="851"/>
        </w:tabs>
        <w:ind w:left="240" w:hanging="240"/>
        <w:jc w:val="both"/>
        <w:rPr>
          <w:sz w:val="22"/>
          <w:szCs w:val="22"/>
        </w:rPr>
      </w:pPr>
      <w:r w:rsidRPr="00EB426F">
        <w:rPr>
          <w:sz w:val="22"/>
          <w:szCs w:val="22"/>
        </w:rPr>
        <w:t xml:space="preserve">Vasiliauskas, A. (2002). </w:t>
      </w:r>
      <w:r w:rsidRPr="00EB426F">
        <w:rPr>
          <w:i/>
          <w:iCs/>
          <w:sz w:val="22"/>
          <w:szCs w:val="22"/>
        </w:rPr>
        <w:t>Strateginis valdymas</w:t>
      </w:r>
      <w:r w:rsidRPr="00EB426F">
        <w:rPr>
          <w:sz w:val="22"/>
          <w:szCs w:val="22"/>
        </w:rPr>
        <w:t>. Vilnius, enciklopedija.</w:t>
      </w:r>
    </w:p>
    <w:p w:rsidR="00995BE0" w:rsidRPr="00EC010E" w:rsidRDefault="00995BE0" w:rsidP="00C7610A">
      <w:pPr>
        <w:numPr>
          <w:ilvl w:val="0"/>
          <w:numId w:val="16"/>
        </w:numPr>
        <w:tabs>
          <w:tab w:val="left" w:pos="480"/>
          <w:tab w:val="left" w:pos="851"/>
        </w:tabs>
        <w:ind w:left="240" w:hanging="240"/>
        <w:jc w:val="both"/>
        <w:rPr>
          <w:i/>
          <w:sz w:val="22"/>
          <w:szCs w:val="22"/>
        </w:rPr>
      </w:pPr>
      <w:r w:rsidRPr="00EB426F">
        <w:rPr>
          <w:sz w:val="22"/>
          <w:szCs w:val="22"/>
        </w:rPr>
        <w:t xml:space="preserve">Vasiliauskas, A. (2004). Nacionalinės ekonomikos plėtros strateginis valdymas: nustatytinis ir plėtotinis metodologiniai požiūriai. </w:t>
      </w:r>
      <w:r w:rsidRPr="00EC010E">
        <w:rPr>
          <w:i/>
          <w:sz w:val="22"/>
          <w:szCs w:val="22"/>
        </w:rPr>
        <w:t>Pinigų studijos 3.</w:t>
      </w:r>
    </w:p>
    <w:p w:rsidR="00995BE0" w:rsidRPr="00EB426F" w:rsidRDefault="00995BE0" w:rsidP="00C7610A">
      <w:pPr>
        <w:numPr>
          <w:ilvl w:val="0"/>
          <w:numId w:val="16"/>
        </w:numPr>
        <w:tabs>
          <w:tab w:val="left" w:pos="480"/>
          <w:tab w:val="left" w:pos="851"/>
        </w:tabs>
        <w:ind w:left="240" w:hanging="240"/>
        <w:jc w:val="both"/>
        <w:rPr>
          <w:sz w:val="22"/>
          <w:szCs w:val="22"/>
        </w:rPr>
      </w:pPr>
      <w:r w:rsidRPr="00EC010E">
        <w:rPr>
          <w:i/>
          <w:sz w:val="22"/>
          <w:szCs w:val="22"/>
        </w:rPr>
        <w:t>Vilniaus universiteto onkologinis institutas</w:t>
      </w:r>
      <w:r w:rsidRPr="00EB426F">
        <w:rPr>
          <w:sz w:val="22"/>
          <w:szCs w:val="22"/>
        </w:rPr>
        <w:t xml:space="preserve"> [interaktyvus] [žiūrėta 2009-12-16]. </w:t>
      </w:r>
      <w:r w:rsidRPr="00EB426F">
        <w:rPr>
          <w:sz w:val="22"/>
          <w:szCs w:val="22"/>
          <w:lang w:val="pt-BR"/>
        </w:rPr>
        <w:t>Prieiga per internetą:</w:t>
      </w:r>
      <w:r w:rsidRPr="00EB426F">
        <w:rPr>
          <w:sz w:val="22"/>
          <w:szCs w:val="22"/>
        </w:rPr>
        <w:t xml:space="preserve"> </w:t>
      </w:r>
      <w:hyperlink r:id="rId89" w:history="1">
        <w:r w:rsidRPr="00EB426F">
          <w:rPr>
            <w:rStyle w:val="Hipersaitas"/>
            <w:sz w:val="22"/>
            <w:szCs w:val="22"/>
          </w:rPr>
          <w:t>http://www.loc.lt/</w:t>
        </w:r>
      </w:hyperlink>
      <w:r w:rsidRPr="00EB426F">
        <w:rPr>
          <w:sz w:val="22"/>
          <w:szCs w:val="22"/>
        </w:rPr>
        <w:t>.</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Voronaja, N. (2008). Onkologinės pagalbos siekiai: individuali ir kompleksinė</w:t>
      </w:r>
      <w:r w:rsidRPr="00EB426F">
        <w:rPr>
          <w:i/>
          <w:iCs/>
          <w:sz w:val="22"/>
          <w:szCs w:val="22"/>
        </w:rPr>
        <w:t xml:space="preserve">. Gydymo menas </w:t>
      </w:r>
      <w:r w:rsidRPr="00EB426F">
        <w:rPr>
          <w:sz w:val="22"/>
          <w:szCs w:val="22"/>
        </w:rPr>
        <w:t>(2).</w:t>
      </w:r>
      <w:r w:rsidRPr="00EB426F">
        <w:rPr>
          <w:i/>
          <w:iCs/>
          <w:sz w:val="22"/>
          <w:szCs w:val="22"/>
        </w:rPr>
        <w:t xml:space="preserve"> </w:t>
      </w:r>
      <w:r w:rsidRPr="00EB426F">
        <w:rPr>
          <w:sz w:val="22"/>
          <w:szCs w:val="22"/>
        </w:rPr>
        <w:t xml:space="preserve">[Interaktyvus], [žiūrėta 2010-05-28]. Prieiga per internetą: </w:t>
      </w:r>
      <w:hyperlink r:id="rId90" w:history="1">
        <w:r w:rsidRPr="00EB426F">
          <w:rPr>
            <w:rStyle w:val="Hipersaitas"/>
            <w:sz w:val="22"/>
            <w:szCs w:val="22"/>
          </w:rPr>
          <w:t>http://www.medicine.lt/index.php?pagrid=leidiniai&amp;strid=7092&amp;subid=gm</w:t>
        </w:r>
      </w:hyperlink>
      <w:r w:rsidRPr="00EB426F">
        <w:rPr>
          <w:sz w:val="22"/>
          <w:szCs w:val="22"/>
        </w:rPr>
        <w:t>.</w:t>
      </w:r>
    </w:p>
    <w:p w:rsidR="00995BE0" w:rsidRPr="00EC010E"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Wilkinson, G., Monkhouse, E. (1994). </w:t>
      </w:r>
      <w:r w:rsidRPr="00EC010E">
        <w:rPr>
          <w:i/>
          <w:sz w:val="22"/>
          <w:szCs w:val="22"/>
        </w:rPr>
        <w:t>Strategių planning in public sector organization, Executive Development 7 (6).</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World Health Report. (2003). </w:t>
      </w:r>
      <w:r w:rsidRPr="00EC010E">
        <w:rPr>
          <w:i/>
          <w:sz w:val="22"/>
          <w:szCs w:val="22"/>
        </w:rPr>
        <w:t>Reducing risk – promoting healthy life, 2002</w:t>
      </w:r>
      <w:r>
        <w:rPr>
          <w:i/>
          <w:sz w:val="22"/>
          <w:szCs w:val="22"/>
        </w:rPr>
        <w:t>.</w:t>
      </w:r>
      <w:r w:rsidRPr="00EB426F">
        <w:rPr>
          <w:sz w:val="22"/>
          <w:szCs w:val="22"/>
        </w:rPr>
        <w:t xml:space="preserve"> WHO, Ženeva.</w:t>
      </w:r>
    </w:p>
    <w:p w:rsidR="00995BE0" w:rsidRPr="00EC010E" w:rsidRDefault="00995BE0" w:rsidP="00C7610A">
      <w:pPr>
        <w:numPr>
          <w:ilvl w:val="0"/>
          <w:numId w:val="16"/>
        </w:numPr>
        <w:tabs>
          <w:tab w:val="left" w:pos="480"/>
          <w:tab w:val="left" w:pos="851"/>
        </w:tabs>
        <w:autoSpaceDE w:val="0"/>
        <w:autoSpaceDN w:val="0"/>
        <w:adjustRightInd w:val="0"/>
        <w:ind w:left="240" w:hanging="240"/>
        <w:jc w:val="both"/>
        <w:rPr>
          <w:i/>
          <w:iCs/>
          <w:sz w:val="22"/>
          <w:szCs w:val="22"/>
        </w:rPr>
      </w:pPr>
      <w:r w:rsidRPr="00EB426F">
        <w:rPr>
          <w:sz w:val="22"/>
          <w:szCs w:val="22"/>
        </w:rPr>
        <w:t xml:space="preserve">Worrall, L., Collinge, C., Bill, T. (1998). Managing strategy in local government. </w:t>
      </w:r>
      <w:r w:rsidRPr="00EC010E">
        <w:rPr>
          <w:i/>
          <w:sz w:val="22"/>
          <w:szCs w:val="22"/>
        </w:rPr>
        <w:t>International Journal of Public Sector Management 11 (6).</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B426F">
        <w:rPr>
          <w:sz w:val="22"/>
          <w:szCs w:val="22"/>
        </w:rPr>
        <w:t xml:space="preserve">Zaborskis, A., Šumskas, L. (2000). </w:t>
      </w:r>
      <w:r w:rsidRPr="00EC010E">
        <w:rPr>
          <w:i/>
          <w:sz w:val="22"/>
          <w:szCs w:val="22"/>
        </w:rPr>
        <w:t>Slaugos specialistės darbas mokykloje</w:t>
      </w:r>
      <w:r w:rsidRPr="00EB426F">
        <w:rPr>
          <w:sz w:val="22"/>
          <w:szCs w:val="22"/>
        </w:rPr>
        <w:t>. Panevėžys.</w:t>
      </w:r>
    </w:p>
    <w:p w:rsidR="00995BE0" w:rsidRPr="00EC010E" w:rsidRDefault="00995BE0" w:rsidP="00C7610A">
      <w:pPr>
        <w:numPr>
          <w:ilvl w:val="0"/>
          <w:numId w:val="16"/>
        </w:numPr>
        <w:tabs>
          <w:tab w:val="left" w:pos="480"/>
          <w:tab w:val="left" w:pos="851"/>
        </w:tabs>
        <w:autoSpaceDE w:val="0"/>
        <w:autoSpaceDN w:val="0"/>
        <w:adjustRightInd w:val="0"/>
        <w:ind w:left="240" w:hanging="240"/>
        <w:jc w:val="both"/>
        <w:rPr>
          <w:i/>
          <w:sz w:val="22"/>
          <w:szCs w:val="22"/>
        </w:rPr>
      </w:pPr>
      <w:r w:rsidRPr="00EB426F">
        <w:rPr>
          <w:sz w:val="22"/>
          <w:szCs w:val="22"/>
        </w:rPr>
        <w:t xml:space="preserve">Žaptorius, J. (2007). Darbuotojų motyvavimo sistemos kūrimas ir jos teorinė analizė. </w:t>
      </w:r>
      <w:r w:rsidRPr="00EC010E">
        <w:rPr>
          <w:i/>
          <w:sz w:val="22"/>
          <w:szCs w:val="22"/>
        </w:rPr>
        <w:t>Filosofija. Sociologija (4) t. 18.</w:t>
      </w:r>
    </w:p>
    <w:p w:rsidR="00995BE0" w:rsidRPr="00EB426F" w:rsidRDefault="00995BE0" w:rsidP="00C7610A">
      <w:pPr>
        <w:numPr>
          <w:ilvl w:val="0"/>
          <w:numId w:val="16"/>
        </w:numPr>
        <w:tabs>
          <w:tab w:val="left" w:pos="480"/>
          <w:tab w:val="left" w:pos="851"/>
        </w:tabs>
        <w:autoSpaceDE w:val="0"/>
        <w:autoSpaceDN w:val="0"/>
        <w:adjustRightInd w:val="0"/>
        <w:ind w:left="240" w:hanging="240"/>
        <w:jc w:val="both"/>
        <w:rPr>
          <w:sz w:val="22"/>
          <w:szCs w:val="22"/>
        </w:rPr>
      </w:pPr>
      <w:r w:rsidRPr="00EC010E">
        <w:rPr>
          <w:i/>
          <w:sz w:val="22"/>
          <w:szCs w:val="22"/>
        </w:rPr>
        <w:t>ŽIV ir AIDS.</w:t>
      </w:r>
      <w:r w:rsidRPr="00EB426F">
        <w:rPr>
          <w:sz w:val="22"/>
          <w:szCs w:val="22"/>
        </w:rPr>
        <w:t xml:space="preserve"> (2009). Sveikata – ES. Europos Sąjungos por</w:t>
      </w:r>
      <w:r>
        <w:rPr>
          <w:sz w:val="22"/>
          <w:szCs w:val="22"/>
        </w:rPr>
        <w:t>talas apie sveikatos apsaugą [i</w:t>
      </w:r>
      <w:r w:rsidRPr="00EB426F">
        <w:rPr>
          <w:sz w:val="22"/>
          <w:szCs w:val="22"/>
        </w:rPr>
        <w:t xml:space="preserve">nteraktyvus], [žiūrėta 2010-05-28]. Prieiga per internetą: </w:t>
      </w:r>
      <w:hyperlink r:id="rId91" w:history="1">
        <w:r w:rsidRPr="00EB426F">
          <w:rPr>
            <w:rStyle w:val="Hipersaitas"/>
            <w:sz w:val="22"/>
            <w:szCs w:val="22"/>
          </w:rPr>
          <w:t>http://ec.europa.eu/health-eu/health_problems/hiv-aids/index_lt.htm</w:t>
        </w:r>
      </w:hyperlink>
      <w:r w:rsidRPr="00EB426F">
        <w:rPr>
          <w:sz w:val="22"/>
          <w:szCs w:val="22"/>
        </w:rPr>
        <w:t xml:space="preserve"> </w:t>
      </w:r>
    </w:p>
    <w:p w:rsidR="00995BE0" w:rsidRDefault="00995BE0" w:rsidP="00E73456">
      <w:pPr>
        <w:autoSpaceDE w:val="0"/>
        <w:autoSpaceDN w:val="0"/>
        <w:adjustRightInd w:val="0"/>
        <w:jc w:val="center"/>
        <w:rPr>
          <w:b/>
          <w:sz w:val="22"/>
          <w:szCs w:val="22"/>
        </w:rPr>
      </w:pPr>
    </w:p>
    <w:p w:rsidR="00995BE0" w:rsidRPr="00EB426F" w:rsidRDefault="00995BE0" w:rsidP="00E73456">
      <w:pPr>
        <w:autoSpaceDE w:val="0"/>
        <w:autoSpaceDN w:val="0"/>
        <w:adjustRightInd w:val="0"/>
        <w:jc w:val="center"/>
        <w:rPr>
          <w:b/>
          <w:sz w:val="22"/>
          <w:szCs w:val="22"/>
        </w:rPr>
      </w:pPr>
      <w:r w:rsidRPr="00EB426F">
        <w:rPr>
          <w:b/>
          <w:sz w:val="22"/>
          <w:szCs w:val="22"/>
        </w:rPr>
        <w:t>DOKUMENTAI</w:t>
      </w:r>
    </w:p>
    <w:p w:rsidR="00995BE0" w:rsidRPr="00EB426F" w:rsidRDefault="00995BE0" w:rsidP="00E73456">
      <w:pPr>
        <w:rPr>
          <w:sz w:val="22"/>
          <w:szCs w:val="22"/>
        </w:rPr>
      </w:pPr>
    </w:p>
    <w:p w:rsidR="00995BE0" w:rsidRPr="00E229AA" w:rsidRDefault="00995BE0" w:rsidP="00C625A5">
      <w:pPr>
        <w:numPr>
          <w:ilvl w:val="0"/>
          <w:numId w:val="17"/>
        </w:numPr>
        <w:tabs>
          <w:tab w:val="clear" w:pos="720"/>
        </w:tabs>
        <w:autoSpaceDE w:val="0"/>
        <w:autoSpaceDN w:val="0"/>
        <w:adjustRightInd w:val="0"/>
        <w:ind w:left="0"/>
        <w:jc w:val="both"/>
        <w:rPr>
          <w:sz w:val="22"/>
          <w:szCs w:val="22"/>
        </w:rPr>
      </w:pPr>
      <w:r w:rsidRPr="00E229AA">
        <w:rPr>
          <w:sz w:val="22"/>
          <w:szCs w:val="22"/>
        </w:rPr>
        <w:t>2003-2008 m. ES visuomenės sveikatos programa (1786/2002/EB)</w:t>
      </w:r>
    </w:p>
    <w:p w:rsidR="00995BE0" w:rsidRPr="00E229AA" w:rsidRDefault="00995BE0" w:rsidP="00C625A5">
      <w:pPr>
        <w:pStyle w:val="Pavadinimas10"/>
        <w:numPr>
          <w:ilvl w:val="0"/>
          <w:numId w:val="17"/>
        </w:numPr>
        <w:tabs>
          <w:tab w:val="clear" w:pos="720"/>
          <w:tab w:val="num" w:pos="0"/>
        </w:tabs>
        <w:ind w:left="0"/>
        <w:jc w:val="both"/>
        <w:rPr>
          <w:rFonts w:ascii="Times New Roman" w:hAnsi="Times New Roman"/>
          <w:b w:val="0"/>
          <w:bCs w:val="0"/>
          <w:lang w:val="lt-LT"/>
        </w:rPr>
      </w:pPr>
      <w:r w:rsidRPr="00E229AA">
        <w:rPr>
          <w:rFonts w:ascii="Times New Roman" w:hAnsi="Times New Roman"/>
          <w:b w:val="0"/>
          <w:lang w:val="lt-LT"/>
        </w:rPr>
        <w:t xml:space="preserve">2007–2013 </w:t>
      </w:r>
      <w:r w:rsidRPr="00E229AA">
        <w:rPr>
          <w:rFonts w:ascii="Times New Roman" w:hAnsi="Times New Roman"/>
          <w:b w:val="0"/>
          <w:caps w:val="0"/>
          <w:lang w:val="lt-LT"/>
        </w:rPr>
        <w:t>m. Žmogiškųjų išteklių plėtros veiksmų programa. Vilnius.</w:t>
      </w:r>
    </w:p>
    <w:p w:rsidR="00995BE0" w:rsidRPr="00A96E93" w:rsidRDefault="00995BE0" w:rsidP="00777F15">
      <w:pPr>
        <w:pStyle w:val="Puslapioinaostekstas"/>
        <w:numPr>
          <w:ilvl w:val="0"/>
          <w:numId w:val="17"/>
        </w:numPr>
        <w:tabs>
          <w:tab w:val="clear" w:pos="720"/>
          <w:tab w:val="num" w:pos="0"/>
        </w:tabs>
        <w:ind w:left="0"/>
        <w:jc w:val="both"/>
        <w:rPr>
          <w:sz w:val="22"/>
          <w:szCs w:val="22"/>
          <w:lang w:val="lt-LT"/>
        </w:rPr>
      </w:pPr>
      <w:r w:rsidRPr="00A96E93">
        <w:rPr>
          <w:rFonts w:cs="Arial Unicode MS"/>
          <w:sz w:val="22"/>
          <w:szCs w:val="22"/>
          <w:lang w:val="lt-LT"/>
        </w:rPr>
        <w:t>2007–2013 metų Šiaulių miesto visuomenės sveikatos priežiūros strategija,</w:t>
      </w:r>
      <w:r w:rsidRPr="00A96E93">
        <w:rPr>
          <w:sz w:val="22"/>
          <w:szCs w:val="22"/>
          <w:lang w:val="lt-LT"/>
        </w:rPr>
        <w:t xml:space="preserve"> </w:t>
      </w:r>
      <w:r w:rsidRPr="00A96E93">
        <w:rPr>
          <w:rFonts w:cs="Arial Unicode MS"/>
          <w:sz w:val="22"/>
          <w:szCs w:val="22"/>
          <w:lang w:val="lt-LT"/>
        </w:rPr>
        <w:t>patvirtinta</w:t>
      </w:r>
      <w:r w:rsidRPr="00A96E93">
        <w:rPr>
          <w:sz w:val="22"/>
          <w:szCs w:val="22"/>
          <w:lang w:val="lt-LT"/>
        </w:rPr>
        <w:t xml:space="preserve"> S</w:t>
      </w:r>
      <w:r w:rsidRPr="00A96E93">
        <w:rPr>
          <w:rFonts w:cs="Arial Unicode MS"/>
          <w:sz w:val="22"/>
          <w:szCs w:val="22"/>
          <w:lang w:val="lt-LT"/>
        </w:rPr>
        <w:t>avivaldybės tarybos 2007 m. rugpjūčio 23 d. sprendimu Nr. T–295.</w:t>
      </w:r>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2009-2012 m. Europos Sąjungos kovos su narkotikais veiksmų planas. (2008/C326/09). Europos Sąjungos institucijų ir organų pranešimai.</w:t>
      </w:r>
    </w:p>
    <w:p w:rsidR="00995BE0" w:rsidRPr="00E229AA" w:rsidRDefault="00995BE0" w:rsidP="00C625A5">
      <w:pPr>
        <w:pStyle w:val="Sraopastraipa0"/>
        <w:numPr>
          <w:ilvl w:val="0"/>
          <w:numId w:val="17"/>
        </w:numPr>
        <w:tabs>
          <w:tab w:val="clear" w:pos="720"/>
          <w:tab w:val="num" w:pos="0"/>
        </w:tabs>
        <w:ind w:left="0"/>
        <w:jc w:val="both"/>
        <w:rPr>
          <w:sz w:val="22"/>
          <w:szCs w:val="22"/>
          <w:lang w:eastAsia="ru-RU"/>
        </w:rPr>
      </w:pPr>
      <w:r w:rsidRPr="00E229AA">
        <w:rPr>
          <w:sz w:val="22"/>
          <w:szCs w:val="22"/>
        </w:rPr>
        <w:t>Baltoji knyga „Dėl Europos strategijos su mityba, antsvoriu ir nutukimu susijusiomis sveikatos probl</w:t>
      </w:r>
      <w:r>
        <w:rPr>
          <w:sz w:val="22"/>
          <w:szCs w:val="22"/>
        </w:rPr>
        <w:t>emomis“ KOM(2007) 279 galutinis</w:t>
      </w:r>
      <w:r>
        <w:rPr>
          <w:sz w:val="22"/>
          <w:szCs w:val="22"/>
          <w:lang w:eastAsia="ru-RU"/>
        </w:rPr>
        <w:t xml:space="preserve"> [i</w:t>
      </w:r>
      <w:r w:rsidRPr="00E229AA">
        <w:rPr>
          <w:sz w:val="22"/>
          <w:szCs w:val="22"/>
        </w:rPr>
        <w:t xml:space="preserve">nteraktyvus], [žiūrėta 2010-04-08]. Prieiga per internetą: </w:t>
      </w:r>
      <w:hyperlink r:id="rId92" w:history="1">
        <w:r w:rsidRPr="00E229AA">
          <w:rPr>
            <w:rStyle w:val="Hipersaitas"/>
            <w:sz w:val="22"/>
            <w:szCs w:val="22"/>
            <w:lang w:eastAsia="ru-RU"/>
          </w:rPr>
          <w:t>http://ec.europa.eu/health/ph_determinants/life_style/nutrition/documents/nutrition_wp_lt.pdf</w:t>
        </w:r>
      </w:hyperlink>
      <w:r w:rsidRPr="00E229AA">
        <w:rPr>
          <w:sz w:val="22"/>
          <w:szCs w:val="22"/>
          <w:lang w:eastAsia="ru-RU"/>
        </w:rPr>
        <w:t>.</w:t>
      </w:r>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rPr>
        <w:lastRenderedPageBreak/>
        <w:t xml:space="preserve">Childrens‘s Environment and Health Action Plan for Europe. (2004). EUR/04/504627/7. Budapest, Hungary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http://www.euro.who.int/__data/assets/pdf_file/0006/78639/E83338.pdf</w:t>
      </w:r>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Communication from the Commission Europe 2020. A European strategy for smart, sustainable and inclusive growth. Brussels 3.3.2010 COM(2010)2020  [interaktyvus]</w:t>
      </w:r>
      <w:r>
        <w:rPr>
          <w:sz w:val="22"/>
          <w:szCs w:val="22"/>
        </w:rPr>
        <w:t>,</w:t>
      </w:r>
      <w:r w:rsidRPr="00E229AA">
        <w:rPr>
          <w:sz w:val="22"/>
          <w:szCs w:val="22"/>
        </w:rPr>
        <w:t xml:space="preserve">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93" w:history="1">
        <w:r w:rsidRPr="00E229AA">
          <w:rPr>
            <w:rStyle w:val="Hipersaitas"/>
            <w:sz w:val="22"/>
            <w:szCs w:val="22"/>
          </w:rPr>
          <w:t>http://europa.eu/press_room/pdf/complet_en_barroso___007_-_europe_2020_-_en_version.pdf</w:t>
        </w:r>
      </w:hyperlink>
      <w:r w:rsidRPr="00E229AA">
        <w:rPr>
          <w:sz w:val="22"/>
          <w:szCs w:val="22"/>
        </w:rPr>
        <w:t xml:space="preserve">  </w:t>
      </w:r>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Communication from the Commission to the Council, the European Parliament, the European Economic and Social Committee and the Committee of the Regions – An EU strategy to support Member States in reducing alcohol related harm 24/10/2006. COM (2006) 625 final.</w:t>
      </w:r>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bCs/>
          <w:sz w:val="22"/>
          <w:szCs w:val="22"/>
        </w:rPr>
        <w:t>Communication from the Commission to the European Parliament, the Council, the European Economic and Social Committee and the Committee of the Regions on Action Against Cancer: European Partnership.</w:t>
      </w:r>
      <w:r w:rsidRPr="00E229AA">
        <w:rPr>
          <w:sz w:val="22"/>
          <w:szCs w:val="22"/>
        </w:rPr>
        <w:t xml:space="preserve"> C</w:t>
      </w:r>
      <w:r>
        <w:rPr>
          <w:sz w:val="22"/>
          <w:szCs w:val="22"/>
        </w:rPr>
        <w:t>OM(2009) 291/4, Brussels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94" w:history="1">
        <w:r w:rsidRPr="00E229AA">
          <w:rPr>
            <w:rStyle w:val="Hipersaitas"/>
            <w:sz w:val="22"/>
            <w:szCs w:val="22"/>
          </w:rPr>
          <w:t>http://ec.europa.eu/health/ph_information/dissemination/diseases/docs/com_2009_291.en.pdf</w:t>
        </w:r>
      </w:hyperlink>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bCs/>
          <w:sz w:val="22"/>
          <w:szCs w:val="22"/>
        </w:rPr>
        <w:t>Decision No 779/2007/ec of the European Parliament and of the Council of 20 June 2007 establishing for the period 2007-2013 a specific programme to prevent and combat violence against children, young people and women and to protect victims and groups at risk (Daphne III programme) as part of the General Programme ‘</w:t>
      </w:r>
      <w:r>
        <w:rPr>
          <w:bCs/>
          <w:sz w:val="22"/>
          <w:szCs w:val="22"/>
        </w:rPr>
        <w:t>Fundamental Rights and Justice’</w:t>
      </w:r>
      <w:r w:rsidRPr="00E229AA">
        <w:rPr>
          <w:bCs/>
          <w:sz w:val="22"/>
          <w:szCs w:val="22"/>
        </w:rPr>
        <w:t xml:space="preserve"> </w:t>
      </w:r>
      <w:r>
        <w:rPr>
          <w:sz w:val="22"/>
          <w:szCs w:val="22"/>
        </w:rPr>
        <w:t>[interaktyvus],</w:t>
      </w:r>
      <w:r w:rsidRPr="00E229AA">
        <w:rPr>
          <w:sz w:val="22"/>
          <w:szCs w:val="22"/>
        </w:rPr>
        <w:t xml:space="preserve">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95" w:history="1">
        <w:r w:rsidRPr="00E229AA">
          <w:rPr>
            <w:rStyle w:val="Hipersaitas"/>
            <w:sz w:val="22"/>
            <w:szCs w:val="22"/>
          </w:rPr>
          <w:t>http://eur-lex.europa.eu/LexUriServ/LexUriServ.do?uri=OJ:L:2007:173:0019:0026:EN:PDF</w:t>
        </w:r>
      </w:hyperlink>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Decisions adopted jointly by the european parliament and the Council (2007). Establishing a second programme of Community action in the field of heal</w:t>
      </w:r>
      <w:r>
        <w:rPr>
          <w:sz w:val="22"/>
          <w:szCs w:val="22"/>
        </w:rPr>
        <w:t>th (2008-2013) No 1350/2007/EC</w:t>
      </w:r>
      <w:r w:rsidRPr="00E229AA">
        <w:rPr>
          <w:sz w:val="22"/>
          <w:szCs w:val="22"/>
        </w:rPr>
        <w:t xml:space="preserve"> </w:t>
      </w:r>
      <w:r>
        <w:rPr>
          <w:sz w:val="22"/>
          <w:szCs w:val="22"/>
        </w:rPr>
        <w:t>[i</w:t>
      </w:r>
      <w:r w:rsidRPr="00E229AA">
        <w:rPr>
          <w:sz w:val="22"/>
          <w:szCs w:val="22"/>
        </w:rPr>
        <w:t>nteraktyvus]</w:t>
      </w:r>
      <w:r>
        <w:rPr>
          <w:sz w:val="22"/>
          <w:szCs w:val="22"/>
        </w:rPr>
        <w:t>,</w:t>
      </w:r>
      <w:r w:rsidRPr="00E229AA">
        <w:rPr>
          <w:sz w:val="22"/>
          <w:szCs w:val="22"/>
        </w:rPr>
        <w:t xml:space="preserve"> [žiūrėta 2010-05-28] Prieiga per internetą: </w:t>
      </w:r>
      <w:hyperlink r:id="rId96" w:history="1">
        <w:r w:rsidRPr="00E229AA">
          <w:rPr>
            <w:rStyle w:val="Hipersaitas"/>
            <w:sz w:val="22"/>
            <w:szCs w:val="22"/>
          </w:rPr>
          <w:t>http://eur-lex.europa.eu/LexUriServ/LexUriServ.do?uri=OJ:L:2007:301:0003:0013:EN:PDF</w:t>
        </w:r>
      </w:hyperlink>
    </w:p>
    <w:p w:rsidR="00995BE0" w:rsidRPr="00E229AA" w:rsidRDefault="00995BE0" w:rsidP="00C625A5">
      <w:pPr>
        <w:numPr>
          <w:ilvl w:val="0"/>
          <w:numId w:val="17"/>
        </w:numPr>
        <w:tabs>
          <w:tab w:val="clear" w:pos="720"/>
          <w:tab w:val="num" w:pos="0"/>
        </w:tabs>
        <w:ind w:left="0"/>
        <w:jc w:val="both"/>
        <w:rPr>
          <w:sz w:val="22"/>
          <w:szCs w:val="22"/>
        </w:rPr>
      </w:pPr>
      <w:r w:rsidRPr="00E229AA">
        <w:rPr>
          <w:sz w:val="22"/>
          <w:szCs w:val="22"/>
        </w:rPr>
        <w:t>EuroHeart: Europe</w:t>
      </w:r>
      <w:r>
        <w:rPr>
          <w:sz w:val="22"/>
          <w:szCs w:val="22"/>
        </w:rPr>
        <w:t>an Heart Health Strategy (2010)</w:t>
      </w:r>
      <w:r w:rsidRPr="00E229AA">
        <w:rPr>
          <w:sz w:val="22"/>
          <w:szCs w:val="22"/>
        </w:rPr>
        <w:t xml:space="preserve"> [</w:t>
      </w:r>
      <w:r>
        <w:rPr>
          <w:sz w:val="22"/>
          <w:szCs w:val="22"/>
        </w:rPr>
        <w:t>i</w:t>
      </w:r>
      <w:r w:rsidRPr="00E229AA">
        <w:rPr>
          <w:sz w:val="22"/>
          <w:szCs w:val="22"/>
        </w:rPr>
        <w:t xml:space="preserve">nteraktyvus], [žiūrėta 2010-11-04]. Prieiga per internetą: </w:t>
      </w:r>
      <w:hyperlink r:id="rId97" w:history="1">
        <w:r w:rsidRPr="00E229AA">
          <w:rPr>
            <w:rStyle w:val="Hipersaitas"/>
            <w:sz w:val="22"/>
            <w:szCs w:val="22"/>
          </w:rPr>
          <w:t>http://www.ehnheart.org/euroheart/about.html</w:t>
        </w:r>
      </w:hyperlink>
      <w:r w:rsidRPr="00E229AA">
        <w:rPr>
          <w:sz w:val="22"/>
          <w:szCs w:val="22"/>
        </w:rPr>
        <w:t xml:space="preserve"> </w:t>
      </w:r>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lang w:val="en-US"/>
        </w:rPr>
        <w:t>European Strategy for Child and Adolescent Health and Development.</w:t>
      </w:r>
      <w:r w:rsidRPr="00E229AA">
        <w:rPr>
          <w:sz w:val="22"/>
          <w:szCs w:val="22"/>
        </w:rPr>
        <w:t xml:space="preserve"> (2005). EUR/05/5048378. WHO.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98" w:history="1">
        <w:r w:rsidRPr="00E229AA">
          <w:rPr>
            <w:rStyle w:val="Hipersaitas"/>
            <w:sz w:val="22"/>
            <w:szCs w:val="22"/>
          </w:rPr>
          <w:t>http://www.euro.who.int/__data/assets/pdf_file/0020/79400/E87710.pdf</w:t>
        </w:r>
      </w:hyperlink>
    </w:p>
    <w:p w:rsidR="00995BE0" w:rsidRPr="00E229AA" w:rsidRDefault="00995BE0" w:rsidP="00C625A5">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 xml:space="preserve">Europos bendrijų komisija. (2006). </w:t>
      </w:r>
      <w:r w:rsidRPr="00E229AA">
        <w:rPr>
          <w:bCs/>
          <w:sz w:val="22"/>
          <w:szCs w:val="22"/>
        </w:rPr>
        <w:t>Tarybos rekomendacija „Dėl traumų prevencijos ir saugumo skatinimo“</w:t>
      </w:r>
      <w:r w:rsidRPr="00E229AA">
        <w:rPr>
          <w:sz w:val="22"/>
          <w:szCs w:val="22"/>
        </w:rPr>
        <w:t xml:space="preserve"> KOM(2006) 329 galutinis. Briuselis.</w:t>
      </w:r>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 xml:space="preserve">Europos paktas dėl psichinės sveikatos ir gerovės. (2008). [Interaktyvus], [žiūrėta 2010-05-28]. Prieiga per internetą: </w:t>
      </w:r>
      <w:hyperlink r:id="rId99" w:history="1">
        <w:r w:rsidRPr="00E229AA">
          <w:rPr>
            <w:rStyle w:val="Hipersaitas"/>
            <w:sz w:val="22"/>
            <w:szCs w:val="22"/>
          </w:rPr>
          <w:t>http://ec.europa.eu/health/mental_health/docs/mhpact_lt.pdf</w:t>
        </w:r>
      </w:hyperlink>
    </w:p>
    <w:p w:rsidR="00995BE0" w:rsidRPr="00E229AA" w:rsidRDefault="00995BE0" w:rsidP="00BB2B17">
      <w:pPr>
        <w:pStyle w:val="Sraopastraipa0"/>
        <w:numPr>
          <w:ilvl w:val="0"/>
          <w:numId w:val="17"/>
        </w:numPr>
        <w:tabs>
          <w:tab w:val="clear" w:pos="720"/>
          <w:tab w:val="num" w:pos="0"/>
        </w:tabs>
        <w:ind w:left="0"/>
        <w:jc w:val="both"/>
        <w:rPr>
          <w:sz w:val="22"/>
          <w:szCs w:val="22"/>
          <w:lang w:eastAsia="ru-RU"/>
        </w:rPr>
      </w:pPr>
      <w:r w:rsidRPr="00E229AA">
        <w:rPr>
          <w:sz w:val="22"/>
          <w:szCs w:val="22"/>
        </w:rPr>
        <w:t>E</w:t>
      </w:r>
      <w:r w:rsidRPr="00E229AA">
        <w:rPr>
          <w:bCs/>
          <w:sz w:val="22"/>
          <w:szCs w:val="22"/>
        </w:rPr>
        <w:t>uropos Sąjungos pag</w:t>
      </w:r>
      <w:r>
        <w:rPr>
          <w:bCs/>
          <w:sz w:val="22"/>
          <w:szCs w:val="22"/>
        </w:rPr>
        <w:t>rindinių teisių chartija (2007)</w:t>
      </w:r>
      <w:r>
        <w:rPr>
          <w:sz w:val="22"/>
          <w:szCs w:val="22"/>
        </w:rPr>
        <w:t xml:space="preserve"> [i</w:t>
      </w:r>
      <w:r w:rsidRPr="00E229AA">
        <w:rPr>
          <w:sz w:val="22"/>
          <w:szCs w:val="22"/>
        </w:rPr>
        <w:t xml:space="preserve">nteraktyvus], [žiūrėta 2010-04-08]. Prieiga per internetą: </w:t>
      </w:r>
      <w:r w:rsidRPr="00E229AA">
        <w:rPr>
          <w:bCs/>
          <w:sz w:val="22"/>
          <w:szCs w:val="22"/>
        </w:rPr>
        <w:t>http://eur-lex.europa.eu/lt/treaties/dat/32007X1214/htm/C2007303LT.01000101.htm</w:t>
      </w:r>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Europos širdie</w:t>
      </w:r>
      <w:r>
        <w:rPr>
          <w:sz w:val="22"/>
          <w:szCs w:val="22"/>
        </w:rPr>
        <w:t>s sveikatos chartija. (2007) [i</w:t>
      </w:r>
      <w:r w:rsidRPr="00E229AA">
        <w:rPr>
          <w:sz w:val="22"/>
          <w:szCs w:val="22"/>
        </w:rPr>
        <w:t xml:space="preserve">nteraktyvus], [žiūrėta 2010-05-28]. Prieiga per internetą: </w:t>
      </w:r>
      <w:hyperlink r:id="rId100" w:history="1">
        <w:r w:rsidRPr="00E229AA">
          <w:rPr>
            <w:rStyle w:val="Hipersaitas"/>
            <w:sz w:val="22"/>
            <w:szCs w:val="22"/>
          </w:rPr>
          <w:t>http://www.ehnheart.org/euroheart/european-health-charter.html</w:t>
        </w:r>
      </w:hyperlink>
    </w:p>
    <w:p w:rsidR="00995BE0" w:rsidRPr="00E229AA" w:rsidRDefault="00995BE0" w:rsidP="00BB2B17">
      <w:pPr>
        <w:pStyle w:val="Sraopastraipa0"/>
        <w:numPr>
          <w:ilvl w:val="0"/>
          <w:numId w:val="17"/>
        </w:numPr>
        <w:tabs>
          <w:tab w:val="clear" w:pos="720"/>
          <w:tab w:val="num" w:pos="0"/>
        </w:tabs>
        <w:ind w:left="0"/>
        <w:jc w:val="both"/>
        <w:rPr>
          <w:sz w:val="22"/>
          <w:szCs w:val="22"/>
        </w:rPr>
      </w:pPr>
      <w:r w:rsidRPr="00E229AA">
        <w:rPr>
          <w:sz w:val="22"/>
          <w:szCs w:val="22"/>
        </w:rPr>
        <w:t>Lietuvos nacionalinės visuomenės sveikatos priežiūros 2006 – 2013 metų strategija // Valstybės žinios. 2009, Nr. 22-854 [interaktyvus], [žiūrėta 2010-05-27]. Prieiga per internetą:</w:t>
      </w:r>
      <w:r w:rsidRPr="00E229AA">
        <w:rPr>
          <w:sz w:val="22"/>
          <w:szCs w:val="22"/>
        </w:rPr>
        <w:br/>
      </w:r>
      <w:hyperlink r:id="rId101" w:history="1">
        <w:r w:rsidRPr="00E229AA">
          <w:rPr>
            <w:rStyle w:val="Hipersaitas"/>
            <w:sz w:val="22"/>
            <w:szCs w:val="22"/>
          </w:rPr>
          <w:t>http://www3.lrs.lt/pls/inter3/dokpaieska.showdoc_l?p_id=337959&amp;p_query=&amp;p_tr2=</w:t>
        </w:r>
      </w:hyperlink>
      <w:r w:rsidRPr="00E229AA">
        <w:rPr>
          <w:sz w:val="22"/>
          <w:szCs w:val="22"/>
        </w:rPr>
        <w:t>.</w:t>
      </w:r>
    </w:p>
    <w:p w:rsidR="00995BE0" w:rsidRDefault="00995BE0" w:rsidP="00777F15">
      <w:pPr>
        <w:pStyle w:val="Puslapioinaostekstas"/>
        <w:numPr>
          <w:ilvl w:val="0"/>
          <w:numId w:val="17"/>
        </w:numPr>
        <w:tabs>
          <w:tab w:val="clear" w:pos="720"/>
          <w:tab w:val="num" w:pos="0"/>
        </w:tabs>
        <w:ind w:left="0"/>
        <w:jc w:val="both"/>
        <w:rPr>
          <w:sz w:val="22"/>
          <w:szCs w:val="22"/>
          <w:lang w:val="lt-LT"/>
        </w:rPr>
      </w:pPr>
      <w:r>
        <w:rPr>
          <w:sz w:val="22"/>
          <w:szCs w:val="22"/>
          <w:lang w:val="lt-LT"/>
        </w:rPr>
        <w:t xml:space="preserve">Lietuvos pažangos strategija 2030 (2010) [interaktyvus], [žiūrėta 2011-04-28]. Prieiga per internetą: </w:t>
      </w:r>
      <w:hyperlink r:id="rId102" w:history="1">
        <w:r w:rsidRPr="00A06ACF">
          <w:rPr>
            <w:rStyle w:val="Hipersaitas"/>
            <w:sz w:val="22"/>
            <w:szCs w:val="22"/>
            <w:lang w:val="lt-LT"/>
          </w:rPr>
          <w:t>http://lms.lt/files/active/0/2011-02-18_Lietuva2030.pdf</w:t>
        </w:r>
      </w:hyperlink>
      <w:r>
        <w:rPr>
          <w:sz w:val="22"/>
          <w:szCs w:val="22"/>
          <w:lang w:val="lt-LT"/>
        </w:rPr>
        <w:t xml:space="preserve"> </w:t>
      </w:r>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 xml:space="preserve">Lietuvos Psichikos sveikatos strategija. Žin., 2007, Nr. 42-1572. [Interaktyvus], [žiūrėta 2010-05-28]. Prieiga per internetą: </w:t>
      </w:r>
      <w:hyperlink r:id="rId103" w:history="1">
        <w:r w:rsidRPr="00E229AA">
          <w:rPr>
            <w:rStyle w:val="Hipersaitas"/>
            <w:sz w:val="22"/>
            <w:szCs w:val="22"/>
          </w:rPr>
          <w:t>http://www3.lrs.lt/pls/inter3/dokpaieska.showdoc_l?p_id=295147&amp;p_query=&amp;p_tr2</w:t>
        </w:r>
      </w:hyperlink>
      <w:r w:rsidRPr="00E229AA">
        <w:rPr>
          <w:sz w:val="22"/>
          <w:szCs w:val="22"/>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2004 – 2006 metų Nacionalinės kovos su skurdu ir socialine atskirtimi veiksmų planas [interaktyvus] [žiūrėta 2011-01-12]. Prieiga per internetą: </w:t>
      </w:r>
      <w:hyperlink r:id="rId104" w:history="1">
        <w:r w:rsidRPr="00E229AA">
          <w:rPr>
            <w:rStyle w:val="Hipersaitas"/>
            <w:sz w:val="22"/>
            <w:szCs w:val="22"/>
          </w:rPr>
          <w:t>http://www.skurdas.lt/files/main/NAP_2004-2006_LT.pdf</w:t>
        </w:r>
      </w:hyperlink>
      <w:r w:rsidRPr="00E229AA">
        <w:rPr>
          <w:sz w:val="22"/>
          <w:szCs w:val="22"/>
        </w:rPr>
        <w:t xml:space="preserve"> </w:t>
      </w:r>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t xml:space="preserve">Lietuvos Respublikos alkoholio kontrolės įstatymas//Valstybės žinios. 1995, Nr. </w:t>
      </w:r>
      <w:hyperlink r:id="rId105" w:history="1">
        <w:r w:rsidRPr="00E229AA">
          <w:rPr>
            <w:rStyle w:val="Hipersaitas"/>
            <w:sz w:val="22"/>
            <w:szCs w:val="22"/>
          </w:rPr>
          <w:t>44-1073</w:t>
        </w:r>
      </w:hyperlink>
      <w:r w:rsidRPr="00E229AA">
        <w:rPr>
          <w:sz w:val="22"/>
          <w:szCs w:val="22"/>
        </w:rPr>
        <w:t xml:space="preserve">; 2004, Nr. </w:t>
      </w:r>
      <w:hyperlink r:id="rId106" w:history="1">
        <w:r w:rsidRPr="00E229AA">
          <w:rPr>
            <w:rStyle w:val="Hipersaitas"/>
            <w:sz w:val="22"/>
            <w:szCs w:val="22"/>
          </w:rPr>
          <w:t>47-1548</w:t>
        </w:r>
      </w:hyperlink>
      <w:r w:rsidRPr="00E229AA">
        <w:rPr>
          <w:sz w:val="22"/>
          <w:szCs w:val="22"/>
        </w:rPr>
        <w:t xml:space="preserve">, Nr. </w:t>
      </w:r>
      <w:hyperlink r:id="rId107" w:history="1">
        <w:r w:rsidRPr="00E229AA">
          <w:rPr>
            <w:rStyle w:val="Hipersaitas"/>
            <w:sz w:val="22"/>
            <w:szCs w:val="22"/>
          </w:rPr>
          <w:t>168-6174</w:t>
        </w:r>
      </w:hyperlink>
      <w:r w:rsidRPr="00E229AA">
        <w:rPr>
          <w:sz w:val="22"/>
          <w:szCs w:val="22"/>
        </w:rPr>
        <w:t xml:space="preserve">; 2006, Nr. </w:t>
      </w:r>
      <w:hyperlink r:id="rId108" w:history="1">
        <w:r w:rsidRPr="00E229AA">
          <w:rPr>
            <w:rStyle w:val="Hipersaitas"/>
            <w:sz w:val="22"/>
            <w:szCs w:val="22"/>
          </w:rPr>
          <w:t>127-4822</w:t>
        </w:r>
      </w:hyperlink>
      <w:r w:rsidRPr="00E229AA">
        <w:rPr>
          <w:sz w:val="22"/>
          <w:szCs w:val="22"/>
        </w:rPr>
        <w:t xml:space="preserve">; 2007, Nr. </w:t>
      </w:r>
      <w:hyperlink r:id="rId109" w:history="1">
        <w:r w:rsidRPr="00E229AA">
          <w:rPr>
            <w:rStyle w:val="Hipersaitas"/>
            <w:sz w:val="22"/>
            <w:szCs w:val="22"/>
          </w:rPr>
          <w:t>77-3041</w:t>
        </w:r>
      </w:hyperlink>
      <w:r w:rsidRPr="00E229AA">
        <w:rPr>
          <w:sz w:val="22"/>
          <w:szCs w:val="22"/>
        </w:rPr>
        <w:t xml:space="preserve">; 2008, Nr. 48-1771 [interaktyvus] [žiūrėta 2011-01-12]. Prieiga per internetą: </w:t>
      </w:r>
      <w:hyperlink r:id="rId110" w:history="1">
        <w:r w:rsidRPr="00E229AA">
          <w:rPr>
            <w:rStyle w:val="Hipersaitas"/>
            <w:sz w:val="22"/>
            <w:szCs w:val="22"/>
          </w:rPr>
          <w:t>http://www3.lrs.lt/pls/inter3/dokpaieska.showdoc_l?p_id=389166</w:t>
        </w:r>
      </w:hyperlink>
      <w:r w:rsidRPr="00E229AA">
        <w:rPr>
          <w:sz w:val="22"/>
          <w:szCs w:val="22"/>
        </w:rPr>
        <w:t xml:space="preserve"> </w:t>
      </w:r>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t xml:space="preserve">Lietuvos Respublikos atliekų tvarkymo įstatymas//Valstybės žinios. 1998, Nr. </w:t>
      </w:r>
      <w:hyperlink r:id="rId111" w:history="1">
        <w:r w:rsidRPr="00E229AA">
          <w:rPr>
            <w:rStyle w:val="Hipersaitas"/>
            <w:sz w:val="22"/>
            <w:szCs w:val="22"/>
          </w:rPr>
          <w:t>61-1726</w:t>
        </w:r>
      </w:hyperlink>
      <w:r w:rsidRPr="00E229AA">
        <w:rPr>
          <w:sz w:val="22"/>
          <w:szCs w:val="22"/>
        </w:rPr>
        <w:t xml:space="preserve">; 2002, Nr. </w:t>
      </w:r>
      <w:hyperlink r:id="rId112" w:history="1">
        <w:r w:rsidRPr="00E229AA">
          <w:rPr>
            <w:rStyle w:val="Hipersaitas"/>
            <w:sz w:val="22"/>
            <w:szCs w:val="22"/>
          </w:rPr>
          <w:t>72-3016</w:t>
        </w:r>
      </w:hyperlink>
      <w:r w:rsidRPr="00E229AA">
        <w:rPr>
          <w:sz w:val="22"/>
          <w:szCs w:val="22"/>
        </w:rPr>
        <w:t xml:space="preserve"> [interaktyvus] [žiūrėta 2011-01-12]. Prieiga per internetą: </w:t>
      </w:r>
      <w:hyperlink r:id="rId113" w:history="1">
        <w:r w:rsidRPr="00E229AA">
          <w:rPr>
            <w:rStyle w:val="Hipersaitas"/>
            <w:sz w:val="22"/>
            <w:szCs w:val="22"/>
          </w:rPr>
          <w:t>http://www3.lrs.lt/pls/inter3/dokpaieska.showdoc_l?p_id=171181</w:t>
        </w:r>
      </w:hyperlink>
      <w:r w:rsidRPr="00E229AA">
        <w:rPr>
          <w:sz w:val="22"/>
          <w:szCs w:val="22"/>
        </w:rPr>
        <w:t xml:space="preserve"> </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Aukščiausiosios Tarybos  nutarimas „Dėl Lietuvos nacionalinės sveikatos koncepcijos ir jos įgyvendinimo“// Valstybės žinios. 1991, Nr. 33-893 [interaktyvus], [žiūrėta 2011-02-28]. Prieiga per internetą: </w:t>
      </w:r>
      <w:hyperlink r:id="rId114" w:history="1">
        <w:r w:rsidRPr="00E229AA">
          <w:rPr>
            <w:rStyle w:val="Hipersaitas"/>
            <w:sz w:val="22"/>
            <w:szCs w:val="22"/>
          </w:rPr>
          <w:t>http://www3.lrs.lt/pls/inter3/dokpaieska.showdoc_l?p_id=3044&amp;p_query=&amp;p_tr2</w:t>
        </w:r>
      </w:hyperlink>
      <w:r w:rsidRPr="00E229AA">
        <w:rPr>
          <w:sz w:val="22"/>
          <w:szCs w:val="22"/>
        </w:rPr>
        <w:t xml:space="preserve">= </w:t>
      </w:r>
    </w:p>
    <w:p w:rsidR="00995BE0" w:rsidRPr="00A96E93" w:rsidRDefault="00995BE0" w:rsidP="00777F15">
      <w:pPr>
        <w:pStyle w:val="Puslapioinaostekstas"/>
        <w:numPr>
          <w:ilvl w:val="0"/>
          <w:numId w:val="17"/>
        </w:numPr>
        <w:tabs>
          <w:tab w:val="clear" w:pos="720"/>
          <w:tab w:val="num" w:pos="0"/>
        </w:tabs>
        <w:ind w:left="0"/>
        <w:jc w:val="both"/>
        <w:rPr>
          <w:sz w:val="22"/>
          <w:szCs w:val="22"/>
          <w:lang w:val="lt-LT"/>
        </w:rPr>
      </w:pPr>
      <w:r w:rsidRPr="00A96E93">
        <w:rPr>
          <w:sz w:val="22"/>
          <w:szCs w:val="22"/>
          <w:lang w:val="lt-LT"/>
        </w:rPr>
        <w:t>Lietuvos Respublikos biomedicininių tyrimų etikos į</w:t>
      </w:r>
      <w:r>
        <w:rPr>
          <w:sz w:val="22"/>
          <w:szCs w:val="22"/>
          <w:lang w:val="lt-LT"/>
        </w:rPr>
        <w:t>statymas//Valstybės žinios. 2000, Nr. 44-1247.</w:t>
      </w:r>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lastRenderedPageBreak/>
        <w:t xml:space="preserve">Lietuvos Respublikos darbuotojų saugos ir sveikatos įstatymas//Valstybės žinios. 2003, Nr. </w:t>
      </w:r>
      <w:hyperlink r:id="rId115" w:history="1">
        <w:r w:rsidRPr="00E229AA">
          <w:rPr>
            <w:rStyle w:val="Hipersaitas"/>
            <w:sz w:val="22"/>
            <w:szCs w:val="22"/>
          </w:rPr>
          <w:t>70-3170</w:t>
        </w:r>
      </w:hyperlink>
      <w:r w:rsidRPr="00E229AA">
        <w:rPr>
          <w:sz w:val="22"/>
          <w:szCs w:val="22"/>
        </w:rPr>
        <w:t xml:space="preserve"> [interaktyvus], [žiūrėta 2011-02-28]. Prieiga per internetą: </w:t>
      </w:r>
      <w:hyperlink r:id="rId116" w:history="1">
        <w:r w:rsidRPr="00E229AA">
          <w:rPr>
            <w:rStyle w:val="Hipersaitas"/>
            <w:sz w:val="22"/>
            <w:szCs w:val="22"/>
          </w:rPr>
          <w:t>http://www3.lrs.lt/pls/inter3/dokpaieska.showdoc_l?p_id=389641</w:t>
        </w:r>
      </w:hyperlink>
      <w:r w:rsidRPr="00E229AA">
        <w:rPr>
          <w:sz w:val="22"/>
          <w:szCs w:val="22"/>
        </w:rPr>
        <w:t xml:space="preserve"> </w:t>
      </w:r>
    </w:p>
    <w:p w:rsidR="00995BE0" w:rsidRPr="00E229AA" w:rsidRDefault="00995BE0" w:rsidP="00BB2B17">
      <w:pPr>
        <w:pStyle w:val="Sraopastraipa"/>
        <w:numPr>
          <w:ilvl w:val="0"/>
          <w:numId w:val="17"/>
        </w:numPr>
        <w:tabs>
          <w:tab w:val="clear" w:pos="720"/>
          <w:tab w:val="num" w:pos="0"/>
        </w:tabs>
        <w:autoSpaceDE w:val="0"/>
        <w:autoSpaceDN w:val="0"/>
        <w:adjustRightInd w:val="0"/>
        <w:ind w:left="0"/>
        <w:jc w:val="both"/>
        <w:rPr>
          <w:sz w:val="22"/>
          <w:szCs w:val="22"/>
        </w:rPr>
      </w:pPr>
      <w:r w:rsidRPr="00E229AA">
        <w:rPr>
          <w:sz w:val="22"/>
          <w:szCs w:val="22"/>
        </w:rPr>
        <w:t xml:space="preserve">Lietuvos Respublikos geriamojo vandens įstatymas//Valstybės žinios. 2001, Nr. </w:t>
      </w:r>
      <w:hyperlink r:id="rId117" w:history="1">
        <w:r w:rsidRPr="00E229AA">
          <w:rPr>
            <w:rStyle w:val="Hipersaitas"/>
            <w:sz w:val="22"/>
            <w:szCs w:val="22"/>
          </w:rPr>
          <w:t>64-2327</w:t>
        </w:r>
      </w:hyperlink>
      <w:r w:rsidRPr="00E229AA">
        <w:rPr>
          <w:sz w:val="22"/>
          <w:szCs w:val="22"/>
        </w:rPr>
        <w:t xml:space="preserve"> [interaktyvus], [žiūrėta 2011-02-28]. Prieiga per internetą: </w:t>
      </w:r>
      <w:hyperlink r:id="rId118" w:history="1">
        <w:r w:rsidRPr="00E229AA">
          <w:rPr>
            <w:rStyle w:val="Hipersaitas"/>
            <w:sz w:val="22"/>
            <w:szCs w:val="22"/>
          </w:rPr>
          <w:t>http://www3.lrs.lt/pls/inter2/dokpaieska.showdoc_l?p_id=389378</w:t>
        </w:r>
      </w:hyperlink>
      <w:r w:rsidRPr="00E229AA">
        <w:rPr>
          <w:sz w:val="22"/>
          <w:szCs w:val="22"/>
        </w:rPr>
        <w:t xml:space="preserve"> </w:t>
      </w:r>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t xml:space="preserve">Lietuvos Respublikos narkotikų ir psichotropinių medžiagų kontrolės įstatymas //Valstybės žinios. 1998, Nr. </w:t>
      </w:r>
      <w:hyperlink r:id="rId119" w:history="1">
        <w:r w:rsidRPr="00E229AA">
          <w:rPr>
            <w:rStyle w:val="Hipersaitas"/>
            <w:sz w:val="22"/>
            <w:szCs w:val="22"/>
          </w:rPr>
          <w:t>8-161</w:t>
        </w:r>
      </w:hyperlink>
      <w:r w:rsidRPr="00E229AA">
        <w:rPr>
          <w:sz w:val="22"/>
          <w:szCs w:val="22"/>
        </w:rPr>
        <w:t xml:space="preserve">, 2000, Nr. 61-1807; 2002, Nr. 123-5536 [interaktyvus], [žiūrėta 2011-02-28]. Prieiga per internetą: </w:t>
      </w:r>
      <w:hyperlink r:id="rId120" w:history="1">
        <w:r w:rsidRPr="00E229AA">
          <w:rPr>
            <w:rStyle w:val="Hipersaitas"/>
            <w:sz w:val="22"/>
            <w:szCs w:val="22"/>
          </w:rPr>
          <w:t>http://www3.lrs.lt/pls/inter2/dokpaieska.showdoc_l?p_id=385610</w:t>
        </w:r>
      </w:hyperlink>
      <w:r w:rsidRPr="00E229AA">
        <w:rPr>
          <w:sz w:val="22"/>
          <w:szCs w:val="22"/>
        </w:rPr>
        <w:t xml:space="preserve"> </w:t>
      </w:r>
    </w:p>
    <w:p w:rsidR="00995BE0" w:rsidRPr="00E229AA" w:rsidRDefault="00995BE0" w:rsidP="00BB2B17">
      <w:pPr>
        <w:pStyle w:val="pavadinimas1"/>
        <w:numPr>
          <w:ilvl w:val="0"/>
          <w:numId w:val="17"/>
        </w:numPr>
        <w:tabs>
          <w:tab w:val="clear" w:pos="720"/>
          <w:tab w:val="num" w:pos="0"/>
        </w:tabs>
        <w:spacing w:before="0" w:beforeAutospacing="0" w:after="0" w:afterAutospacing="0"/>
        <w:ind w:left="0"/>
        <w:jc w:val="both"/>
        <w:rPr>
          <w:color w:val="00FF00"/>
          <w:sz w:val="22"/>
          <w:szCs w:val="22"/>
        </w:rPr>
      </w:pPr>
      <w:r w:rsidRPr="00E229AA">
        <w:rPr>
          <w:sz w:val="22"/>
          <w:szCs w:val="22"/>
        </w:rPr>
        <w:t xml:space="preserve">Lietuvos Respublikos statistikos įstatymas//Valstybės žinios. 1993, Nr. 54-1048; 1999, Nr. 114-3299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w:t>
      </w:r>
      <w:r w:rsidRPr="00E229AA">
        <w:rPr>
          <w:sz w:val="22"/>
          <w:szCs w:val="22"/>
        </w:rPr>
        <w:t xml:space="preserve"> http://www3.lrs.lt/pls/inter3/dokpaieska.showdoc_l?p_id=387210</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sveikatos apsaugos ir Lietuvos Respublikos švietimo ir mokslo ministro įsakymas „Dėl sveikatos apsaugos politikos strateginių gairių vaikų ir moksleivių sveikatos srityje“//Valstybės žinios. 2000, Nr. 27-738 [interaktyvus], [žiūrėta 2011-02-28]. </w:t>
      </w:r>
      <w:r w:rsidRPr="00E229AA">
        <w:rPr>
          <w:color w:val="000000"/>
          <w:sz w:val="22"/>
          <w:szCs w:val="22"/>
        </w:rPr>
        <w:t>Prieiga per internetą</w:t>
      </w:r>
      <w:r w:rsidRPr="00E229AA">
        <w:rPr>
          <w:sz w:val="22"/>
          <w:szCs w:val="22"/>
        </w:rPr>
        <w:t xml:space="preserve">: </w:t>
      </w:r>
      <w:hyperlink r:id="rId121" w:history="1">
        <w:r w:rsidRPr="00E229AA">
          <w:rPr>
            <w:rStyle w:val="Hipersaitas"/>
            <w:sz w:val="22"/>
            <w:szCs w:val="22"/>
          </w:rPr>
          <w:t>http://www3.lrs.lt/pls/inter3/dokpaieska.showdoc_l?p_id=98076&amp;p_query=&amp;p_tr2</w:t>
        </w:r>
      </w:hyperlink>
      <w:r w:rsidRPr="00E229AA">
        <w:rPr>
          <w:sz w:val="22"/>
          <w:szCs w:val="22"/>
        </w:rPr>
        <w:t>=</w:t>
      </w:r>
    </w:p>
    <w:p w:rsidR="00995BE0" w:rsidRPr="00E229AA" w:rsidRDefault="00995BE0" w:rsidP="00BB2B17">
      <w:pPr>
        <w:pStyle w:val="istatymas"/>
        <w:numPr>
          <w:ilvl w:val="0"/>
          <w:numId w:val="17"/>
        </w:numPr>
        <w:tabs>
          <w:tab w:val="clear" w:pos="720"/>
          <w:tab w:val="num" w:pos="0"/>
        </w:tabs>
        <w:spacing w:before="0" w:beforeAutospacing="0" w:after="0" w:afterAutospacing="0"/>
        <w:ind w:left="0"/>
        <w:jc w:val="both"/>
        <w:rPr>
          <w:sz w:val="22"/>
          <w:szCs w:val="22"/>
        </w:rPr>
      </w:pPr>
      <w:r w:rsidRPr="00E229AA">
        <w:rPr>
          <w:sz w:val="22"/>
          <w:szCs w:val="22"/>
        </w:rPr>
        <w:t xml:space="preserve">Lietuvos Respublikos sveikatos apsaugos ministro „Dėl savivaldybėms skirtų visuomenės sveikatos stebėsenos atlikimo rekomendacijų patvirtinimo“// Valstybės žinios. 2009, Nr. 18-715 [interaktyvus], [žiūrėta 2011-02-28]. </w:t>
      </w:r>
      <w:r w:rsidRPr="00E229AA">
        <w:rPr>
          <w:color w:val="000000"/>
          <w:sz w:val="22"/>
          <w:szCs w:val="22"/>
        </w:rPr>
        <w:t>Prieiga per internetą</w:t>
      </w:r>
      <w:r w:rsidRPr="00E229AA">
        <w:rPr>
          <w:sz w:val="22"/>
          <w:szCs w:val="22"/>
        </w:rPr>
        <w:t xml:space="preserve">: </w:t>
      </w:r>
      <w:hyperlink r:id="rId122" w:history="1">
        <w:r w:rsidRPr="00E229AA">
          <w:rPr>
            <w:rStyle w:val="Hipersaitas"/>
            <w:sz w:val="22"/>
            <w:szCs w:val="22"/>
          </w:rPr>
          <w:t>http://www3.lrs.lt/pls/inter3/dokpaieska.showdoc_l?p_id=337509&amp;p_query=&amp;p_tr2</w:t>
        </w:r>
      </w:hyperlink>
      <w:r w:rsidRPr="00E229AA">
        <w:rPr>
          <w:sz w:val="22"/>
          <w:szCs w:val="22"/>
        </w:rPr>
        <w:t xml:space="preserve">= </w:t>
      </w:r>
    </w:p>
    <w:p w:rsidR="00995BE0" w:rsidRPr="00E229AA" w:rsidRDefault="00995BE0" w:rsidP="00BB2B17">
      <w:pPr>
        <w:pStyle w:val="pavadinimas1"/>
        <w:numPr>
          <w:ilvl w:val="0"/>
          <w:numId w:val="17"/>
        </w:numPr>
        <w:tabs>
          <w:tab w:val="clear" w:pos="720"/>
          <w:tab w:val="num" w:pos="0"/>
        </w:tabs>
        <w:spacing w:before="0" w:beforeAutospacing="0" w:after="0" w:afterAutospacing="0"/>
        <w:ind w:left="0"/>
        <w:jc w:val="both"/>
        <w:rPr>
          <w:sz w:val="22"/>
          <w:szCs w:val="22"/>
        </w:rPr>
      </w:pPr>
      <w:r w:rsidRPr="00E229AA">
        <w:rPr>
          <w:sz w:val="22"/>
          <w:szCs w:val="22"/>
        </w:rPr>
        <w:t xml:space="preserve">Lietuvos Respublikos sveikatos apsaugos ministro 2003 m. rugpjūčio 19 d. įsakymas Nr. V-500 „Dėl Valstybės visuomenės sveikatos stebėsenos nuostatų tvirtinimo“//Valstybės žinios. 2003, Nr. 82-3768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123" w:history="1">
        <w:r w:rsidRPr="007047A8">
          <w:rPr>
            <w:rStyle w:val="Hipersaitas"/>
            <w:sz w:val="22"/>
            <w:szCs w:val="22"/>
          </w:rPr>
          <w:t>http://www3.lrs.lt/pls/inter3/dokpaieska.showdoc_l?p_id=216747&amp;p_query=&amp;p_tr2</w:t>
        </w:r>
      </w:hyperlink>
      <w:r w:rsidRPr="00E229AA">
        <w:rPr>
          <w:sz w:val="22"/>
          <w:szCs w:val="22"/>
        </w:rPr>
        <w:t>=</w:t>
      </w:r>
      <w:r>
        <w:rPr>
          <w:sz w:val="22"/>
          <w:szCs w:val="22"/>
        </w:rPr>
        <w:t xml:space="preserve"> </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sveikatos apsaugos ministro 2007 m. lapkričio 15 d. Nr. V-918 įsakymas „Dėl savivaldybės visuomenės sveikatos biure privalomų pareigybių sąrašo ir joms keliamų kvalifikacinių reikalavimų patvirtinimo“//Valstybės Žinios. 2007, Nr. 121-4983. </w:t>
      </w:r>
    </w:p>
    <w:p w:rsidR="00995BE0" w:rsidRPr="00E229AA" w:rsidRDefault="00995BE0" w:rsidP="00BB2B17">
      <w:pPr>
        <w:pStyle w:val="Pavadinimas10"/>
        <w:numPr>
          <w:ilvl w:val="0"/>
          <w:numId w:val="17"/>
        </w:numPr>
        <w:tabs>
          <w:tab w:val="clear" w:pos="720"/>
          <w:tab w:val="num" w:pos="0"/>
        </w:tabs>
        <w:ind w:left="0"/>
        <w:jc w:val="both"/>
        <w:rPr>
          <w:rFonts w:ascii="Times New Roman" w:hAnsi="Times New Roman"/>
          <w:b w:val="0"/>
          <w:bCs w:val="0"/>
          <w:lang w:val="lt-LT"/>
        </w:rPr>
      </w:pPr>
      <w:r w:rsidRPr="00E229AA">
        <w:rPr>
          <w:rStyle w:val="prastasistinklapisDiagrama"/>
          <w:rFonts w:ascii="Times New Roman" w:hAnsi="Times New Roman"/>
          <w:b w:val="0"/>
          <w:caps w:val="0"/>
          <w:sz w:val="22"/>
          <w:szCs w:val="22"/>
        </w:rPr>
        <w:t xml:space="preserve">Lietuvos Respublikos sveikatos apsaugos ministro </w:t>
      </w:r>
      <w:r w:rsidRPr="00E229AA">
        <w:rPr>
          <w:rFonts w:ascii="Times New Roman" w:hAnsi="Times New Roman"/>
          <w:b w:val="0"/>
          <w:caps w:val="0"/>
          <w:lang w:val="lt-LT"/>
        </w:rPr>
        <w:t>2007 m. rugpjūčio 1 d.</w:t>
      </w:r>
      <w:r w:rsidRPr="00E229AA">
        <w:rPr>
          <w:rFonts w:ascii="Times New Roman" w:hAnsi="Times New Roman"/>
          <w:caps w:val="0"/>
          <w:lang w:val="lt-LT"/>
        </w:rPr>
        <w:t xml:space="preserve"> </w:t>
      </w:r>
      <w:r w:rsidRPr="00E229AA">
        <w:rPr>
          <w:rStyle w:val="prastasistinklapisDiagrama"/>
          <w:rFonts w:ascii="Times New Roman" w:hAnsi="Times New Roman"/>
          <w:b w:val="0"/>
          <w:caps w:val="0"/>
          <w:sz w:val="22"/>
          <w:szCs w:val="22"/>
        </w:rPr>
        <w:t xml:space="preserve"> Įsakymas Nr. V-630</w:t>
      </w:r>
      <w:r w:rsidRPr="00E229AA">
        <w:rPr>
          <w:rStyle w:val="prastasistinklapisDiagrama"/>
          <w:rFonts w:ascii="Times New Roman" w:hAnsi="Times New Roman"/>
          <w:b w:val="0"/>
          <w:sz w:val="22"/>
          <w:szCs w:val="22"/>
        </w:rPr>
        <w:t xml:space="preserve"> „</w:t>
      </w:r>
      <w:r w:rsidRPr="00E229AA">
        <w:rPr>
          <w:rStyle w:val="prastasistinklapisDiagrama"/>
          <w:rFonts w:ascii="Times New Roman" w:hAnsi="Times New Roman"/>
          <w:b w:val="0"/>
          <w:caps w:val="0"/>
          <w:sz w:val="22"/>
          <w:szCs w:val="22"/>
        </w:rPr>
        <w:t>Dėl</w:t>
      </w:r>
      <w:r w:rsidRPr="00E229AA">
        <w:rPr>
          <w:rFonts w:ascii="Times New Roman" w:hAnsi="Times New Roman"/>
          <w:lang w:val="lt-LT"/>
        </w:rPr>
        <w:t xml:space="preserve"> </w:t>
      </w:r>
      <w:r w:rsidRPr="00E229AA">
        <w:rPr>
          <w:rFonts w:ascii="Times New Roman" w:hAnsi="Times New Roman"/>
          <w:b w:val="0"/>
          <w:lang w:val="lt-LT"/>
        </w:rPr>
        <w:t>v</w:t>
      </w:r>
      <w:r w:rsidRPr="00E229AA">
        <w:rPr>
          <w:rFonts w:ascii="Times New Roman" w:hAnsi="Times New Roman"/>
          <w:b w:val="0"/>
          <w:bCs w:val="0"/>
          <w:caps w:val="0"/>
          <w:lang w:val="lt-LT"/>
        </w:rPr>
        <w:t>isuomenės sveikatos priežiūros specialisto, vykdančio sveikatos priežiūrą mokykloje, kvalifikacinių reikalavimų aprašas</w:t>
      </w:r>
      <w:r>
        <w:rPr>
          <w:rFonts w:ascii="Times New Roman" w:hAnsi="Times New Roman"/>
          <w:b w:val="0"/>
          <w:bCs w:val="0"/>
          <w:caps w:val="0"/>
          <w:lang w:val="lt-LT"/>
        </w:rPr>
        <w:t>“</w:t>
      </w:r>
      <w:r w:rsidRPr="00E229AA">
        <w:rPr>
          <w:rFonts w:ascii="Times New Roman" w:hAnsi="Times New Roman"/>
          <w:b w:val="0"/>
          <w:bCs w:val="0"/>
          <w:caps w:val="0"/>
          <w:lang w:val="lt-LT"/>
        </w:rPr>
        <w:t>//Valstybės žinios. 2007, Nr. 88-3492</w:t>
      </w:r>
      <w:r w:rsidRPr="00E229AA">
        <w:rPr>
          <w:rFonts w:ascii="Times New Roman" w:hAnsi="Times New Roman"/>
          <w:b w:val="0"/>
          <w:bCs w:val="0"/>
          <w:lang w:val="lt-LT"/>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sveikatos apsaugos ministro ir Lietuvos Respublikos švietimo ir mokslo ministro įsakymas „Dėl sveikatos priežiūros mokykloje tvarkos aprašo patvirtinimo“//Valstybės žinios. 2005, Nr. 153-5657 [interaktyvus], [žiūrėta 2011-02-28]. </w:t>
      </w:r>
      <w:r w:rsidRPr="00E229AA">
        <w:rPr>
          <w:color w:val="000000"/>
          <w:sz w:val="22"/>
          <w:szCs w:val="22"/>
        </w:rPr>
        <w:t>Prieiga per internetą</w:t>
      </w:r>
      <w:r w:rsidRPr="00E229AA">
        <w:rPr>
          <w:sz w:val="22"/>
          <w:szCs w:val="22"/>
        </w:rPr>
        <w:t xml:space="preserve">: </w:t>
      </w:r>
      <w:hyperlink r:id="rId124" w:history="1">
        <w:r w:rsidRPr="00E229AA">
          <w:rPr>
            <w:rStyle w:val="Hipersaitas"/>
            <w:sz w:val="22"/>
            <w:szCs w:val="22"/>
          </w:rPr>
          <w:t>http://www3.lrs.lt/pls/inter3/dokpaieska.showdoc_l?p_id=268649&amp;p_query=&amp;p_tr2</w:t>
        </w:r>
      </w:hyperlink>
      <w:r w:rsidRPr="00E229AA">
        <w:rPr>
          <w:sz w:val="22"/>
          <w:szCs w:val="22"/>
        </w:rPr>
        <w:t>=</w:t>
      </w:r>
    </w:p>
    <w:p w:rsidR="00995BE0" w:rsidRPr="00E229AA" w:rsidRDefault="00995BE0" w:rsidP="00BB2B17">
      <w:pPr>
        <w:pStyle w:val="istatymas"/>
        <w:numPr>
          <w:ilvl w:val="0"/>
          <w:numId w:val="17"/>
        </w:numPr>
        <w:tabs>
          <w:tab w:val="clear" w:pos="720"/>
          <w:tab w:val="num" w:pos="0"/>
        </w:tabs>
        <w:spacing w:before="0" w:beforeAutospacing="0" w:after="0" w:afterAutospacing="0" w:line="276" w:lineRule="auto"/>
        <w:ind w:left="0"/>
        <w:jc w:val="both"/>
        <w:rPr>
          <w:color w:val="00FF00"/>
          <w:sz w:val="22"/>
          <w:szCs w:val="22"/>
        </w:rPr>
      </w:pPr>
      <w:r w:rsidRPr="00E229AA">
        <w:rPr>
          <w:sz w:val="22"/>
          <w:szCs w:val="22"/>
        </w:rPr>
        <w:t xml:space="preserve">Lietuvos Respublikos sveikatos apsaugos ministro ir Lietuvos Respublikos švietimo ir mokslo ministro įsakymas „Dėl Lietuvos Respublikos sveikatos apsaugos ministro ir Lietuvos Respublikos švietimo ir mokslo ministro 2007 m. rugpjūčio 16 d. įsakymo Nr. V-684/isak-1637 „Dėl mokyklų pripažinimo sveikatą stiprinančiomis mokyklomis tvarkos aprašo patvirtinimo“ pakeitimo“//Valstybės žinios. 2007, Nr. 91-3656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w:t>
      </w:r>
      <w:r w:rsidRPr="00E229AA">
        <w:rPr>
          <w:sz w:val="22"/>
          <w:szCs w:val="22"/>
        </w:rPr>
        <w:t xml:space="preserve"> </w:t>
      </w:r>
      <w:hyperlink r:id="rId125" w:history="1">
        <w:r w:rsidRPr="00E229AA">
          <w:rPr>
            <w:rStyle w:val="Hipersaitas"/>
            <w:sz w:val="22"/>
            <w:szCs w:val="22"/>
          </w:rPr>
          <w:t>http://www3.lrs.lt/pls/inter3/dokpaieska.showdoc_l?p_id=376555</w:t>
        </w:r>
      </w:hyperlink>
      <w:r w:rsidRPr="00E229AA">
        <w:rPr>
          <w:color w:val="00FF00"/>
          <w:sz w:val="22"/>
          <w:szCs w:val="22"/>
        </w:rPr>
        <w:t xml:space="preserve">. </w:t>
      </w:r>
    </w:p>
    <w:p w:rsidR="00995BE0" w:rsidRPr="00E229AA" w:rsidRDefault="00995BE0" w:rsidP="00BB2B17">
      <w:pPr>
        <w:pStyle w:val="pavadinimas1"/>
        <w:numPr>
          <w:ilvl w:val="0"/>
          <w:numId w:val="17"/>
        </w:numPr>
        <w:tabs>
          <w:tab w:val="clear" w:pos="720"/>
          <w:tab w:val="num" w:pos="0"/>
        </w:tabs>
        <w:spacing w:before="0" w:beforeAutospacing="0" w:after="0" w:afterAutospacing="0"/>
        <w:ind w:left="0"/>
        <w:jc w:val="both"/>
        <w:rPr>
          <w:sz w:val="22"/>
          <w:szCs w:val="22"/>
        </w:rPr>
      </w:pPr>
      <w:r w:rsidRPr="00E229AA">
        <w:rPr>
          <w:sz w:val="22"/>
          <w:szCs w:val="22"/>
        </w:rPr>
        <w:t>Lietuvos Respublikos sveikatos apsaugos ministro įsakymas</w:t>
      </w:r>
      <w:r w:rsidRPr="00E229AA">
        <w:rPr>
          <w:color w:val="00FF00"/>
          <w:sz w:val="22"/>
          <w:szCs w:val="22"/>
        </w:rPr>
        <w:t xml:space="preserve">  </w:t>
      </w:r>
      <w:r w:rsidRPr="00E229AA">
        <w:rPr>
          <w:sz w:val="22"/>
          <w:szCs w:val="22"/>
        </w:rPr>
        <w:t xml:space="preserve">„Dėl Lietuvos Respublikos sveikatos apsaugos ministro 2003 m. Rugpjūčio 11 d. Įsakymo </w:t>
      </w:r>
      <w:r>
        <w:rPr>
          <w:sz w:val="22"/>
          <w:szCs w:val="22"/>
        </w:rPr>
        <w:t>N</w:t>
      </w:r>
      <w:r w:rsidRPr="00E229AA">
        <w:rPr>
          <w:sz w:val="22"/>
          <w:szCs w:val="22"/>
        </w:rPr>
        <w:t xml:space="preserve">r. V-488 ,,Dėl bendrųjų savivaldybių visuomenės sveikatos stebėsenos nuostatų patvirtinimo“ pakeitimo“//Valstybės žinios. 2008, Nr. 21-771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126" w:history="1">
        <w:r w:rsidRPr="007047A8">
          <w:rPr>
            <w:rStyle w:val="Hipersaitas"/>
            <w:sz w:val="22"/>
            <w:szCs w:val="22"/>
          </w:rPr>
          <w:t>http://www3.lrs.lt/pls/inter3/dokpaieska.showdoc_l?p_id=314843&amp;p_query=&amp;p_tr2</w:t>
        </w:r>
      </w:hyperlink>
      <w:r w:rsidRPr="00E229AA">
        <w:rPr>
          <w:sz w:val="22"/>
          <w:szCs w:val="22"/>
        </w:rPr>
        <w:t>=</w:t>
      </w:r>
      <w:r>
        <w:rPr>
          <w:sz w:val="22"/>
          <w:szCs w:val="22"/>
        </w:rPr>
        <w:t xml:space="preserve"> </w:t>
      </w:r>
    </w:p>
    <w:p w:rsidR="00995BE0" w:rsidRPr="00E229AA" w:rsidRDefault="00995BE0" w:rsidP="00BB2B17">
      <w:pPr>
        <w:pStyle w:val="istatymas"/>
        <w:numPr>
          <w:ilvl w:val="0"/>
          <w:numId w:val="17"/>
        </w:numPr>
        <w:tabs>
          <w:tab w:val="clear" w:pos="720"/>
          <w:tab w:val="num" w:pos="0"/>
        </w:tabs>
        <w:spacing w:before="0" w:beforeAutospacing="0" w:after="0" w:afterAutospacing="0"/>
        <w:ind w:left="0"/>
        <w:jc w:val="both"/>
        <w:rPr>
          <w:color w:val="00FF00"/>
          <w:sz w:val="22"/>
          <w:szCs w:val="22"/>
        </w:rPr>
      </w:pPr>
      <w:r w:rsidRPr="00E229AA">
        <w:rPr>
          <w:sz w:val="22"/>
          <w:szCs w:val="22"/>
        </w:rPr>
        <w:t xml:space="preserve">Lietuvos Respublikos sveikatos apsaugos ministro įsakymas „Dėl Lietuvos Respublikos sveikatos apsaugos ministro 2009 m. vasario 9 d. įsakymo nr. V-97 „Dėl visuomenės sveikatos priežiūros specialistų profesinio tobulinimo kursų programų tvirtinimo“ pakeitimo“//Valstybės žinios. 2009, Nr. 151-6800 [interaktyvus], [žiūrėta 2011-02-28]. </w:t>
      </w:r>
      <w:r w:rsidRPr="00E229AA">
        <w:rPr>
          <w:color w:val="000000"/>
          <w:sz w:val="22"/>
          <w:szCs w:val="22"/>
        </w:rPr>
        <w:t>Prieiga per internet</w:t>
      </w:r>
      <w:r w:rsidRPr="00E229AA">
        <w:rPr>
          <w:rFonts w:eastAsia="TimesNewRoman"/>
          <w:color w:val="000000"/>
          <w:sz w:val="22"/>
          <w:szCs w:val="22"/>
        </w:rPr>
        <w:t>ą</w:t>
      </w:r>
      <w:r w:rsidRPr="00A02693">
        <w:rPr>
          <w:sz w:val="22"/>
          <w:szCs w:val="22"/>
        </w:rPr>
        <w:t>:</w:t>
      </w:r>
      <w:r w:rsidRPr="00E229AA">
        <w:rPr>
          <w:color w:val="00FF00"/>
          <w:sz w:val="22"/>
          <w:szCs w:val="22"/>
        </w:rPr>
        <w:t xml:space="preserve"> </w:t>
      </w:r>
      <w:hyperlink r:id="rId127" w:history="1">
        <w:r w:rsidRPr="00E229AA">
          <w:rPr>
            <w:rStyle w:val="Hipersaitas"/>
            <w:sz w:val="22"/>
            <w:szCs w:val="22"/>
          </w:rPr>
          <w:t>http://www3.lrs.lt/pls/inter3/dokpaieska.showdoc_l?p_id=361812&amp;p_query=&amp;p_tr2</w:t>
        </w:r>
      </w:hyperlink>
      <w:r w:rsidRPr="00A02693">
        <w:rPr>
          <w:color w:val="00B0F0"/>
          <w:sz w:val="22"/>
          <w:szCs w:val="22"/>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sveikatos apsaugos ministro įsakymas „Dėl Privalomojo pirmos pagalbos mokymo programos, privalomojo higienos įgūdžių mokymo programos ir privalomojo mokymo apie alkoholio ir narkotikų žalą žmogaus sveikatai mokymo programos patvirtinimo“//Valstybės žinios.  2008, Nr. 14-490 [interaktyvus], [žiūrėta 2010-05-05]. Prieiga per internetą: </w:t>
      </w:r>
      <w:hyperlink r:id="rId128" w:history="1">
        <w:r w:rsidRPr="00E229AA">
          <w:rPr>
            <w:rStyle w:val="Hipersaitas"/>
            <w:sz w:val="22"/>
            <w:szCs w:val="22"/>
          </w:rPr>
          <w:t>http://www3.lrs.lt/pls/inter3/dokpaieska.showdoc_l?p_id=314041&amp;p_query=&amp;p_tr2</w:t>
        </w:r>
      </w:hyperlink>
      <w:r w:rsidRPr="00E229AA">
        <w:rPr>
          <w:sz w:val="22"/>
          <w:szCs w:val="22"/>
        </w:rPr>
        <w:t xml:space="preserve">= </w:t>
      </w:r>
    </w:p>
    <w:p w:rsidR="00995BE0" w:rsidRPr="00E229AA" w:rsidRDefault="00995BE0" w:rsidP="00BB2B17">
      <w:pPr>
        <w:pStyle w:val="pavadinimas1"/>
        <w:numPr>
          <w:ilvl w:val="0"/>
          <w:numId w:val="17"/>
        </w:numPr>
        <w:tabs>
          <w:tab w:val="clear" w:pos="720"/>
          <w:tab w:val="num" w:pos="0"/>
        </w:tabs>
        <w:spacing w:before="0" w:beforeAutospacing="0" w:after="0" w:afterAutospacing="0"/>
        <w:ind w:left="0"/>
        <w:jc w:val="both"/>
        <w:rPr>
          <w:color w:val="00FF00"/>
          <w:sz w:val="22"/>
          <w:szCs w:val="22"/>
        </w:rPr>
      </w:pPr>
      <w:r w:rsidRPr="00E229AA">
        <w:rPr>
          <w:sz w:val="22"/>
          <w:szCs w:val="22"/>
        </w:rPr>
        <w:lastRenderedPageBreak/>
        <w:t xml:space="preserve">Lietuvos Respublikos sveikatos apsaugos ministro įsakymas „Dėl savivaldybės visuomenės sveikatos biuro pavyzdinių nuostatų patvirtinimo“//Valstybės žinios. 2008, Nr. 35-1253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129" w:history="1">
        <w:r w:rsidRPr="00E229AA">
          <w:rPr>
            <w:rStyle w:val="Hipersaitas"/>
            <w:sz w:val="22"/>
            <w:szCs w:val="22"/>
          </w:rPr>
          <w:t>http://www3.lrs.lt/pls/inter3/dokpaieska.showdoc_l?p_id=316517&amp;p_query=&amp;p_tr2</w:t>
        </w:r>
      </w:hyperlink>
      <w:r w:rsidRPr="00E229AA">
        <w:rPr>
          <w:color w:val="0000FF"/>
          <w:sz w:val="22"/>
          <w:szCs w:val="22"/>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Respublikos sveikatos apsaugos ministro įsakymas „Dėl visuomenės sveikatos priežiūros specialybių, subspecialybių sąrašo patvirtinimo“//Vals</w:t>
      </w:r>
      <w:r>
        <w:rPr>
          <w:sz w:val="22"/>
          <w:szCs w:val="22"/>
        </w:rPr>
        <w:t>tybės žinios. 2001, Nr. 31-1043</w:t>
      </w:r>
      <w:r w:rsidRPr="00E229AA">
        <w:rPr>
          <w:sz w:val="22"/>
          <w:szCs w:val="22"/>
        </w:rPr>
        <w:t xml:space="preserve"> [</w:t>
      </w:r>
      <w:r>
        <w:rPr>
          <w:sz w:val="22"/>
          <w:szCs w:val="22"/>
        </w:rPr>
        <w:t>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sz w:val="22"/>
          <w:szCs w:val="22"/>
        </w:rPr>
        <w:t xml:space="preserve">: </w:t>
      </w:r>
      <w:hyperlink r:id="rId130" w:history="1">
        <w:r w:rsidRPr="00E229AA">
          <w:rPr>
            <w:rStyle w:val="Hipersaitas"/>
            <w:sz w:val="22"/>
            <w:szCs w:val="22"/>
          </w:rPr>
          <w:t>http://www3.lrs.lt/pls/inter3/dokpaieska.showdoc_l?p_id=129711&amp;p_query=&amp;p_tr2</w:t>
        </w:r>
      </w:hyperlink>
      <w:r w:rsidRPr="00E229AA">
        <w:rPr>
          <w:sz w:val="22"/>
          <w:szCs w:val="22"/>
        </w:rPr>
        <w:t>=</w:t>
      </w:r>
    </w:p>
    <w:p w:rsidR="00995BE0" w:rsidRPr="00E229AA" w:rsidRDefault="00995BE0" w:rsidP="00BB2B17">
      <w:pPr>
        <w:numPr>
          <w:ilvl w:val="0"/>
          <w:numId w:val="17"/>
        </w:numPr>
        <w:tabs>
          <w:tab w:val="clear" w:pos="720"/>
          <w:tab w:val="num" w:pos="-360"/>
        </w:tabs>
        <w:ind w:left="0"/>
        <w:jc w:val="both"/>
        <w:rPr>
          <w:color w:val="00FF00"/>
          <w:sz w:val="22"/>
          <w:szCs w:val="22"/>
        </w:rPr>
      </w:pPr>
      <w:r w:rsidRPr="00E229AA">
        <w:rPr>
          <w:bCs/>
          <w:sz w:val="22"/>
          <w:szCs w:val="22"/>
        </w:rPr>
        <w:t xml:space="preserve">Lietuvos Respublikos sveikatos apsaugos ministro įsakymas „Dėl visuomenės sveikatos priežiūros įstaigų vadovų, jų pavaduotojų ir skyrių vedėjų kvalifikacijos tobulinimo visuomenės sveikatos vadybos klausimais programos tvirtinimo“//Valstybės žinios. 2007, Nr. 121-4986 </w:t>
      </w:r>
      <w:r w:rsidRPr="00E229AA">
        <w:rPr>
          <w:sz w:val="22"/>
          <w:szCs w:val="22"/>
        </w:rPr>
        <w:t xml:space="preserve">[interaktyvus],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w:t>
      </w:r>
      <w:r w:rsidRPr="00E229AA">
        <w:rPr>
          <w:sz w:val="22"/>
          <w:szCs w:val="22"/>
        </w:rPr>
        <w:t xml:space="preserve"> </w:t>
      </w:r>
      <w:hyperlink r:id="rId131" w:history="1">
        <w:r w:rsidRPr="00E229AA">
          <w:rPr>
            <w:rStyle w:val="Hipersaitas"/>
            <w:sz w:val="22"/>
            <w:szCs w:val="22"/>
          </w:rPr>
          <w:t>http://www3.lrs.lt/pls/inter3/dokpaieska.showdoc_l?p_id=309575&amp;p_query=&amp;p_tr2</w:t>
        </w:r>
      </w:hyperlink>
      <w:r w:rsidRPr="00A02693">
        <w:rPr>
          <w:color w:val="00B0F0"/>
          <w:sz w:val="22"/>
          <w:szCs w:val="22"/>
        </w:rPr>
        <w:t>=</w:t>
      </w:r>
    </w:p>
    <w:p w:rsidR="00995BE0" w:rsidRDefault="00995BE0" w:rsidP="00BB2B17">
      <w:pPr>
        <w:numPr>
          <w:ilvl w:val="0"/>
          <w:numId w:val="17"/>
        </w:numPr>
        <w:tabs>
          <w:tab w:val="clear" w:pos="720"/>
          <w:tab w:val="num" w:pos="0"/>
          <w:tab w:val="left" w:pos="1049"/>
        </w:tabs>
        <w:ind w:left="0"/>
        <w:jc w:val="both"/>
        <w:rPr>
          <w:sz w:val="22"/>
          <w:szCs w:val="22"/>
        </w:rPr>
      </w:pPr>
      <w:r w:rsidRPr="00E229AA">
        <w:rPr>
          <w:sz w:val="22"/>
          <w:szCs w:val="22"/>
        </w:rPr>
        <w:t>Lietuvos Respublikos Sveikatos apsaugos ministro įsakymas Nr. 301 „Dėl profilaktinių sveikatos tikrinimų sveikatos priežiūros įstaigose“//Valstybės žinios. 2000, Nr. 47-1365; 2010, Nr. 4-163.</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Respublikos sveikatos apsaugos ministro įsakymas Nr. V-204 “Dėl visuomenės sveikatos priežiūros įstaigų informacijos pateikimo gyventojams tvarkos aprašo“//Valstybės žinios. 2007, Nr. 38-1421.</w:t>
      </w:r>
    </w:p>
    <w:p w:rsidR="00995BE0" w:rsidRPr="00E229AA" w:rsidRDefault="00995BE0" w:rsidP="00BB2B17">
      <w:pPr>
        <w:pStyle w:val="ISTATYMAS0"/>
        <w:numPr>
          <w:ilvl w:val="0"/>
          <w:numId w:val="17"/>
        </w:numPr>
        <w:tabs>
          <w:tab w:val="clear" w:pos="720"/>
          <w:tab w:val="num" w:pos="0"/>
        </w:tabs>
        <w:ind w:left="0"/>
        <w:jc w:val="both"/>
        <w:rPr>
          <w:rFonts w:ascii="Times New Roman" w:hAnsi="Times New Roman"/>
          <w:sz w:val="22"/>
          <w:szCs w:val="22"/>
          <w:lang w:val="lt-LT"/>
        </w:rPr>
      </w:pPr>
      <w:r w:rsidRPr="00E229AA">
        <w:rPr>
          <w:rFonts w:ascii="Times New Roman" w:hAnsi="Times New Roman"/>
          <w:sz w:val="22"/>
          <w:szCs w:val="22"/>
          <w:lang w:val="lt-LT"/>
        </w:rPr>
        <w:t>Lietuvos Respublikos sve</w:t>
      </w:r>
      <w:r>
        <w:rPr>
          <w:rFonts w:ascii="Times New Roman" w:hAnsi="Times New Roman"/>
          <w:sz w:val="22"/>
          <w:szCs w:val="22"/>
          <w:lang w:val="lt-LT"/>
        </w:rPr>
        <w:t>ikatos apsaugos ministro įsakymas</w:t>
      </w:r>
      <w:r w:rsidRPr="00E229AA">
        <w:rPr>
          <w:rFonts w:ascii="Times New Roman" w:hAnsi="Times New Roman"/>
          <w:sz w:val="22"/>
          <w:szCs w:val="22"/>
          <w:lang w:val="lt-LT"/>
        </w:rPr>
        <w:t xml:space="preserve"> Nr. V-799</w:t>
      </w:r>
      <w:r>
        <w:rPr>
          <w:rFonts w:ascii="Times New Roman" w:hAnsi="Times New Roman"/>
          <w:sz w:val="22"/>
          <w:szCs w:val="22"/>
          <w:lang w:val="lt-LT"/>
        </w:rPr>
        <w:t xml:space="preserve"> „Dėl s</w:t>
      </w:r>
      <w:r w:rsidRPr="00E229AA">
        <w:rPr>
          <w:rFonts w:ascii="Times New Roman" w:hAnsi="Times New Roman"/>
          <w:sz w:val="22"/>
          <w:szCs w:val="22"/>
          <w:lang w:val="lt-LT"/>
        </w:rPr>
        <w:t xml:space="preserve">ergamumo ir mirtingumo nuo pagrindinių neinfekcinių ligų </w:t>
      </w:r>
      <w:r>
        <w:rPr>
          <w:rFonts w:ascii="Times New Roman" w:hAnsi="Times New Roman"/>
          <w:sz w:val="22"/>
          <w:szCs w:val="22"/>
          <w:lang w:val="lt-LT"/>
        </w:rPr>
        <w:t>mažinimo 2007–2013 metų programos patvirtinimo“</w:t>
      </w:r>
      <w:r w:rsidRPr="00E229AA">
        <w:rPr>
          <w:rFonts w:ascii="Times New Roman" w:hAnsi="Times New Roman"/>
          <w:sz w:val="22"/>
          <w:szCs w:val="22"/>
          <w:lang w:val="lt-LT"/>
        </w:rPr>
        <w:t>//Valstybės žinios. 2007, Nr. 106-4354.</w:t>
      </w:r>
    </w:p>
    <w:p w:rsidR="00995BE0" w:rsidRPr="00E229AA" w:rsidRDefault="00995BE0" w:rsidP="00BB2B17">
      <w:pPr>
        <w:pStyle w:val="mazas"/>
        <w:numPr>
          <w:ilvl w:val="0"/>
          <w:numId w:val="17"/>
        </w:numPr>
        <w:tabs>
          <w:tab w:val="clear" w:pos="720"/>
          <w:tab w:val="num" w:pos="0"/>
        </w:tabs>
        <w:spacing w:before="0" w:beforeAutospacing="0" w:after="0" w:afterAutospacing="0"/>
        <w:ind w:left="0"/>
        <w:jc w:val="both"/>
        <w:rPr>
          <w:sz w:val="22"/>
          <w:szCs w:val="22"/>
        </w:rPr>
      </w:pPr>
      <w:r w:rsidRPr="00E229AA">
        <w:rPr>
          <w:sz w:val="22"/>
          <w:szCs w:val="22"/>
        </w:rPr>
        <w:t>Lietuvos Respublikos sveikatos apsaugos ministro įsakymas Nr. V-837 “Dėl visuomenės sveikatos stebėsenos rodiklių sąrašo patvirtinimo“//Valstybės žinios. 2004, Nr. 174-6465.</w:t>
      </w:r>
    </w:p>
    <w:p w:rsidR="00995BE0" w:rsidRPr="00E229AA" w:rsidRDefault="00995BE0" w:rsidP="00BB2B17">
      <w:pPr>
        <w:numPr>
          <w:ilvl w:val="0"/>
          <w:numId w:val="17"/>
        </w:numPr>
        <w:tabs>
          <w:tab w:val="clear" w:pos="720"/>
          <w:tab w:val="num" w:pos="0"/>
          <w:tab w:val="left" w:pos="1049"/>
        </w:tabs>
        <w:ind w:left="0"/>
        <w:jc w:val="both"/>
        <w:rPr>
          <w:sz w:val="22"/>
          <w:szCs w:val="22"/>
        </w:rPr>
      </w:pPr>
      <w:r w:rsidRPr="00E229AA">
        <w:rPr>
          <w:sz w:val="22"/>
          <w:szCs w:val="22"/>
        </w:rPr>
        <w:t>Lietuvos Respublikos sveikatos apsaugos ministro nutarimas „Dėl statistinės apskaitos formos nr. 027-1/a „vaiko sveikatos pažymėjimas“ patvirtinimo“//Valstybės žinios. 2005, Nr. 3-38.</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Respublikos sveikatos priežiūros įstaigų įstatymas 1996 m. birželio 6 d. Nr. I-1367. Valstybės Žinios. 1996, Nr. </w:t>
      </w:r>
      <w:hyperlink r:id="rId132" w:history="1">
        <w:r w:rsidRPr="00E229AA">
          <w:rPr>
            <w:rStyle w:val="Hipersaitas"/>
            <w:color w:val="auto"/>
            <w:sz w:val="22"/>
            <w:szCs w:val="22"/>
            <w:u w:val="none"/>
          </w:rPr>
          <w:t>66-1572</w:t>
        </w:r>
      </w:hyperlink>
      <w:r w:rsidRPr="00E229AA">
        <w:rPr>
          <w:sz w:val="22"/>
          <w:szCs w:val="22"/>
        </w:rPr>
        <w:t>; 1998, Nr. </w:t>
      </w:r>
      <w:hyperlink r:id="rId133" w:history="1">
        <w:r w:rsidRPr="00E229AA">
          <w:rPr>
            <w:rStyle w:val="Hipersaitas"/>
            <w:color w:val="auto"/>
            <w:sz w:val="22"/>
            <w:szCs w:val="22"/>
            <w:u w:val="none"/>
          </w:rPr>
          <w:t>109-2995</w:t>
        </w:r>
      </w:hyperlink>
      <w:r w:rsidRPr="00E229AA">
        <w:rPr>
          <w:sz w:val="22"/>
          <w:szCs w:val="22"/>
        </w:rPr>
        <w:t xml:space="preserve">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http://www3.lrs.lt/pls/inter3/dokpaieska.showdoc_l?p_id=387488</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sveikatos sistemos įstatymas 1994 m. liepos 19 d. Nr. I-552//Valstybės Žinios. 1994, </w:t>
      </w:r>
      <w:hyperlink r:id="rId134" w:history="1">
        <w:r w:rsidRPr="00E229AA">
          <w:rPr>
            <w:sz w:val="22"/>
            <w:szCs w:val="22"/>
          </w:rPr>
          <w:t xml:space="preserve">Nr. </w:t>
        </w:r>
        <w:hyperlink r:id="rId135" w:history="1">
          <w:r w:rsidRPr="00E229AA">
            <w:rPr>
              <w:rStyle w:val="Hipersaitas"/>
              <w:sz w:val="22"/>
              <w:szCs w:val="22"/>
            </w:rPr>
            <w:t>63-1231</w:t>
          </w:r>
        </w:hyperlink>
      </w:hyperlink>
      <w:r>
        <w:rPr>
          <w:sz w:val="22"/>
          <w:szCs w:val="22"/>
        </w:rPr>
        <w:t>; 1998 Nr. 112-3099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36" w:history="1">
        <w:r w:rsidRPr="00E229AA">
          <w:rPr>
            <w:rStyle w:val="Hipersaitas"/>
            <w:sz w:val="22"/>
            <w:szCs w:val="22"/>
          </w:rPr>
          <w:t>http://www3.lrs.lt/pls/inter3/dokpaieska.showdoc_l?p_id=387542</w:t>
        </w:r>
      </w:hyperlink>
    </w:p>
    <w:p w:rsidR="00995BE0" w:rsidRPr="00E229AA" w:rsidRDefault="00995BE0" w:rsidP="00BB2B17">
      <w:pPr>
        <w:pStyle w:val="istatymas"/>
        <w:numPr>
          <w:ilvl w:val="0"/>
          <w:numId w:val="17"/>
        </w:numPr>
        <w:tabs>
          <w:tab w:val="clear" w:pos="720"/>
        </w:tabs>
        <w:spacing w:before="0" w:beforeAutospacing="0" w:after="0" w:afterAutospacing="0"/>
        <w:ind w:left="0"/>
        <w:jc w:val="both"/>
        <w:rPr>
          <w:sz w:val="22"/>
          <w:szCs w:val="22"/>
        </w:rPr>
      </w:pPr>
      <w:r w:rsidRPr="00E229AA">
        <w:rPr>
          <w:sz w:val="22"/>
          <w:szCs w:val="22"/>
        </w:rPr>
        <w:t>Lietuvos Respublikos švietimo ir mokslo ministro 2006 m. kovo 17 d. Nr. ISAK-494 įsakymas „Dėl alkoholio, tabako ir kitų psichiką veikiančių medžiagų vartojimo prevencijos programos patvirtinimo“//Valstybės žinios 2006, Nr. 33-1197 [interaktyvus]</w:t>
      </w:r>
      <w:r>
        <w:rPr>
          <w:sz w:val="22"/>
          <w:szCs w:val="22"/>
        </w:rPr>
        <w:t>,</w:t>
      </w:r>
      <w:r w:rsidRPr="00E229AA">
        <w:rPr>
          <w:sz w:val="22"/>
          <w:szCs w:val="22"/>
        </w:rPr>
        <w:t xml:space="preserve">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37" w:history="1">
        <w:r w:rsidRPr="00E229AA">
          <w:rPr>
            <w:rStyle w:val="Hipersaitas"/>
            <w:sz w:val="22"/>
            <w:szCs w:val="22"/>
          </w:rPr>
          <w:t>http://www3.lrs.lt/pls/inter3/dokpaieska.showdoc_l?p_id=272725&amp;p_query=&amp;p_tr2</w:t>
        </w:r>
      </w:hyperlink>
      <w:r w:rsidRPr="00E229AA">
        <w:rPr>
          <w:sz w:val="22"/>
          <w:szCs w:val="22"/>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švietimo ir mokslo ministro įsakymą „Dėl teisės pažeidimų, mokyklos nelankymo, narkotinių ir psichotropinių medžiagų vartojimo, ŽIV/AIDS, smurto ir nusikalstamumo prevencijos“//Valstybės žinios. 2004, Nr. 145-5281 [interaktyvus], [žiūrėta 2011-02-28]. </w:t>
      </w:r>
      <w:r w:rsidRPr="00E229AA">
        <w:rPr>
          <w:color w:val="000000"/>
          <w:sz w:val="22"/>
          <w:szCs w:val="22"/>
        </w:rPr>
        <w:t>Prieiga per internetą</w:t>
      </w:r>
      <w:r w:rsidRPr="00E229AA">
        <w:rPr>
          <w:sz w:val="22"/>
          <w:szCs w:val="22"/>
        </w:rPr>
        <w:t xml:space="preserve">: </w:t>
      </w:r>
      <w:hyperlink r:id="rId138" w:history="1">
        <w:r w:rsidRPr="00E229AA">
          <w:rPr>
            <w:rStyle w:val="Hipersaitas"/>
            <w:sz w:val="22"/>
            <w:szCs w:val="22"/>
          </w:rPr>
          <w:t>http://www3.lrs.lt/pls/inter3/dokpaieska.showdoc_l?p_id=242375&amp;p_query=&amp;p_tr2</w:t>
        </w:r>
      </w:hyperlink>
      <w:r w:rsidRPr="00E229AA">
        <w:rPr>
          <w:sz w:val="22"/>
          <w:szCs w:val="22"/>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w:t>
      </w:r>
      <w:r>
        <w:rPr>
          <w:sz w:val="22"/>
          <w:szCs w:val="22"/>
        </w:rPr>
        <w:t>espublikos švietimo įstatymas//</w:t>
      </w:r>
      <w:r w:rsidRPr="00E229AA">
        <w:rPr>
          <w:sz w:val="22"/>
          <w:szCs w:val="22"/>
        </w:rPr>
        <w:t xml:space="preserve">Valstybės žinios. 2003, Nr. 63-2853 [interaktyvus], [žiūrėta 2011-02-28]. </w:t>
      </w:r>
      <w:r w:rsidRPr="00E229AA">
        <w:rPr>
          <w:color w:val="000000"/>
          <w:sz w:val="22"/>
          <w:szCs w:val="22"/>
        </w:rPr>
        <w:t>Prieiga per internetą</w:t>
      </w:r>
      <w:r w:rsidRPr="00E229AA">
        <w:rPr>
          <w:sz w:val="22"/>
          <w:szCs w:val="22"/>
        </w:rPr>
        <w:t xml:space="preserve">: </w:t>
      </w:r>
      <w:hyperlink r:id="rId139" w:history="1">
        <w:r w:rsidRPr="00E229AA">
          <w:rPr>
            <w:rStyle w:val="Hipersaitas"/>
            <w:sz w:val="22"/>
            <w:szCs w:val="22"/>
          </w:rPr>
          <w:t>http://www3.lrs.lt/pls/inter3/dokpaieska.showdoc_l?p_id=214236&amp;p_query=&amp;p_tr2</w:t>
        </w:r>
      </w:hyperlink>
      <w:r w:rsidRPr="00E229AA">
        <w:rPr>
          <w:sz w:val="22"/>
          <w:szCs w:val="22"/>
        </w:rPr>
        <w:t>=</w:t>
      </w:r>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t xml:space="preserve">Lietuvos Respublikos tabako kontrolės įstatymas//Valstybės žinios. 1996, Nr. </w:t>
      </w:r>
      <w:hyperlink r:id="rId140" w:history="1">
        <w:r w:rsidRPr="00E229AA">
          <w:rPr>
            <w:rStyle w:val="Hipersaitas"/>
            <w:color w:val="auto"/>
            <w:sz w:val="22"/>
            <w:szCs w:val="22"/>
            <w:u w:val="none"/>
          </w:rPr>
          <w:t>11-281</w:t>
        </w:r>
      </w:hyperlink>
      <w:r w:rsidRPr="00E229AA">
        <w:rPr>
          <w:sz w:val="22"/>
          <w:szCs w:val="22"/>
        </w:rPr>
        <w:t xml:space="preserve">; 2003, Nr. </w:t>
      </w:r>
      <w:hyperlink r:id="rId141" w:history="1">
        <w:r w:rsidRPr="00E229AA">
          <w:rPr>
            <w:rStyle w:val="Hipersaitas"/>
            <w:color w:val="auto"/>
            <w:sz w:val="22"/>
            <w:szCs w:val="22"/>
            <w:u w:val="none"/>
          </w:rPr>
          <w:t>117-5317</w:t>
        </w:r>
      </w:hyperlink>
      <w:r w:rsidRPr="00E229AA">
        <w:rPr>
          <w:sz w:val="22"/>
          <w:szCs w:val="22"/>
        </w:rPr>
        <w:t xml:space="preserve">; 2005, Nr. </w:t>
      </w:r>
      <w:hyperlink r:id="rId142" w:history="1">
        <w:r w:rsidRPr="00E229AA">
          <w:rPr>
            <w:rStyle w:val="Hipersaitas"/>
            <w:color w:val="auto"/>
            <w:sz w:val="22"/>
            <w:szCs w:val="22"/>
            <w:u w:val="none"/>
          </w:rPr>
          <w:t>142-5105</w:t>
        </w:r>
      </w:hyperlink>
      <w:r w:rsidRPr="00E229AA">
        <w:rPr>
          <w:sz w:val="22"/>
          <w:szCs w:val="22"/>
        </w:rPr>
        <w:t xml:space="preserve">; 2006, Nr. </w:t>
      </w:r>
      <w:hyperlink r:id="rId143" w:history="1">
        <w:r w:rsidRPr="00E229AA">
          <w:rPr>
            <w:rStyle w:val="Hipersaitas"/>
            <w:color w:val="auto"/>
            <w:sz w:val="22"/>
            <w:szCs w:val="22"/>
            <w:u w:val="none"/>
          </w:rPr>
          <w:t>61-2175</w:t>
        </w:r>
      </w:hyperlink>
      <w:r w:rsidRPr="00E229AA">
        <w:rPr>
          <w:sz w:val="22"/>
          <w:szCs w:val="22"/>
        </w:rPr>
        <w:t xml:space="preserve">, Nr. </w:t>
      </w:r>
      <w:hyperlink r:id="rId144" w:history="1">
        <w:r w:rsidRPr="00E229AA">
          <w:rPr>
            <w:rStyle w:val="Hipersaitas"/>
            <w:color w:val="auto"/>
            <w:sz w:val="22"/>
            <w:szCs w:val="22"/>
            <w:u w:val="none"/>
          </w:rPr>
          <w:t>73-2765</w:t>
        </w:r>
      </w:hyperlink>
      <w:r w:rsidRPr="00E229AA">
        <w:rPr>
          <w:sz w:val="22"/>
          <w:szCs w:val="22"/>
        </w:rPr>
        <w:t xml:space="preserve">; 2008, Nr. 76-3006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45" w:history="1">
        <w:r w:rsidRPr="00E229AA">
          <w:rPr>
            <w:rStyle w:val="Hipersaitas"/>
            <w:sz w:val="22"/>
            <w:szCs w:val="22"/>
          </w:rPr>
          <w:t>http://www3.lrs.lt/pls/inter3/dokpaieska.showdoc_l?p_id=395837</w:t>
        </w:r>
      </w:hyperlink>
      <w:r w:rsidRPr="00E229AA">
        <w:rPr>
          <w:sz w:val="22"/>
          <w:szCs w:val="22"/>
        </w:rPr>
        <w:t xml:space="preserve"> </w:t>
      </w:r>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t xml:space="preserve">Lietuvos Respublikos triukšmo valdymo įstatymas //Valstybės žinios. 2004 Nr. 164-5971; 2006, Nr. 73-2760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46" w:history="1">
        <w:r w:rsidRPr="00E229AA">
          <w:rPr>
            <w:rStyle w:val="Hipersaitas"/>
            <w:sz w:val="22"/>
            <w:szCs w:val="22"/>
          </w:rPr>
          <w:t>http://www3.lrs.lt/pls/inter3/dokpaieska.showdoc_l?p_id=371370</w:t>
        </w:r>
      </w:hyperlink>
      <w:r w:rsidRPr="00E229AA">
        <w:rPr>
          <w:sz w:val="22"/>
          <w:szCs w:val="22"/>
        </w:rPr>
        <w:t xml:space="preserve"> </w:t>
      </w:r>
    </w:p>
    <w:p w:rsidR="00995BE0" w:rsidRPr="00E229AA" w:rsidRDefault="00995BE0" w:rsidP="00BB2B17">
      <w:pPr>
        <w:numPr>
          <w:ilvl w:val="0"/>
          <w:numId w:val="17"/>
        </w:numPr>
        <w:tabs>
          <w:tab w:val="clear" w:pos="720"/>
          <w:tab w:val="num" w:pos="0"/>
        </w:tabs>
        <w:ind w:left="0"/>
        <w:jc w:val="both"/>
        <w:rPr>
          <w:sz w:val="22"/>
          <w:szCs w:val="22"/>
        </w:rPr>
      </w:pPr>
      <w:r w:rsidRPr="00E229AA">
        <w:rPr>
          <w:bCs/>
          <w:sz w:val="22"/>
          <w:szCs w:val="22"/>
        </w:rPr>
        <w:t>Lietuvos Respublikos visuomenės</w:t>
      </w:r>
      <w:r>
        <w:rPr>
          <w:bCs/>
          <w:sz w:val="22"/>
          <w:szCs w:val="22"/>
        </w:rPr>
        <w:t xml:space="preserve"> sveikatos priežiūros įstatymas//</w:t>
      </w:r>
      <w:r w:rsidRPr="00E229AA">
        <w:rPr>
          <w:bCs/>
          <w:sz w:val="22"/>
          <w:szCs w:val="22"/>
        </w:rPr>
        <w:t>Vals</w:t>
      </w:r>
      <w:r>
        <w:rPr>
          <w:bCs/>
          <w:sz w:val="22"/>
          <w:szCs w:val="22"/>
        </w:rPr>
        <w:t>tybės Žinios. 2002, Nr. 56-2225</w:t>
      </w:r>
      <w:r w:rsidRPr="00E229AA">
        <w:rPr>
          <w:bCs/>
          <w:sz w:val="22"/>
          <w:szCs w:val="22"/>
        </w:rPr>
        <w:t xml:space="preserve"> </w:t>
      </w:r>
      <w:r>
        <w:rPr>
          <w:sz w:val="22"/>
          <w:szCs w:val="22"/>
        </w:rPr>
        <w:t>[i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47" w:history="1">
        <w:r w:rsidRPr="00E229AA">
          <w:rPr>
            <w:rStyle w:val="Hipersaitas"/>
            <w:sz w:val="22"/>
            <w:szCs w:val="22"/>
          </w:rPr>
          <w:t>http://www3.lrs.lt/pls/inter3/dokpaieska.showdoc_l?p_id=372612</w:t>
        </w:r>
      </w:hyperlink>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Respublikos Vyriausybės 1998 m. liepos 30 d. Nr. 954 nutarimas „Dėl Valstybės tabako kontrolės programos patvirtinimo“//Valsty</w:t>
      </w:r>
      <w:r>
        <w:rPr>
          <w:sz w:val="22"/>
          <w:szCs w:val="22"/>
        </w:rPr>
        <w:t>bės Žinios 1998, Nr. 69-2010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48" w:history="1">
        <w:r w:rsidRPr="00E229AA">
          <w:rPr>
            <w:rStyle w:val="Hipersaitas"/>
            <w:sz w:val="22"/>
            <w:szCs w:val="22"/>
          </w:rPr>
          <w:t>http://www3.lrs.lt/pls/inter3/dokpaieska.showdoc_l?p_id=60600</w:t>
        </w:r>
      </w:hyperlink>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Respublikos Vyriausybės 1999 m. vasario 25 d. Nr. 212 nutarimas „</w:t>
      </w:r>
      <w:r w:rsidRPr="00E229AA">
        <w:rPr>
          <w:bCs/>
          <w:sz w:val="22"/>
          <w:szCs w:val="22"/>
        </w:rPr>
        <w:t>Dėl valstybės alkoholio ko</w:t>
      </w:r>
      <w:r>
        <w:rPr>
          <w:bCs/>
          <w:sz w:val="22"/>
          <w:szCs w:val="22"/>
        </w:rPr>
        <w:t>ntrolės programos patvirtinimo“//</w:t>
      </w:r>
      <w:r w:rsidRPr="00E229AA">
        <w:rPr>
          <w:bCs/>
          <w:sz w:val="22"/>
          <w:szCs w:val="22"/>
        </w:rPr>
        <w:t>Va</w:t>
      </w:r>
      <w:r>
        <w:rPr>
          <w:bCs/>
          <w:sz w:val="22"/>
          <w:szCs w:val="22"/>
        </w:rPr>
        <w:t>lstybės Žinios 1999, Nr. 21-603</w:t>
      </w:r>
      <w:r w:rsidRPr="00E229AA">
        <w:rPr>
          <w:bCs/>
          <w:sz w:val="22"/>
          <w:szCs w:val="22"/>
        </w:rPr>
        <w:t xml:space="preserve"> </w:t>
      </w:r>
      <w:r>
        <w:rPr>
          <w:sz w:val="22"/>
          <w:szCs w:val="22"/>
        </w:rPr>
        <w:t>[i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r w:rsidRPr="00E229AA">
        <w:rPr>
          <w:sz w:val="22"/>
          <w:szCs w:val="22"/>
        </w:rPr>
        <w:t xml:space="preserve"> </w:t>
      </w:r>
      <w:hyperlink r:id="rId149" w:history="1">
        <w:r w:rsidRPr="00E229AA">
          <w:rPr>
            <w:rStyle w:val="Hipersaitas"/>
            <w:sz w:val="22"/>
            <w:szCs w:val="22"/>
          </w:rPr>
          <w:t>http://www3.lrs.lt/pls/inter3/dokpaieska.showdoc_l?p_id=74909&amp;p_query=&amp;p_tr2</w:t>
        </w:r>
      </w:hyperlink>
      <w:r w:rsidRPr="00E229AA">
        <w:rPr>
          <w:sz w:val="22"/>
          <w:szCs w:val="22"/>
        </w:rPr>
        <w:t xml:space="preserve">= </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Lietuvos Respublikos Vyriausybės 2007 m. lapkričio 13 d. Nr. 1228 nutarimas „Dėl valstybinės visuomenės sveikatos priežiūros plėtros savivaldybėse 2007−2010 metų programos patvirtinimo“//Valstybė</w:t>
      </w:r>
      <w:r>
        <w:rPr>
          <w:sz w:val="22"/>
          <w:szCs w:val="22"/>
        </w:rPr>
        <w:t xml:space="preserve">s Žinios. </w:t>
      </w:r>
      <w:r>
        <w:rPr>
          <w:sz w:val="22"/>
          <w:szCs w:val="22"/>
        </w:rPr>
        <w:lastRenderedPageBreak/>
        <w:t>2007, Nr. 122-5007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sz w:val="22"/>
          <w:szCs w:val="22"/>
        </w:rPr>
        <w:t xml:space="preserve">: </w:t>
      </w:r>
      <w:hyperlink r:id="rId150" w:history="1">
        <w:r w:rsidRPr="00E229AA">
          <w:rPr>
            <w:rStyle w:val="Hipersaitas"/>
            <w:sz w:val="22"/>
            <w:szCs w:val="22"/>
          </w:rPr>
          <w:t>http://www3.lrs.lt/pls/inter3/dokpaieska.showdoc_l?p_id=309435&amp;p_query=&amp;p_tr2</w:t>
        </w:r>
      </w:hyperlink>
      <w:r w:rsidRPr="00E229AA">
        <w:rPr>
          <w:sz w:val="22"/>
          <w:szCs w:val="22"/>
        </w:rPr>
        <w:t>=</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Lietuvos Respublikos Vyriausybės 2008 m. birželio 18 d. Nr. 606 nutarimas „Dėl savivaldybės vykdomų visuomenės sveikatos priežiūros funkcijų įgyvendinimo ataskaitos teikimo tvarkos ir ataskaitos formos patvirtinimo“// Valstybės Žinios. Žin., 2008, </w:t>
      </w:r>
      <w:r>
        <w:rPr>
          <w:sz w:val="22"/>
          <w:szCs w:val="22"/>
        </w:rPr>
        <w:t>Nr. 73-2834; 2011, Nr. 8-328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sz w:val="22"/>
          <w:szCs w:val="22"/>
        </w:rPr>
        <w:t xml:space="preserve">: </w:t>
      </w:r>
      <w:hyperlink r:id="rId151" w:history="1">
        <w:r w:rsidRPr="00E229AA">
          <w:rPr>
            <w:rStyle w:val="Hipersaitas"/>
            <w:sz w:val="22"/>
            <w:szCs w:val="22"/>
          </w:rPr>
          <w:t>http://www3.lrs.lt/pls/inter3/dokpaieska.showdoc_l?p_id=323211</w:t>
        </w:r>
      </w:hyperlink>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Lietuvos Respublikos Vyriausybės 2009 m. balandžio 22 d. Nr. 321 nutarimas „Dėl Lietuvos Respublikos vyriausybės 2004 m. sausio 6 d. nutarimo Nr. 5 „Dėl Sveikatos priežiūros mokyklose finansavimo tvarkos patvirtinimo“ pakeitimo“//Valsty</w:t>
      </w:r>
      <w:r>
        <w:rPr>
          <w:sz w:val="22"/>
          <w:szCs w:val="22"/>
        </w:rPr>
        <w:t>bės Žinios 2009, Nr. 49-1968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152" w:history="1">
        <w:r w:rsidRPr="00E229AA">
          <w:rPr>
            <w:rStyle w:val="Hipersaitas"/>
            <w:sz w:val="22"/>
            <w:szCs w:val="22"/>
          </w:rPr>
          <w:t>http://www3.lrs.lt/pls/inter3/dokpaieska.showdoc_l?p_id=342658&amp;p_query=&amp;p_tr2</w:t>
        </w:r>
      </w:hyperlink>
      <w:r w:rsidRPr="00E229AA">
        <w:rPr>
          <w:sz w:val="22"/>
          <w:szCs w:val="22"/>
        </w:rPr>
        <w:t xml:space="preserve">= </w:t>
      </w:r>
    </w:p>
    <w:p w:rsidR="00995BE0" w:rsidRPr="00E229AA" w:rsidRDefault="00995BE0" w:rsidP="00BB2B17">
      <w:pPr>
        <w:numPr>
          <w:ilvl w:val="0"/>
          <w:numId w:val="17"/>
        </w:numPr>
        <w:tabs>
          <w:tab w:val="clear" w:pos="720"/>
        </w:tabs>
        <w:ind w:left="0"/>
        <w:jc w:val="both"/>
        <w:rPr>
          <w:sz w:val="22"/>
          <w:szCs w:val="22"/>
        </w:rPr>
      </w:pPr>
      <w:r w:rsidRPr="00E229AA">
        <w:rPr>
          <w:sz w:val="22"/>
          <w:szCs w:val="22"/>
        </w:rPr>
        <w:t xml:space="preserve">Lietuvos Respublikos Vyriausybės nutarimas „Dėl Lietuvos Respublikos vyriausybės 2004 m. sausio 6 d. nutarimo Nr. 5 „Dėl Sveikatos priežiūros mokyklose finansavimo tvarkos patvirtinimo“ pakeitimo“//Valstybės žinios. 2009, Nr. 49-1968 [interaktyvus], [žiūrėta 2011-02-28]. </w:t>
      </w:r>
      <w:r w:rsidRPr="00E229AA">
        <w:rPr>
          <w:color w:val="000000"/>
          <w:sz w:val="22"/>
          <w:szCs w:val="22"/>
        </w:rPr>
        <w:t>Prieiga per internetą</w:t>
      </w:r>
      <w:r w:rsidRPr="00E229AA">
        <w:rPr>
          <w:sz w:val="22"/>
          <w:szCs w:val="22"/>
        </w:rPr>
        <w:t xml:space="preserve">: </w:t>
      </w:r>
      <w:hyperlink r:id="rId153" w:history="1">
        <w:r w:rsidRPr="00E229AA">
          <w:rPr>
            <w:rStyle w:val="Hipersaitas"/>
            <w:sz w:val="22"/>
            <w:szCs w:val="22"/>
          </w:rPr>
          <w:t>http://www3.lrs.lt/pls/inter3/dokpaieska.showdoc_l?p_id=342658&amp;p_query=&amp;p_tr2</w:t>
        </w:r>
      </w:hyperlink>
      <w:r w:rsidRPr="00E229AA">
        <w:rPr>
          <w:sz w:val="22"/>
          <w:szCs w:val="22"/>
        </w:rPr>
        <w:t>=</w:t>
      </w:r>
    </w:p>
    <w:p w:rsidR="00995BE0" w:rsidRPr="00E229AA" w:rsidRDefault="00995BE0" w:rsidP="00BB2B17">
      <w:pPr>
        <w:numPr>
          <w:ilvl w:val="0"/>
          <w:numId w:val="17"/>
        </w:numPr>
        <w:tabs>
          <w:tab w:val="clear" w:pos="720"/>
          <w:tab w:val="num" w:pos="0"/>
        </w:tabs>
        <w:ind w:left="0"/>
        <w:jc w:val="both"/>
        <w:rPr>
          <w:color w:val="0000FF"/>
          <w:sz w:val="22"/>
          <w:szCs w:val="22"/>
        </w:rPr>
      </w:pPr>
      <w:r w:rsidRPr="00E229AA">
        <w:rPr>
          <w:sz w:val="22"/>
          <w:szCs w:val="22"/>
        </w:rPr>
        <w:t>Lietuvos Respublikos Vyriausybės nutarimas „Dėl Nacionalinės Lisabonos strategijos įgyvendinimo 2008-2010 metų programos patvirtinimo“// Valstybės žinios. 2008, Nr. 124-4718 [interaktyvus], [žiūrėta 2010-11-25]. Prieiga per internetą:</w:t>
      </w:r>
      <w:r w:rsidRPr="00E229AA">
        <w:rPr>
          <w:color w:val="0000FF"/>
          <w:sz w:val="22"/>
          <w:szCs w:val="22"/>
        </w:rPr>
        <w:t xml:space="preserve"> http://www3.lrs.lt/pls/inter3/dokpaieska.showdoc_l?p_id=329187</w:t>
      </w:r>
    </w:p>
    <w:p w:rsidR="00995BE0" w:rsidRPr="00E229AA" w:rsidRDefault="00995BE0" w:rsidP="00BB2B17">
      <w:pPr>
        <w:numPr>
          <w:ilvl w:val="0"/>
          <w:numId w:val="17"/>
        </w:numPr>
        <w:tabs>
          <w:tab w:val="clear" w:pos="720"/>
        </w:tabs>
        <w:ind w:left="0"/>
        <w:jc w:val="both"/>
        <w:rPr>
          <w:sz w:val="22"/>
          <w:szCs w:val="22"/>
        </w:rPr>
      </w:pPr>
      <w:r w:rsidRPr="00E229AA">
        <w:rPr>
          <w:sz w:val="22"/>
          <w:szCs w:val="22"/>
        </w:rPr>
        <w:t xml:space="preserve">Lietuvos Respublikos Vyriausybės nutarimas „Dėl vaikų sveikatos stiprinimo 2008-2012 m. programos patvirtinimo“//Valstybės žinios. 2008, Nr. 104-3979 5657 [interaktyvus], [žiūrėta 2011-02-28]. </w:t>
      </w:r>
      <w:r w:rsidRPr="00E229AA">
        <w:rPr>
          <w:color w:val="000000"/>
          <w:sz w:val="22"/>
          <w:szCs w:val="22"/>
        </w:rPr>
        <w:t>Prieiga per internetą</w:t>
      </w:r>
      <w:r w:rsidRPr="00E229AA">
        <w:rPr>
          <w:sz w:val="22"/>
          <w:szCs w:val="22"/>
        </w:rPr>
        <w:t xml:space="preserve">: </w:t>
      </w:r>
      <w:hyperlink r:id="rId154" w:history="1">
        <w:r w:rsidRPr="00E229AA">
          <w:rPr>
            <w:rStyle w:val="Hipersaitas"/>
            <w:sz w:val="22"/>
            <w:szCs w:val="22"/>
          </w:rPr>
          <w:t>http://www3.lrs.lt/pls/inter3/dokpaieska.showdoc_l?p_id=326653&amp;p_query=&amp;p_tr2</w:t>
        </w:r>
      </w:hyperlink>
      <w:r w:rsidRPr="00E229AA">
        <w:rPr>
          <w:sz w:val="22"/>
          <w:szCs w:val="22"/>
        </w:rPr>
        <w:t>=</w:t>
      </w:r>
    </w:p>
    <w:p w:rsidR="00995BE0" w:rsidRPr="00E229AA" w:rsidRDefault="00995BE0" w:rsidP="00BB2B17">
      <w:pPr>
        <w:numPr>
          <w:ilvl w:val="0"/>
          <w:numId w:val="17"/>
        </w:numPr>
        <w:tabs>
          <w:tab w:val="clear" w:pos="720"/>
          <w:tab w:val="num" w:pos="0"/>
          <w:tab w:val="left" w:pos="1049"/>
        </w:tabs>
        <w:ind w:left="0"/>
        <w:jc w:val="both"/>
        <w:rPr>
          <w:sz w:val="22"/>
          <w:szCs w:val="22"/>
        </w:rPr>
      </w:pPr>
      <w:r w:rsidRPr="00E229AA">
        <w:rPr>
          <w:sz w:val="22"/>
          <w:szCs w:val="22"/>
        </w:rPr>
        <w:t>Lietuvos Respublikos Vyriausybės nutarimas Nr. 1228 „Dėl Valstybinė visuomenės sveikatos priežiūros plėtros savivaldybėse 2007–2010 metų programos patvirtinimo“ // Valstybės žinios. 2007, Nr. 122-5007.</w:t>
      </w:r>
    </w:p>
    <w:p w:rsidR="00995BE0" w:rsidRPr="00E229AA" w:rsidRDefault="00995BE0" w:rsidP="00BB2B17">
      <w:pPr>
        <w:numPr>
          <w:ilvl w:val="0"/>
          <w:numId w:val="17"/>
        </w:numPr>
        <w:tabs>
          <w:tab w:val="clear" w:pos="720"/>
          <w:tab w:val="num" w:pos="0"/>
          <w:tab w:val="left" w:pos="1049"/>
        </w:tabs>
        <w:ind w:left="0"/>
        <w:jc w:val="both"/>
        <w:rPr>
          <w:sz w:val="22"/>
          <w:szCs w:val="22"/>
        </w:rPr>
      </w:pPr>
      <w:r w:rsidRPr="00E229AA">
        <w:rPr>
          <w:sz w:val="22"/>
          <w:szCs w:val="22"/>
        </w:rPr>
        <w:t>Lietuvos Respublikos Vyriausybės nutarimas Nr. 184 „Dėl vaiko gerovės</w:t>
      </w:r>
      <w:r w:rsidRPr="00E229AA">
        <w:rPr>
          <w:b/>
          <w:sz w:val="22"/>
          <w:szCs w:val="22"/>
        </w:rPr>
        <w:t xml:space="preserve"> </w:t>
      </w:r>
      <w:r w:rsidRPr="00E229AA">
        <w:rPr>
          <w:sz w:val="22"/>
          <w:szCs w:val="22"/>
        </w:rPr>
        <w:t xml:space="preserve">valstybės politikos strategijos ir jos įgyvendinimo priemonių 2005-2012 m. plano patvirtinimą“//Valstybės žinios. 2005, Nr. 25-802 [interaktyvus],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w:t>
      </w:r>
      <w:r w:rsidRPr="00E229AA">
        <w:rPr>
          <w:sz w:val="22"/>
          <w:szCs w:val="22"/>
        </w:rPr>
        <w:t xml:space="preserve"> </w:t>
      </w:r>
      <w:hyperlink r:id="rId155" w:history="1">
        <w:r w:rsidRPr="00E229AA">
          <w:rPr>
            <w:rStyle w:val="Hipersaitas"/>
            <w:sz w:val="22"/>
            <w:szCs w:val="22"/>
          </w:rPr>
          <w:t>http://www3.lrs.lt/pls/inter3/dokpaieska.showdoc_l?p_id=343456</w:t>
        </w:r>
      </w:hyperlink>
    </w:p>
    <w:p w:rsidR="00995BE0" w:rsidRPr="00E229AA" w:rsidRDefault="00995BE0" w:rsidP="00BB2B17">
      <w:pPr>
        <w:pStyle w:val="Sraopastraipa"/>
        <w:numPr>
          <w:ilvl w:val="0"/>
          <w:numId w:val="17"/>
        </w:numPr>
        <w:tabs>
          <w:tab w:val="clear" w:pos="720"/>
          <w:tab w:val="num" w:pos="0"/>
        </w:tabs>
        <w:ind w:left="0"/>
        <w:jc w:val="both"/>
        <w:rPr>
          <w:sz w:val="22"/>
          <w:szCs w:val="22"/>
        </w:rPr>
      </w:pPr>
      <w:r w:rsidRPr="00E229AA">
        <w:rPr>
          <w:sz w:val="22"/>
          <w:szCs w:val="22"/>
        </w:rPr>
        <w:t>Lietuvos Respublikos žmonių užkrečiamųjų ligų profilaktikos ir kontrolės įstatymas//Valstybės žinios. 1996, Nr. 104-2362; 2001, Nr. </w:t>
      </w:r>
      <w:hyperlink r:id="rId156" w:history="1">
        <w:r w:rsidRPr="00E229AA">
          <w:rPr>
            <w:rStyle w:val="Hipersaitas"/>
            <w:sz w:val="22"/>
            <w:szCs w:val="22"/>
          </w:rPr>
          <w:t>112-4069</w:t>
        </w:r>
      </w:hyperlink>
      <w:r w:rsidRPr="00E229AA">
        <w:rPr>
          <w:sz w:val="22"/>
          <w:szCs w:val="22"/>
        </w:rPr>
        <w:t xml:space="preserve">; 2007, Nr., 64-2454 [interaktyvus], [žiūrėta 2011-02-28]. </w:t>
      </w:r>
      <w:r w:rsidRPr="00E229AA">
        <w:rPr>
          <w:color w:val="000000"/>
          <w:sz w:val="22"/>
          <w:szCs w:val="22"/>
        </w:rPr>
        <w:t>Prieiga per internetą</w:t>
      </w:r>
      <w:r w:rsidRPr="00E229AA">
        <w:rPr>
          <w:sz w:val="22"/>
          <w:szCs w:val="22"/>
        </w:rPr>
        <w:t xml:space="preserve">: </w:t>
      </w:r>
      <w:hyperlink r:id="rId157" w:history="1">
        <w:r w:rsidRPr="00E229AA">
          <w:rPr>
            <w:rStyle w:val="Hipersaitas"/>
            <w:sz w:val="22"/>
            <w:szCs w:val="22"/>
          </w:rPr>
          <w:t>http://www3.lrs.lt/pls/inter2/dokpaieska.showdoc_l?p_id=157347</w:t>
        </w:r>
      </w:hyperlink>
      <w:r w:rsidRPr="00E229AA">
        <w:rPr>
          <w:sz w:val="22"/>
          <w:szCs w:val="22"/>
        </w:rPr>
        <w:t xml:space="preserve"> </w:t>
      </w:r>
    </w:p>
    <w:p w:rsidR="00995BE0" w:rsidRPr="00E229AA" w:rsidRDefault="00995BE0" w:rsidP="00BB2B17">
      <w:pPr>
        <w:pStyle w:val="Antrats"/>
        <w:numPr>
          <w:ilvl w:val="0"/>
          <w:numId w:val="17"/>
        </w:numPr>
        <w:tabs>
          <w:tab w:val="clear" w:pos="720"/>
          <w:tab w:val="clear" w:pos="4320"/>
          <w:tab w:val="clear" w:pos="8640"/>
          <w:tab w:val="num" w:pos="0"/>
        </w:tabs>
        <w:suppressAutoHyphens w:val="0"/>
        <w:ind w:left="0"/>
        <w:jc w:val="both"/>
        <w:rPr>
          <w:sz w:val="22"/>
          <w:szCs w:val="22"/>
          <w:lang w:val="sv-SE"/>
        </w:rPr>
      </w:pPr>
      <w:r w:rsidRPr="00E229AA">
        <w:rPr>
          <w:sz w:val="22"/>
          <w:szCs w:val="22"/>
          <w:lang w:val="lt-LT"/>
        </w:rPr>
        <w:t>Lietuvos Respublikos Visuomenės sveikatos stebėsenos (monitoringo) įstatymas</w:t>
      </w:r>
      <w:bookmarkStart w:id="94" w:name="data_menuo"/>
      <w:bookmarkStart w:id="95" w:name="data_diena"/>
      <w:bookmarkStart w:id="96" w:name="dok_nr"/>
      <w:bookmarkEnd w:id="94"/>
      <w:bookmarkEnd w:id="95"/>
      <w:bookmarkEnd w:id="96"/>
      <w:r w:rsidRPr="00E229AA">
        <w:rPr>
          <w:rStyle w:val="datametai"/>
          <w:sz w:val="22"/>
          <w:szCs w:val="22"/>
          <w:lang w:val="lt-LT"/>
        </w:rPr>
        <w:t xml:space="preserve">//Valstybės žinios. </w:t>
      </w:r>
      <w:r w:rsidRPr="00E229AA">
        <w:rPr>
          <w:rStyle w:val="datametai"/>
          <w:sz w:val="22"/>
          <w:szCs w:val="22"/>
          <w:lang w:val="sv-SE"/>
        </w:rPr>
        <w:t xml:space="preserve">2007, Nr. 64-2457 </w:t>
      </w:r>
      <w:r w:rsidRPr="00E229AA">
        <w:rPr>
          <w:sz w:val="22"/>
          <w:szCs w:val="22"/>
          <w:lang w:val="sv-SE"/>
        </w:rPr>
        <w:t xml:space="preserve">[interaktyvus], [žiūrėta 2011-02-28]. </w:t>
      </w:r>
      <w:r w:rsidRPr="00E229AA">
        <w:rPr>
          <w:color w:val="000000"/>
          <w:sz w:val="22"/>
          <w:szCs w:val="22"/>
          <w:lang w:val="sv-SE"/>
        </w:rPr>
        <w:t>Prieiga per internetą</w:t>
      </w:r>
      <w:r w:rsidRPr="00E229AA">
        <w:rPr>
          <w:sz w:val="22"/>
          <w:szCs w:val="22"/>
          <w:lang w:val="sv-SE"/>
        </w:rPr>
        <w:t xml:space="preserve">: </w:t>
      </w:r>
      <w:hyperlink r:id="rId158" w:history="1">
        <w:r w:rsidRPr="00E229AA">
          <w:rPr>
            <w:rStyle w:val="Hipersaitas"/>
            <w:sz w:val="22"/>
            <w:szCs w:val="22"/>
            <w:lang w:val="sv-SE"/>
          </w:rPr>
          <w:t>http://www3.lrs.lt/pls/inter3/dokpaieska.showdoc_l?p_id=171186</w:t>
        </w:r>
      </w:hyperlink>
      <w:r w:rsidRPr="00E229AA">
        <w:rPr>
          <w:sz w:val="22"/>
          <w:szCs w:val="22"/>
          <w:lang w:val="sv-SE"/>
        </w:rPr>
        <w:t xml:space="preserve"> </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Lietuvo</w:t>
      </w:r>
      <w:r>
        <w:rPr>
          <w:sz w:val="22"/>
          <w:szCs w:val="22"/>
        </w:rPr>
        <w:t>s sveikatos programa, 1997-2010//</w:t>
      </w:r>
      <w:r w:rsidRPr="00E229AA">
        <w:rPr>
          <w:sz w:val="22"/>
          <w:szCs w:val="22"/>
        </w:rPr>
        <w:t>Valstybės žinios. 1998, Nr. 64-1842.</w:t>
      </w:r>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L</w:t>
      </w:r>
      <w:r>
        <w:rPr>
          <w:sz w:val="22"/>
          <w:szCs w:val="22"/>
        </w:rPr>
        <w:t xml:space="preserve">ietuvos </w:t>
      </w:r>
      <w:r w:rsidRPr="00E229AA">
        <w:rPr>
          <w:sz w:val="22"/>
          <w:szCs w:val="22"/>
        </w:rPr>
        <w:t>R</w:t>
      </w:r>
      <w:r>
        <w:rPr>
          <w:sz w:val="22"/>
          <w:szCs w:val="22"/>
        </w:rPr>
        <w:t>espublikos</w:t>
      </w:r>
      <w:r w:rsidRPr="00E229AA">
        <w:rPr>
          <w:sz w:val="22"/>
          <w:szCs w:val="22"/>
        </w:rPr>
        <w:t xml:space="preserve"> Seimo nutarimas „Dėl Nacionalinės gyventojų senėjimo pasekmių įveikimo strategijos patvirtinimo“// Valstybės žinios. 2004, Nr. 95-3501.</w:t>
      </w:r>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L</w:t>
      </w:r>
      <w:r>
        <w:rPr>
          <w:sz w:val="22"/>
          <w:szCs w:val="22"/>
        </w:rPr>
        <w:t xml:space="preserve">ietuvos </w:t>
      </w:r>
      <w:r w:rsidRPr="00E229AA">
        <w:rPr>
          <w:sz w:val="22"/>
          <w:szCs w:val="22"/>
        </w:rPr>
        <w:t>R</w:t>
      </w:r>
      <w:r>
        <w:rPr>
          <w:sz w:val="22"/>
          <w:szCs w:val="22"/>
        </w:rPr>
        <w:t>espublikos</w:t>
      </w:r>
      <w:r w:rsidRPr="00E229AA">
        <w:rPr>
          <w:sz w:val="22"/>
          <w:szCs w:val="22"/>
        </w:rPr>
        <w:t xml:space="preserve"> Švietimo ir mokslo ministro įsakymas „Dėl Nacionalinės mokslo programos „Lėtinės neinfekcinės ligos“ patvirtinimo“// Valstyb</w:t>
      </w:r>
      <w:r>
        <w:rPr>
          <w:sz w:val="22"/>
          <w:szCs w:val="22"/>
        </w:rPr>
        <w:t>ės žinios. 2010, Nr. 75-3851 [i</w:t>
      </w:r>
      <w:r w:rsidRPr="00E229AA">
        <w:rPr>
          <w:sz w:val="22"/>
          <w:szCs w:val="22"/>
        </w:rPr>
        <w:t xml:space="preserve">nteraktyvus], [žiūrėta 2011-02-28]. Prieiga per internetą: </w:t>
      </w:r>
      <w:hyperlink r:id="rId159" w:history="1">
        <w:r w:rsidRPr="00E229AA">
          <w:rPr>
            <w:rStyle w:val="Hipersaitas"/>
            <w:sz w:val="22"/>
            <w:szCs w:val="22"/>
          </w:rPr>
          <w:t>http://www3.lrs.lt/pls/inter3/dokpaieska.showdoc_l?p_id=376885&amp;p_query=&amp;p_tr2</w:t>
        </w:r>
      </w:hyperlink>
      <w:r w:rsidRPr="00E229AA">
        <w:rPr>
          <w:sz w:val="22"/>
          <w:szCs w:val="22"/>
        </w:rPr>
        <w:t>=</w:t>
      </w:r>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lang w:eastAsia="ru-RU"/>
        </w:rPr>
      </w:pPr>
      <w:r w:rsidRPr="00E229AA">
        <w:rPr>
          <w:sz w:val="22"/>
          <w:szCs w:val="22"/>
        </w:rPr>
        <w:t>Mokyklų pripažinimo sveikatą stiprinančiomis mokyklomis tvarkos aprašas//Valstybės žinios. 2007, Nr. 91-3656.</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 xml:space="preserve">Nacionalinės sveikatos tarybos 2004 m. kovo 30 d. nutarimas Nr. N-5 „Dėl pirminės sveikatos priežiūros plėtros“ [interaktyvus], [žiūrėta 2011-02-28]. </w:t>
      </w:r>
      <w:r w:rsidRPr="00E229AA">
        <w:rPr>
          <w:color w:val="000000"/>
          <w:sz w:val="22"/>
          <w:szCs w:val="22"/>
        </w:rPr>
        <w:t>Prieiga per internetą</w:t>
      </w:r>
      <w:r w:rsidRPr="00E229AA">
        <w:rPr>
          <w:sz w:val="22"/>
          <w:szCs w:val="22"/>
        </w:rPr>
        <w:t xml:space="preserve">: </w:t>
      </w:r>
      <w:hyperlink r:id="rId160" w:history="1">
        <w:r w:rsidRPr="00E229AA">
          <w:rPr>
            <w:rStyle w:val="Hipersaitas"/>
            <w:sz w:val="22"/>
            <w:szCs w:val="22"/>
          </w:rPr>
          <w:t>http://www3.lrs.lt/pls/inter/w5_show?p_r=698&amp;p_d=37454&amp;p_k=1</w:t>
        </w:r>
      </w:hyperlink>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sz w:val="22"/>
          <w:szCs w:val="22"/>
        </w:rPr>
        <w:t xml:space="preserve">Nacionalinės sveikatos tarybos nutarimas (2009) „Dėl psichikos sveikatos situacijos Lietuvoje. Savižudybės: pokyčiai, jų priežastys ir siūlomi sprendimai“ Nr. N-4 [interaktyvus], [žiūrėta 2010-05-05]. Prieiga per internetą: </w:t>
      </w:r>
      <w:hyperlink r:id="rId161" w:history="1">
        <w:r w:rsidRPr="00E229AA">
          <w:rPr>
            <w:rStyle w:val="Hipersaitas"/>
            <w:sz w:val="22"/>
            <w:szCs w:val="22"/>
          </w:rPr>
          <w:t>http://www3.lrs.lt/pls/inter/w5_show?p_r=698&amp;p_k=1</w:t>
        </w:r>
      </w:hyperlink>
      <w:r w:rsidRPr="00E229AA">
        <w:rPr>
          <w:sz w:val="22"/>
          <w:szCs w:val="22"/>
        </w:rPr>
        <w:t>.</w:t>
      </w:r>
    </w:p>
    <w:p w:rsidR="00995BE0" w:rsidRPr="00E229AA" w:rsidRDefault="00995BE0" w:rsidP="00BB2B17">
      <w:pPr>
        <w:numPr>
          <w:ilvl w:val="0"/>
          <w:numId w:val="17"/>
        </w:numPr>
        <w:tabs>
          <w:tab w:val="clear" w:pos="720"/>
          <w:tab w:val="num" w:pos="0"/>
        </w:tabs>
        <w:autoSpaceDE w:val="0"/>
        <w:autoSpaceDN w:val="0"/>
        <w:adjustRightInd w:val="0"/>
        <w:ind w:left="0"/>
        <w:jc w:val="both"/>
        <w:rPr>
          <w:i/>
          <w:iCs/>
          <w:sz w:val="22"/>
          <w:szCs w:val="22"/>
        </w:rPr>
      </w:pPr>
      <w:r w:rsidRPr="00E229AA">
        <w:rPr>
          <w:sz w:val="22"/>
          <w:szCs w:val="22"/>
        </w:rPr>
        <w:t>Nacionalinis sveikatos tarybos nutarimas (2007) „Dėl valstybinės traumatizmo profilaktikos 2000-2010 metų programos įgyvendinimo“ Nr. N-2 [interaktyvus]</w:t>
      </w:r>
      <w:r>
        <w:rPr>
          <w:sz w:val="22"/>
          <w:szCs w:val="22"/>
        </w:rPr>
        <w:t>,</w:t>
      </w:r>
      <w:r w:rsidRPr="00E229AA">
        <w:rPr>
          <w:sz w:val="22"/>
          <w:szCs w:val="22"/>
        </w:rPr>
        <w:t xml:space="preserve"> [žiūrėta 2010-05-28]. Prieiga per internetą: </w:t>
      </w:r>
      <w:hyperlink r:id="rId162" w:history="1">
        <w:r w:rsidRPr="00E229AA">
          <w:rPr>
            <w:rStyle w:val="Hipersaitas"/>
            <w:sz w:val="22"/>
            <w:szCs w:val="22"/>
          </w:rPr>
          <w:t>http://www3.lrs.lt/pls/inter/w5_show?p_r=698&amp;p_d=64982&amp;p_k=1</w:t>
        </w:r>
      </w:hyperlink>
    </w:p>
    <w:p w:rsidR="00995BE0" w:rsidRPr="00E229AA" w:rsidRDefault="00995BE0" w:rsidP="00BB2B17">
      <w:pPr>
        <w:numPr>
          <w:ilvl w:val="0"/>
          <w:numId w:val="17"/>
        </w:numPr>
        <w:tabs>
          <w:tab w:val="clear" w:pos="720"/>
          <w:tab w:val="num" w:pos="0"/>
        </w:tabs>
        <w:autoSpaceDE w:val="0"/>
        <w:autoSpaceDN w:val="0"/>
        <w:adjustRightInd w:val="0"/>
        <w:ind w:left="0"/>
        <w:jc w:val="both"/>
        <w:rPr>
          <w:sz w:val="22"/>
          <w:szCs w:val="22"/>
        </w:rPr>
      </w:pPr>
      <w:r w:rsidRPr="00E229AA">
        <w:rPr>
          <w:bCs/>
          <w:sz w:val="22"/>
          <w:szCs w:val="22"/>
        </w:rPr>
        <w:t>Ottawa Charter for Health Promotion. (1986). First International Conference on Health Pro</w:t>
      </w:r>
      <w:r>
        <w:rPr>
          <w:bCs/>
          <w:sz w:val="22"/>
          <w:szCs w:val="22"/>
        </w:rPr>
        <w:t>motion Ottawa. WHO/HPR/HEP/95.1</w:t>
      </w:r>
      <w:r>
        <w:rPr>
          <w:sz w:val="22"/>
          <w:szCs w:val="22"/>
        </w:rPr>
        <w:t xml:space="preserve"> [i</w:t>
      </w:r>
      <w:r w:rsidRPr="00E229AA">
        <w:rPr>
          <w:sz w:val="22"/>
          <w:szCs w:val="22"/>
        </w:rPr>
        <w:t xml:space="preserve">nteraktyvus], [žiūrėta 2011-02-28]. Prieiga per internetą: </w:t>
      </w:r>
      <w:hyperlink r:id="rId163" w:history="1">
        <w:r w:rsidRPr="00E229AA">
          <w:rPr>
            <w:rStyle w:val="Hipersaitas"/>
            <w:sz w:val="22"/>
            <w:szCs w:val="22"/>
          </w:rPr>
          <w:t>http://www.who.int/hpr/NPH/docs/ottawa_charter_hp.pdf</w:t>
        </w:r>
      </w:hyperlink>
    </w:p>
    <w:p w:rsidR="00995BE0" w:rsidRPr="00E229AA" w:rsidRDefault="00995BE0" w:rsidP="00BB2B17">
      <w:pPr>
        <w:numPr>
          <w:ilvl w:val="0"/>
          <w:numId w:val="17"/>
        </w:numPr>
        <w:tabs>
          <w:tab w:val="clear" w:pos="720"/>
          <w:tab w:val="num" w:pos="0"/>
        </w:tabs>
        <w:ind w:left="0"/>
        <w:jc w:val="both"/>
        <w:rPr>
          <w:sz w:val="22"/>
          <w:szCs w:val="22"/>
          <w:lang w:val="sv-SE"/>
        </w:rPr>
      </w:pPr>
      <w:r w:rsidRPr="00E229AA">
        <w:rPr>
          <w:sz w:val="22"/>
          <w:szCs w:val="22"/>
        </w:rPr>
        <w:t>Regionų komiteto nuomonė „Dėl Komisijos komunikato Europos Parlamentui, Tarybai, Europos ekonomikos ir socialinių reikalų komitetui ir Regionų komitetui dėl globalizacijos socialinės dimensijos – ES politikos indėlis siekiant tolygiai paskirstyti naud</w:t>
      </w:r>
      <w:r>
        <w:rPr>
          <w:sz w:val="22"/>
          <w:szCs w:val="22"/>
        </w:rPr>
        <w:t>ą“. KOM (2004) 383 galutinis [i</w:t>
      </w:r>
      <w:r w:rsidRPr="00E229AA">
        <w:rPr>
          <w:sz w:val="22"/>
          <w:szCs w:val="22"/>
        </w:rPr>
        <w:t>nter</w:t>
      </w:r>
      <w:r>
        <w:rPr>
          <w:sz w:val="22"/>
          <w:szCs w:val="22"/>
        </w:rPr>
        <w:t xml:space="preserve">aktyvus], [žiūrėta </w:t>
      </w:r>
      <w:r w:rsidRPr="00E229AA">
        <w:rPr>
          <w:sz w:val="22"/>
          <w:szCs w:val="22"/>
        </w:rPr>
        <w:t>2010-12-01].  Prieiga per internetą:</w:t>
      </w:r>
      <w:r w:rsidRPr="00E229AA">
        <w:rPr>
          <w:sz w:val="22"/>
          <w:szCs w:val="22"/>
          <w:lang w:val="sv-SE"/>
        </w:rPr>
        <w:t xml:space="preserve"> &lt;</w:t>
      </w:r>
      <w:hyperlink r:id="rId164" w:history="1">
        <w:r w:rsidRPr="00E229AA">
          <w:rPr>
            <w:rStyle w:val="Hipersaitas"/>
            <w:sz w:val="22"/>
            <w:szCs w:val="22"/>
            <w:lang w:val="sv-SE"/>
          </w:rPr>
          <w:t>http://coropinions.cor.europa.eu/coropiniondocument.aspx?language=lt&amp;docnr=328&amp;year=2004</w:t>
        </w:r>
      </w:hyperlink>
      <w:r w:rsidRPr="00E229AA">
        <w:rPr>
          <w:sz w:val="22"/>
          <w:szCs w:val="22"/>
          <w:lang w:val="sv-SE"/>
        </w:rPr>
        <w:t>&gt;.</w:t>
      </w:r>
    </w:p>
    <w:p w:rsidR="00995BE0" w:rsidRDefault="00995BE0" w:rsidP="00BB2B17">
      <w:pPr>
        <w:numPr>
          <w:ilvl w:val="0"/>
          <w:numId w:val="17"/>
        </w:numPr>
        <w:tabs>
          <w:tab w:val="clear" w:pos="720"/>
          <w:tab w:val="num" w:pos="0"/>
        </w:tabs>
        <w:ind w:left="0"/>
        <w:jc w:val="both"/>
        <w:rPr>
          <w:sz w:val="22"/>
          <w:szCs w:val="22"/>
        </w:rPr>
      </w:pPr>
      <w:r w:rsidRPr="00E229AA">
        <w:rPr>
          <w:sz w:val="22"/>
          <w:szCs w:val="22"/>
        </w:rPr>
        <w:lastRenderedPageBreak/>
        <w:t>Sveikatos apsaugos ministerijos 2010 – 2012 metų strateginis veiklos planas. Patvirtinta Lietuvos Respublikos sveikatos apsaugos ministro 2010 m. kovo 30 d. įsakymu Nr. V-231.</w:t>
      </w:r>
    </w:p>
    <w:p w:rsidR="00995BE0" w:rsidRDefault="00995BE0" w:rsidP="00BB2B17">
      <w:pPr>
        <w:numPr>
          <w:ilvl w:val="0"/>
          <w:numId w:val="17"/>
        </w:numPr>
        <w:tabs>
          <w:tab w:val="clear" w:pos="720"/>
          <w:tab w:val="num" w:pos="0"/>
        </w:tabs>
        <w:ind w:left="0"/>
        <w:jc w:val="both"/>
        <w:rPr>
          <w:sz w:val="22"/>
          <w:szCs w:val="22"/>
        </w:rPr>
      </w:pPr>
      <w:r w:rsidRPr="00A02693">
        <w:rPr>
          <w:sz w:val="22"/>
          <w:szCs w:val="22"/>
          <w:lang w:eastAsia="ar-SA"/>
        </w:rPr>
        <w:t>Šiaulių miesto savivaldybės tarybos</w:t>
      </w:r>
      <w:r>
        <w:rPr>
          <w:sz w:val="22"/>
          <w:szCs w:val="22"/>
          <w:lang w:eastAsia="ar-SA"/>
        </w:rPr>
        <w:t xml:space="preserve"> 2005 m. rugsėjo 29 d. sprendimas Nr. T-307 „Dėl pritarimo steigti Šiaulių miesto savivaldybės visuomenės sveikatos biurą“.</w:t>
      </w:r>
    </w:p>
    <w:p w:rsidR="00995BE0" w:rsidRPr="00E229AA" w:rsidRDefault="00995BE0" w:rsidP="00BB2B17">
      <w:pPr>
        <w:numPr>
          <w:ilvl w:val="0"/>
          <w:numId w:val="17"/>
        </w:numPr>
        <w:tabs>
          <w:tab w:val="clear" w:pos="720"/>
          <w:tab w:val="num" w:pos="0"/>
        </w:tabs>
        <w:ind w:left="0"/>
        <w:jc w:val="both"/>
        <w:rPr>
          <w:sz w:val="22"/>
          <w:szCs w:val="22"/>
        </w:rPr>
      </w:pPr>
      <w:r w:rsidRPr="00A02693">
        <w:rPr>
          <w:sz w:val="22"/>
          <w:szCs w:val="22"/>
          <w:lang w:eastAsia="ar-SA"/>
        </w:rPr>
        <w:t>Šiaulių miesto savivaldybės tarybos</w:t>
      </w:r>
      <w:r>
        <w:rPr>
          <w:sz w:val="22"/>
          <w:szCs w:val="22"/>
          <w:lang w:eastAsia="ar-SA"/>
        </w:rPr>
        <w:t xml:space="preserve"> sprendimas Nr. T-356 „Dėl Šiaulių miesto savivaldybės visuomenės sveikatos biuro privalomų veiklos užduočių patvirtinimo“.</w:t>
      </w:r>
    </w:p>
    <w:p w:rsidR="00995BE0" w:rsidRPr="00E229AA" w:rsidRDefault="00995BE0" w:rsidP="00BB2B17">
      <w:pPr>
        <w:numPr>
          <w:ilvl w:val="0"/>
          <w:numId w:val="17"/>
        </w:numPr>
        <w:tabs>
          <w:tab w:val="clear" w:pos="720"/>
          <w:tab w:val="num" w:pos="0"/>
        </w:tabs>
        <w:ind w:left="0"/>
        <w:jc w:val="both"/>
        <w:rPr>
          <w:sz w:val="22"/>
          <w:szCs w:val="22"/>
        </w:rPr>
      </w:pPr>
      <w:r w:rsidRPr="00E229AA">
        <w:rPr>
          <w:sz w:val="22"/>
          <w:szCs w:val="22"/>
        </w:rPr>
        <w:t>Šiaulių miesto savivaldybės administracijos direktoriaus įsakymas dėl Šiaulių miesto savivaldybės administracijos direktoriaus 2009 m. balandžio 7 d. įsakymo Nr. A-408 „Dėl Šiaulių miesto savivaldybės visuomenės sveikatos biuro etatų finansavimo normatyvų patvirtinimo“ pakeitimo (2009 – 09 – 25 d. Nr. A-1118).</w:t>
      </w:r>
    </w:p>
    <w:p w:rsidR="00995BE0" w:rsidRDefault="00995BE0" w:rsidP="00777F15">
      <w:pPr>
        <w:pStyle w:val="Puslapioinaostekstas"/>
        <w:numPr>
          <w:ilvl w:val="0"/>
          <w:numId w:val="17"/>
        </w:numPr>
        <w:tabs>
          <w:tab w:val="clear" w:pos="720"/>
          <w:tab w:val="num" w:pos="0"/>
        </w:tabs>
        <w:ind w:left="0"/>
        <w:jc w:val="both"/>
        <w:rPr>
          <w:sz w:val="22"/>
          <w:szCs w:val="22"/>
          <w:lang w:val="lt-LT"/>
        </w:rPr>
      </w:pPr>
      <w:r w:rsidRPr="00A02693">
        <w:rPr>
          <w:sz w:val="22"/>
          <w:szCs w:val="22"/>
          <w:lang w:val="lt-LT" w:eastAsia="ar-SA"/>
        </w:rPr>
        <w:t>Šiaulių miesto savivaldybės tarybos 2006 m. rugsėjo 28 d. sprendimas Nr. T-313 ,,Dėl Šiaulių miesto 2007-2016 metų strategi</w:t>
      </w:r>
      <w:r>
        <w:rPr>
          <w:sz w:val="22"/>
          <w:szCs w:val="22"/>
          <w:lang w:val="lt-LT" w:eastAsia="ar-SA"/>
        </w:rPr>
        <w:t>nio plėtros plano patvirtinimo“</w:t>
      </w:r>
    </w:p>
    <w:p w:rsidR="00995BE0" w:rsidRPr="00376E59" w:rsidRDefault="00995BE0" w:rsidP="00777F15">
      <w:pPr>
        <w:pStyle w:val="Puslapioinaostekstas"/>
        <w:numPr>
          <w:ilvl w:val="0"/>
          <w:numId w:val="17"/>
        </w:numPr>
        <w:tabs>
          <w:tab w:val="clear" w:pos="720"/>
          <w:tab w:val="num" w:pos="0"/>
        </w:tabs>
        <w:ind w:left="0"/>
        <w:jc w:val="both"/>
        <w:rPr>
          <w:sz w:val="22"/>
          <w:szCs w:val="22"/>
          <w:lang w:val="lt-LT"/>
        </w:rPr>
      </w:pPr>
      <w:r>
        <w:rPr>
          <w:rFonts w:cs="Arial Unicode MS"/>
          <w:sz w:val="22"/>
          <w:szCs w:val="22"/>
          <w:lang w:val="lt-LT"/>
        </w:rPr>
        <w:t>Šiaulių miesto savivaldybės tarybos sprendimas Nr. T-194 „Dėl 2007-2010 metų Šiaulių miesto visuomenės sveikatos stebėsenos programos patvirtinimo“.</w:t>
      </w:r>
    </w:p>
    <w:p w:rsidR="00995BE0" w:rsidRPr="00A96E93" w:rsidRDefault="00995BE0" w:rsidP="00777F15">
      <w:pPr>
        <w:pStyle w:val="Puslapioinaostekstas"/>
        <w:numPr>
          <w:ilvl w:val="0"/>
          <w:numId w:val="17"/>
        </w:numPr>
        <w:tabs>
          <w:tab w:val="clear" w:pos="720"/>
          <w:tab w:val="num" w:pos="0"/>
        </w:tabs>
        <w:ind w:left="0"/>
        <w:jc w:val="both"/>
        <w:rPr>
          <w:sz w:val="22"/>
          <w:szCs w:val="22"/>
          <w:lang w:val="lt-LT"/>
        </w:rPr>
      </w:pPr>
      <w:r w:rsidRPr="00A02693">
        <w:rPr>
          <w:sz w:val="22"/>
          <w:szCs w:val="22"/>
          <w:lang w:val="lt-LT" w:eastAsia="ar-SA"/>
        </w:rPr>
        <w:t>Šiaulių miesto savivaldybės tarybos</w:t>
      </w:r>
      <w:r>
        <w:rPr>
          <w:sz w:val="22"/>
          <w:szCs w:val="22"/>
          <w:lang w:val="lt-LT" w:eastAsia="ar-SA"/>
        </w:rPr>
        <w:t xml:space="preserve"> 2006 m. rugpjūčio 23 d. sprendimas Nr. T-283 „Dėl Šiaulių miesto savivaldybės visuomenės sveikatos biuro įsteigimo, nuostatų patvirtinimo ir vadovo“.</w:t>
      </w:r>
    </w:p>
    <w:p w:rsidR="00995BE0" w:rsidRPr="00E229AA" w:rsidRDefault="00995BE0" w:rsidP="00BB2B17">
      <w:pPr>
        <w:numPr>
          <w:ilvl w:val="0"/>
          <w:numId w:val="17"/>
        </w:numPr>
        <w:tabs>
          <w:tab w:val="clear" w:pos="720"/>
        </w:tabs>
        <w:ind w:left="0"/>
        <w:jc w:val="both"/>
        <w:rPr>
          <w:sz w:val="22"/>
          <w:szCs w:val="22"/>
        </w:rPr>
      </w:pPr>
      <w:r w:rsidRPr="00E229AA">
        <w:rPr>
          <w:sz w:val="22"/>
          <w:szCs w:val="22"/>
        </w:rPr>
        <w:t>Šiaulių miesto savivaldybės visuomenės sveikatos biuro nuostatai. Šiaulių miesto savivaldybės tarybos 2008 m. vasario 28 d. sprendimas Nr. T-55.</w:t>
      </w:r>
    </w:p>
    <w:p w:rsidR="00995BE0" w:rsidRPr="00E229AA" w:rsidRDefault="00995BE0" w:rsidP="00A02693">
      <w:pPr>
        <w:pStyle w:val="prastasistinklapis"/>
        <w:numPr>
          <w:ilvl w:val="0"/>
          <w:numId w:val="17"/>
        </w:numPr>
        <w:tabs>
          <w:tab w:val="clear" w:pos="720"/>
          <w:tab w:val="num" w:pos="0"/>
        </w:tabs>
        <w:spacing w:before="0" w:beforeAutospacing="0" w:after="0" w:afterAutospacing="0"/>
        <w:ind w:left="0"/>
        <w:jc w:val="both"/>
        <w:rPr>
          <w:sz w:val="22"/>
          <w:szCs w:val="22"/>
        </w:rPr>
      </w:pPr>
      <w:r w:rsidRPr="00E229AA">
        <w:rPr>
          <w:sz w:val="22"/>
          <w:szCs w:val="22"/>
        </w:rPr>
        <w:t>Tarybos rekomendacija „Dėl pacientų saugos ir su sveikatos priežiūra susijusių infekcijų prevencijos ir kontrolės“ (2009). (2009/C 151/01). Europos S</w:t>
      </w:r>
      <w:r>
        <w:rPr>
          <w:sz w:val="22"/>
          <w:szCs w:val="22"/>
        </w:rPr>
        <w:t>ąjungos oficialusis leidinys [i</w:t>
      </w:r>
      <w:r w:rsidRPr="00E229AA">
        <w:rPr>
          <w:sz w:val="22"/>
          <w:szCs w:val="22"/>
        </w:rPr>
        <w:t xml:space="preserve">nteraktyvus], [žiūrėta 2010-05-28]. Prieiga per internetą: </w:t>
      </w:r>
      <w:hyperlink r:id="rId165" w:history="1">
        <w:r w:rsidRPr="00E229AA">
          <w:rPr>
            <w:rStyle w:val="Hipersaitas"/>
            <w:sz w:val="22"/>
            <w:szCs w:val="22"/>
          </w:rPr>
          <w:t>http://ec.europa.eu/health/patient_safety/docs/council_2009_lt.pdf</w:t>
        </w:r>
      </w:hyperlink>
      <w:r w:rsidRPr="00E229AA">
        <w:rPr>
          <w:sz w:val="22"/>
          <w:szCs w:val="22"/>
        </w:rPr>
        <w:t xml:space="preserve"> </w:t>
      </w:r>
    </w:p>
    <w:p w:rsidR="00995BE0" w:rsidRDefault="00995BE0" w:rsidP="00BB2B17">
      <w:pPr>
        <w:numPr>
          <w:ilvl w:val="0"/>
          <w:numId w:val="17"/>
        </w:numPr>
        <w:tabs>
          <w:tab w:val="clear" w:pos="720"/>
        </w:tabs>
        <w:autoSpaceDE w:val="0"/>
        <w:autoSpaceDN w:val="0"/>
        <w:adjustRightInd w:val="0"/>
        <w:ind w:left="0"/>
        <w:jc w:val="both"/>
        <w:rPr>
          <w:sz w:val="22"/>
          <w:szCs w:val="22"/>
        </w:rPr>
      </w:pPr>
      <w:r w:rsidRPr="00E229AA">
        <w:rPr>
          <w:color w:val="000000"/>
          <w:sz w:val="22"/>
          <w:szCs w:val="22"/>
        </w:rPr>
        <w:t>The Ljubljana Charter on Reforming Health Care in Europe. (1996). Slovenia</w:t>
      </w:r>
      <w:r>
        <w:rPr>
          <w:sz w:val="22"/>
          <w:szCs w:val="22"/>
        </w:rPr>
        <w:t xml:space="preserve"> [i</w:t>
      </w:r>
      <w:r w:rsidRPr="00E229AA">
        <w:rPr>
          <w:sz w:val="22"/>
          <w:szCs w:val="22"/>
        </w:rPr>
        <w:t xml:space="preserve">nteraktyvus], [žiūrėta 2011-02-28]. </w:t>
      </w:r>
      <w:r w:rsidRPr="00E229AA">
        <w:rPr>
          <w:color w:val="000000"/>
          <w:sz w:val="22"/>
          <w:szCs w:val="22"/>
        </w:rPr>
        <w:t>Prieiga per internet</w:t>
      </w:r>
      <w:r w:rsidRPr="00E229AA">
        <w:rPr>
          <w:rFonts w:eastAsia="TimesNewRoman"/>
          <w:color w:val="000000"/>
          <w:sz w:val="22"/>
          <w:szCs w:val="22"/>
        </w:rPr>
        <w:t>ą</w:t>
      </w:r>
      <w:r w:rsidRPr="00E229AA">
        <w:rPr>
          <w:color w:val="00FF00"/>
          <w:sz w:val="22"/>
          <w:szCs w:val="22"/>
        </w:rPr>
        <w:t xml:space="preserve">: </w:t>
      </w:r>
      <w:hyperlink r:id="rId166" w:history="1">
        <w:r w:rsidRPr="00E229AA">
          <w:rPr>
            <w:rStyle w:val="Hipersaitas"/>
            <w:sz w:val="22"/>
            <w:szCs w:val="22"/>
          </w:rPr>
          <w:t>http://www.euro.who.int/__data/assets/pdf_file/0010/113302/E55363.pdf</w:t>
        </w:r>
      </w:hyperlink>
    </w:p>
    <w:p w:rsidR="00995BE0" w:rsidRPr="00E229AA" w:rsidRDefault="00995BE0" w:rsidP="00043BC0">
      <w:pPr>
        <w:tabs>
          <w:tab w:val="left" w:pos="1049"/>
        </w:tabs>
        <w:ind w:left="-360"/>
        <w:jc w:val="both"/>
        <w:rPr>
          <w:sz w:val="22"/>
          <w:szCs w:val="22"/>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center"/>
        <w:rPr>
          <w:b/>
          <w:sz w:val="96"/>
          <w:szCs w:val="96"/>
        </w:rPr>
      </w:pPr>
    </w:p>
    <w:p w:rsidR="00995BE0" w:rsidRDefault="00995BE0" w:rsidP="008E467F">
      <w:pPr>
        <w:spacing w:line="360" w:lineRule="auto"/>
        <w:jc w:val="center"/>
        <w:rPr>
          <w:b/>
          <w:sz w:val="96"/>
          <w:szCs w:val="96"/>
        </w:rPr>
      </w:pPr>
    </w:p>
    <w:p w:rsidR="00995BE0" w:rsidRDefault="00995BE0" w:rsidP="008E467F">
      <w:pPr>
        <w:spacing w:line="360" w:lineRule="auto"/>
        <w:jc w:val="center"/>
        <w:rPr>
          <w:b/>
          <w:sz w:val="96"/>
          <w:szCs w:val="96"/>
        </w:rPr>
      </w:pPr>
    </w:p>
    <w:p w:rsidR="00995BE0" w:rsidRDefault="00995BE0" w:rsidP="00241FA4">
      <w:pPr>
        <w:pStyle w:val="Antrat1"/>
        <w:rPr>
          <w:sz w:val="72"/>
          <w:szCs w:val="72"/>
        </w:rPr>
      </w:pPr>
    </w:p>
    <w:p w:rsidR="00995BE0" w:rsidRDefault="00995BE0" w:rsidP="00241FA4">
      <w:pPr>
        <w:pStyle w:val="Antrat1"/>
        <w:rPr>
          <w:sz w:val="72"/>
          <w:szCs w:val="72"/>
        </w:rPr>
      </w:pPr>
    </w:p>
    <w:p w:rsidR="00995BE0" w:rsidRDefault="00995BE0" w:rsidP="00241FA4">
      <w:pPr>
        <w:pStyle w:val="Antrat1"/>
        <w:rPr>
          <w:sz w:val="72"/>
          <w:szCs w:val="72"/>
        </w:rPr>
      </w:pPr>
    </w:p>
    <w:p w:rsidR="00995BE0" w:rsidRDefault="00995BE0" w:rsidP="00241FA4">
      <w:pPr>
        <w:pStyle w:val="Antrat1"/>
        <w:rPr>
          <w:sz w:val="72"/>
          <w:szCs w:val="72"/>
        </w:rPr>
      </w:pPr>
    </w:p>
    <w:p w:rsidR="00995BE0" w:rsidRPr="00241FA4" w:rsidRDefault="00995BE0" w:rsidP="00241FA4">
      <w:pPr>
        <w:pStyle w:val="Antrat1"/>
        <w:rPr>
          <w:sz w:val="72"/>
          <w:szCs w:val="72"/>
        </w:rPr>
      </w:pPr>
      <w:bookmarkStart w:id="97" w:name="_Toc293248644"/>
      <w:r w:rsidRPr="00241FA4">
        <w:rPr>
          <w:sz w:val="72"/>
          <w:szCs w:val="72"/>
        </w:rPr>
        <w:t>PRIEDAI</w:t>
      </w:r>
      <w:bookmarkEnd w:id="97"/>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Default="00995BE0" w:rsidP="008E467F">
      <w:pPr>
        <w:spacing w:line="360" w:lineRule="auto"/>
        <w:jc w:val="right"/>
        <w:rPr>
          <w:b/>
        </w:rPr>
      </w:pPr>
    </w:p>
    <w:p w:rsidR="00995BE0" w:rsidRPr="000F5ECD" w:rsidRDefault="00995BE0" w:rsidP="008E467F">
      <w:pPr>
        <w:spacing w:line="360" w:lineRule="auto"/>
        <w:jc w:val="right"/>
        <w:rPr>
          <w:b/>
        </w:rPr>
      </w:pPr>
      <w:r w:rsidRPr="000F5ECD">
        <w:rPr>
          <w:b/>
        </w:rPr>
        <w:lastRenderedPageBreak/>
        <w:t xml:space="preserve">1 </w:t>
      </w:r>
      <w:r>
        <w:rPr>
          <w:b/>
        </w:rPr>
        <w:t>p</w:t>
      </w:r>
      <w:r w:rsidRPr="000F5ECD">
        <w:rPr>
          <w:b/>
        </w:rPr>
        <w:t>riedas</w:t>
      </w:r>
    </w:p>
    <w:p w:rsidR="00995BE0" w:rsidRPr="00D470C0" w:rsidRDefault="00995BE0" w:rsidP="00D82E8B">
      <w:pPr>
        <w:jc w:val="both"/>
        <w:rPr>
          <w:b/>
        </w:rPr>
      </w:pPr>
      <w:r w:rsidRPr="00D470C0">
        <w:rPr>
          <w:b/>
        </w:rPr>
        <w:t>Pagrindiniai</w:t>
      </w:r>
      <w:r>
        <w:rPr>
          <w:b/>
        </w:rPr>
        <w:t xml:space="preserve"> teisės aktai</w:t>
      </w:r>
      <w:r w:rsidRPr="00D470C0">
        <w:rPr>
          <w:b/>
        </w:rPr>
        <w:t>, kuriais remiasi visuomenės sveikatos biuro stiprinimo skyriaus veikla:</w:t>
      </w:r>
    </w:p>
    <w:p w:rsidR="00995BE0" w:rsidRPr="00D82E8B" w:rsidRDefault="00995BE0" w:rsidP="008E467F">
      <w:pPr>
        <w:jc w:val="both"/>
      </w:pPr>
      <w:r w:rsidRPr="001D71BB">
        <w:t>Lietuvos Respublikos nuodingųjų medžiagų kontrolės įstatymas</w:t>
      </w:r>
      <w:r>
        <w:t>//Valstybės žinios.</w:t>
      </w:r>
      <w:r w:rsidRPr="001D71BB">
        <w:t xml:space="preserve"> 2001, Nr. </w:t>
      </w:r>
      <w:hyperlink r:id="rId167" w:history="1">
        <w:r w:rsidRPr="00D82E8B">
          <w:rPr>
            <w:rStyle w:val="Hipersaitas"/>
            <w:color w:val="auto"/>
            <w:u w:val="none"/>
          </w:rPr>
          <w:t>64-2330</w:t>
        </w:r>
      </w:hyperlink>
      <w:r w:rsidRPr="00D82E8B">
        <w:t>.</w:t>
      </w:r>
    </w:p>
    <w:p w:rsidR="00995BE0" w:rsidRPr="009E1728" w:rsidRDefault="00995BE0" w:rsidP="00AA35E6">
      <w:pPr>
        <w:autoSpaceDE w:val="0"/>
        <w:autoSpaceDN w:val="0"/>
        <w:adjustRightInd w:val="0"/>
        <w:jc w:val="both"/>
      </w:pPr>
      <w:r w:rsidRPr="001D71BB">
        <w:t>HN 98:2000 „</w:t>
      </w:r>
      <w:r w:rsidRPr="009E1728">
        <w:t>Natūralus ir dirbtinis darbo vietų apšvietimas. Apšvietos ribinės vertės ir bendrieji matavimo reikalavimai”</w:t>
      </w:r>
    </w:p>
    <w:p w:rsidR="00995BE0" w:rsidRPr="001D71BB" w:rsidRDefault="00995BE0" w:rsidP="00D82E8B">
      <w:pPr>
        <w:autoSpaceDE w:val="0"/>
        <w:autoSpaceDN w:val="0"/>
        <w:adjustRightInd w:val="0"/>
        <w:jc w:val="both"/>
      </w:pPr>
      <w:r w:rsidRPr="001D71BB">
        <w:t>HN 110:2001 „Pramoninio dažnio (50 Hz) elektromagnetinis laukas darbo vietose. Parametrų leidžiamos skaitinės vertės ir matavimo reikalavimai</w:t>
      </w:r>
    </w:p>
    <w:p w:rsidR="00995BE0" w:rsidRPr="001D71BB" w:rsidRDefault="00995BE0" w:rsidP="00D82E8B">
      <w:pPr>
        <w:autoSpaceDE w:val="0"/>
        <w:autoSpaceDN w:val="0"/>
        <w:adjustRightInd w:val="0"/>
        <w:jc w:val="both"/>
      </w:pPr>
      <w:r w:rsidRPr="001D71BB">
        <w:t>HN 111:2001 ,,Internatinė mokykla specialiųjų poreikių vaikams. Higienos normos ir taisyklės“</w:t>
      </w:r>
    </w:p>
    <w:p w:rsidR="00995BE0" w:rsidRPr="001D71BB" w:rsidRDefault="00995BE0" w:rsidP="00D82E8B">
      <w:pPr>
        <w:autoSpaceDE w:val="0"/>
        <w:autoSpaceDN w:val="0"/>
        <w:adjustRightInd w:val="0"/>
        <w:jc w:val="both"/>
      </w:pPr>
      <w:r w:rsidRPr="001D71BB">
        <w:t>HN 106:2001 „Nauji maisto produktai ir nauji maisto ingredientai“</w:t>
      </w:r>
    </w:p>
    <w:p w:rsidR="00995BE0" w:rsidRPr="001D71BB" w:rsidRDefault="00995BE0" w:rsidP="00D82E8B">
      <w:pPr>
        <w:autoSpaceDE w:val="0"/>
        <w:autoSpaceDN w:val="0"/>
        <w:adjustRightInd w:val="0"/>
        <w:jc w:val="both"/>
      </w:pPr>
      <w:r w:rsidRPr="001D71BB">
        <w:t xml:space="preserve">HN 53-2:2002 „Leidžiami vartoti maisto priedai. Specifiniai saldiklių, dažiklių ir kitų maisto priedų grynumo kriterijai HN 15:2005 „Maisto higiena“  </w:t>
      </w:r>
    </w:p>
    <w:p w:rsidR="00995BE0" w:rsidRPr="001D71BB" w:rsidRDefault="00995BE0" w:rsidP="00D82E8B">
      <w:pPr>
        <w:autoSpaceDE w:val="0"/>
        <w:autoSpaceDN w:val="0"/>
        <w:adjustRightInd w:val="0"/>
        <w:jc w:val="both"/>
      </w:pPr>
      <w:r w:rsidRPr="001D71BB">
        <w:t>HN 77:2002 „Radiacinė sauga ir kokybės laidavimas branduolinėje medicinoje“</w:t>
      </w:r>
    </w:p>
    <w:p w:rsidR="00995BE0" w:rsidRPr="001D71BB" w:rsidRDefault="00995BE0" w:rsidP="00D82E8B">
      <w:pPr>
        <w:autoSpaceDE w:val="0"/>
        <w:autoSpaceDN w:val="0"/>
        <w:adjustRightInd w:val="0"/>
        <w:jc w:val="both"/>
      </w:pPr>
      <w:r w:rsidRPr="001D71BB">
        <w:t>HN 118:2002 „Apgyvendinimo paslaugų saugos sveikatai reikalavimai“</w:t>
      </w:r>
    </w:p>
    <w:p w:rsidR="00995BE0" w:rsidRPr="001D71BB" w:rsidRDefault="00995BE0" w:rsidP="00D82E8B">
      <w:pPr>
        <w:autoSpaceDE w:val="0"/>
        <w:autoSpaceDN w:val="0"/>
        <w:adjustRightInd w:val="0"/>
        <w:jc w:val="both"/>
      </w:pPr>
      <w:r w:rsidRPr="001D71BB">
        <w:t>HN 24:2003 „Geriamojo vandens saugos ir kokybės reikalavimai“</w:t>
      </w:r>
    </w:p>
    <w:p w:rsidR="00995BE0" w:rsidRPr="001D71BB" w:rsidRDefault="00995BE0" w:rsidP="00D82E8B">
      <w:pPr>
        <w:autoSpaceDE w:val="0"/>
        <w:autoSpaceDN w:val="0"/>
        <w:adjustRightInd w:val="0"/>
        <w:jc w:val="both"/>
      </w:pPr>
      <w:r w:rsidRPr="001D71BB">
        <w:t>HN 33-1:2003 „Akustinis triukšmas. Leidžiami lygiai gyvenamojoje ir darbo aplinkoje. Matavimo metodikos bendrieji reikalavimai“</w:t>
      </w:r>
    </w:p>
    <w:p w:rsidR="00995BE0" w:rsidRPr="001D71BB" w:rsidRDefault="00995BE0" w:rsidP="00D82E8B">
      <w:pPr>
        <w:autoSpaceDE w:val="0"/>
        <w:autoSpaceDN w:val="0"/>
        <w:adjustRightInd w:val="0"/>
        <w:jc w:val="both"/>
        <w:rPr>
          <w:bCs/>
        </w:rPr>
      </w:pPr>
      <w:r w:rsidRPr="001D71BB">
        <w:rPr>
          <w:bCs/>
        </w:rPr>
        <w:t xml:space="preserve">HN 50:2003 „Visą žmogaus kūną veikianti vibracija: didžiausi leidžiami dydžiai ir matavimo reikalavimai gyvenamuosiuose bei visuomeniniuose pastatuose“ </w:t>
      </w:r>
    </w:p>
    <w:p w:rsidR="00995BE0" w:rsidRPr="001D71BB" w:rsidRDefault="00995BE0" w:rsidP="00D82E8B">
      <w:pPr>
        <w:autoSpaceDE w:val="0"/>
        <w:autoSpaceDN w:val="0"/>
        <w:adjustRightInd w:val="0"/>
        <w:jc w:val="both"/>
      </w:pPr>
      <w:r w:rsidRPr="001D71BB">
        <w:rPr>
          <w:bCs/>
        </w:rPr>
        <w:t>HN 51:2003 „Visą žmogaus kūną veikianti vibracija: didžiausi leidžiami dydžiai ir matavimo reikalavimai darbo vietose“</w:t>
      </w:r>
    </w:p>
    <w:p w:rsidR="00995BE0" w:rsidRPr="001D71BB" w:rsidRDefault="00995BE0" w:rsidP="00D82E8B">
      <w:pPr>
        <w:jc w:val="both"/>
      </w:pPr>
      <w:r w:rsidRPr="001D71BB">
        <w:t>HN 62:2003 „Kosmetikos gaminiai: bendrieji reikalavimai, draudžiamos ir ribojamos medžiagos“</w:t>
      </w:r>
    </w:p>
    <w:p w:rsidR="00995BE0" w:rsidRPr="001D71BB" w:rsidRDefault="00995BE0" w:rsidP="00D82E8B">
      <w:pPr>
        <w:autoSpaceDE w:val="0"/>
        <w:autoSpaceDN w:val="0"/>
        <w:adjustRightInd w:val="0"/>
        <w:jc w:val="both"/>
      </w:pPr>
      <w:r w:rsidRPr="001D71BB">
        <w:t>HN 69:2003 „Šiluminis komfortas ir pakankama šiluminė aplinka darbo patalpose. Parametrų norminės vertės ir matavimo reikalavimai“</w:t>
      </w:r>
    </w:p>
    <w:p w:rsidR="00995BE0" w:rsidRPr="001D71BB" w:rsidRDefault="00995BE0" w:rsidP="00D82E8B">
      <w:pPr>
        <w:autoSpaceDE w:val="0"/>
        <w:autoSpaceDN w:val="0"/>
        <w:adjustRightInd w:val="0"/>
        <w:jc w:val="both"/>
      </w:pPr>
      <w:r w:rsidRPr="001D71BB">
        <w:t>HN 123:2003 „Patalpų ir įrangos, skirtų kūno kultūrai ir sportui, higienos reikalavimai“</w:t>
      </w:r>
    </w:p>
    <w:p w:rsidR="00995BE0" w:rsidRPr="001D71BB" w:rsidRDefault="00995BE0" w:rsidP="00D82E8B">
      <w:pPr>
        <w:autoSpaceDE w:val="0"/>
        <w:autoSpaceDN w:val="0"/>
        <w:adjustRightInd w:val="0"/>
        <w:jc w:val="both"/>
      </w:pPr>
      <w:r w:rsidRPr="001D71BB">
        <w:t xml:space="preserve">HN 32:2004 „Darbas su videoterminalais. Saugos ir sveikatos reikalavimai‘‘ </w:t>
      </w:r>
    </w:p>
    <w:p w:rsidR="00995BE0" w:rsidRPr="001D71BB" w:rsidRDefault="00995BE0" w:rsidP="00D82E8B">
      <w:pPr>
        <w:autoSpaceDE w:val="0"/>
        <w:autoSpaceDN w:val="0"/>
        <w:adjustRightInd w:val="0"/>
        <w:jc w:val="both"/>
      </w:pPr>
      <w:r w:rsidRPr="001D71BB">
        <w:t>HN 79:2004 „Vaikų vasaros poilsio stovyklos. Bendrieji sveikatos saugos reikalavimai“</w:t>
      </w:r>
    </w:p>
    <w:p w:rsidR="00995BE0" w:rsidRPr="001D71BB" w:rsidRDefault="00995BE0" w:rsidP="00D82E8B">
      <w:pPr>
        <w:autoSpaceDE w:val="0"/>
        <w:autoSpaceDN w:val="0"/>
        <w:adjustRightInd w:val="0"/>
        <w:jc w:val="both"/>
      </w:pPr>
      <w:r w:rsidRPr="001D71BB">
        <w:t xml:space="preserve">HN 120:2004 „Priešgaisrinės apsaugos ir gelbėjimo įstaigos. Įrengimas, eksploatavimo tvarka, sveikatos priežiūra“ </w:t>
      </w:r>
    </w:p>
    <w:p w:rsidR="00995BE0" w:rsidRPr="001D71BB" w:rsidRDefault="00995BE0" w:rsidP="00D82E8B">
      <w:pPr>
        <w:autoSpaceDE w:val="0"/>
        <w:autoSpaceDN w:val="0"/>
        <w:adjustRightInd w:val="0"/>
        <w:jc w:val="both"/>
      </w:pPr>
      <w:r w:rsidRPr="001D71BB">
        <w:t>HN 125:2004 „Socialinių paslaugų įstaigos: bendrieji saugos sveikatai reikalavimai“</w:t>
      </w:r>
    </w:p>
    <w:p w:rsidR="00995BE0" w:rsidRPr="001D71BB" w:rsidRDefault="00995BE0" w:rsidP="00D82E8B">
      <w:pPr>
        <w:autoSpaceDE w:val="0"/>
        <w:autoSpaceDN w:val="0"/>
        <w:adjustRightInd w:val="0"/>
        <w:jc w:val="both"/>
      </w:pPr>
      <w:r w:rsidRPr="001D71BB">
        <w:t>HN 39:2005 „Pirtys: įrengimo ir priežiūros saugos sveikatai reikalavimai“</w:t>
      </w:r>
    </w:p>
    <w:p w:rsidR="00995BE0" w:rsidRPr="001D71BB" w:rsidRDefault="00995BE0" w:rsidP="00D82E8B">
      <w:pPr>
        <w:autoSpaceDE w:val="0"/>
        <w:autoSpaceDN w:val="0"/>
        <w:adjustRightInd w:val="0"/>
        <w:jc w:val="both"/>
      </w:pPr>
      <w:r w:rsidRPr="001D71BB">
        <w:t>HN 43:2005 ,,Šuliniai ir versmės: įrengimo ir priežiūros saugos sveikatai reikalavimai“</w:t>
      </w:r>
    </w:p>
    <w:p w:rsidR="00995BE0" w:rsidRPr="001D71BB" w:rsidRDefault="00995BE0" w:rsidP="00D82E8B">
      <w:pPr>
        <w:autoSpaceDE w:val="0"/>
        <w:autoSpaceDN w:val="0"/>
        <w:adjustRightInd w:val="0"/>
        <w:jc w:val="both"/>
      </w:pPr>
      <w:r w:rsidRPr="001D71BB">
        <w:t>HN 88:2005 „Nemedicininės paskirties atvirųjų jonizuojančiosios spinduliuotės šaltinių radiacinė sauga“</w:t>
      </w:r>
    </w:p>
    <w:p w:rsidR="00995BE0" w:rsidRPr="001D71BB" w:rsidRDefault="00995BE0" w:rsidP="00D82E8B">
      <w:pPr>
        <w:autoSpaceDE w:val="0"/>
        <w:autoSpaceDN w:val="0"/>
        <w:adjustRightInd w:val="0"/>
        <w:jc w:val="both"/>
      </w:pPr>
      <w:r w:rsidRPr="001D71BB">
        <w:t>HN 109:2005 „Baseinai. Įrengimo ir priežiūros saugos sveikatai reikalavimai“</w:t>
      </w:r>
    </w:p>
    <w:p w:rsidR="00995BE0" w:rsidRPr="001D71BB" w:rsidRDefault="00995BE0" w:rsidP="00D82E8B">
      <w:pPr>
        <w:autoSpaceDE w:val="0"/>
        <w:autoSpaceDN w:val="0"/>
        <w:adjustRightInd w:val="0"/>
        <w:jc w:val="both"/>
      </w:pPr>
      <w:r w:rsidRPr="001D71BB">
        <w:t>HN 16:2006 „Medžiagų ir gaminių, skirtų liestis su maistu, specialieji sveikatos saugos reikalavimai“ patvirtinimo“</w:t>
      </w:r>
    </w:p>
    <w:p w:rsidR="00995BE0" w:rsidRPr="001D71BB" w:rsidRDefault="00995BE0" w:rsidP="00D82E8B">
      <w:pPr>
        <w:autoSpaceDE w:val="0"/>
        <w:autoSpaceDN w:val="0"/>
        <w:adjustRightInd w:val="0"/>
        <w:jc w:val="both"/>
      </w:pPr>
      <w:r w:rsidRPr="001D71BB">
        <w:t>HN 20:2006 „Neformaliojo vaikų švietimo mokykla: bendrieji sveikatos saugos reikalavimai“</w:t>
      </w:r>
    </w:p>
    <w:p w:rsidR="00995BE0" w:rsidRPr="001D71BB" w:rsidRDefault="00995BE0" w:rsidP="00D82E8B">
      <w:pPr>
        <w:autoSpaceDE w:val="0"/>
        <w:autoSpaceDN w:val="0"/>
        <w:adjustRightInd w:val="0"/>
        <w:jc w:val="both"/>
      </w:pPr>
      <w:r w:rsidRPr="001D71BB">
        <w:t>HN 26:2006 „Maisto produktų mikrobiologiniai kriterijai“</w:t>
      </w:r>
    </w:p>
    <w:p w:rsidR="00995BE0" w:rsidRPr="001D71BB" w:rsidRDefault="00995BE0" w:rsidP="00D82E8B">
      <w:pPr>
        <w:autoSpaceDE w:val="0"/>
        <w:autoSpaceDN w:val="0"/>
        <w:adjustRightInd w:val="0"/>
        <w:jc w:val="both"/>
      </w:pPr>
      <w:r w:rsidRPr="001D71BB">
        <w:t>HN 90:2006 „Dezinsekcijos ir deratizacijos bendrieji saugos reikalavimai“</w:t>
      </w:r>
    </w:p>
    <w:p w:rsidR="00995BE0" w:rsidRPr="001D71BB" w:rsidRDefault="00995BE0" w:rsidP="00D82E8B">
      <w:pPr>
        <w:autoSpaceDE w:val="0"/>
        <w:autoSpaceDN w:val="0"/>
        <w:adjustRightInd w:val="0"/>
        <w:jc w:val="both"/>
      </w:pPr>
      <w:r w:rsidRPr="001D71BB">
        <w:t>HN 122:2006 „Rūkymo patalpų (vietų) įmonėse, įstaigose ir organizacijose įrengimo ir eksploatavimo reikalavimai“</w:t>
      </w:r>
    </w:p>
    <w:p w:rsidR="00995BE0" w:rsidRPr="001D71BB" w:rsidRDefault="00995BE0" w:rsidP="00D82E8B">
      <w:pPr>
        <w:autoSpaceDE w:val="0"/>
        <w:autoSpaceDN w:val="0"/>
        <w:adjustRightInd w:val="0"/>
        <w:jc w:val="both"/>
      </w:pPr>
      <w:r w:rsidRPr="001D71BB">
        <w:t>HN 23:2007 „Cheminių medžiagų profesinio poveikio ribiniai dydžiai. Matavimo ir poveikio vertinimo bendrieji reikalavimai“</w:t>
      </w:r>
    </w:p>
    <w:p w:rsidR="00995BE0" w:rsidRPr="001D71BB" w:rsidRDefault="00995BE0" w:rsidP="00D82E8B">
      <w:pPr>
        <w:autoSpaceDE w:val="0"/>
        <w:autoSpaceDN w:val="0"/>
        <w:adjustRightInd w:val="0"/>
        <w:jc w:val="both"/>
      </w:pPr>
      <w:r w:rsidRPr="001D71BB">
        <w:t>HN 35:2007 „Didžiausia leidžiama cheminių medžiagų (teršalų) koncentracija gyvenamosios aplinkos ore“</w:t>
      </w:r>
    </w:p>
    <w:p w:rsidR="00995BE0" w:rsidRPr="001D71BB" w:rsidRDefault="00995BE0" w:rsidP="00D82E8B">
      <w:pPr>
        <w:autoSpaceDE w:val="0"/>
        <w:autoSpaceDN w:val="0"/>
        <w:adjustRightInd w:val="0"/>
        <w:jc w:val="both"/>
      </w:pPr>
      <w:r w:rsidRPr="001D71BB">
        <w:t>HN 92:2007 „Paplūdimiai ir jų maudyklų vandens kokybė“</w:t>
      </w:r>
    </w:p>
    <w:p w:rsidR="00995BE0" w:rsidRPr="001D71BB" w:rsidRDefault="00995BE0" w:rsidP="00D82E8B">
      <w:pPr>
        <w:autoSpaceDE w:val="0"/>
        <w:autoSpaceDN w:val="0"/>
        <w:adjustRightInd w:val="0"/>
        <w:jc w:val="both"/>
      </w:pPr>
      <w:r w:rsidRPr="001D71BB">
        <w:t>HN 117:2007 „Grožio paslaugų sveikatos saugos reikalavimai“</w:t>
      </w:r>
    </w:p>
    <w:p w:rsidR="00995BE0" w:rsidRPr="001D71BB" w:rsidRDefault="00995BE0" w:rsidP="00D82E8B">
      <w:pPr>
        <w:autoSpaceDE w:val="0"/>
        <w:autoSpaceDN w:val="0"/>
        <w:adjustRightInd w:val="0"/>
        <w:jc w:val="both"/>
      </w:pPr>
      <w:r w:rsidRPr="001D71BB">
        <w:t>HN 47-1:2008 „Sveikatos priežiūros įstaigos. Higieninės ir epidemiologinės priežiūros reikalavimai“</w:t>
      </w:r>
    </w:p>
    <w:p w:rsidR="00995BE0" w:rsidRPr="001D71BB" w:rsidRDefault="00995BE0" w:rsidP="00D82E8B">
      <w:pPr>
        <w:autoSpaceDE w:val="0"/>
        <w:autoSpaceDN w:val="0"/>
        <w:adjustRightInd w:val="0"/>
        <w:jc w:val="both"/>
      </w:pPr>
      <w:r w:rsidRPr="001D71BB">
        <w:t>HN 54:2008 „Maisto produktai. Didžiausios leidžiamos teršalų ir pesticidų likučių koncentracijos“</w:t>
      </w:r>
    </w:p>
    <w:p w:rsidR="00995BE0" w:rsidRPr="001D71BB" w:rsidRDefault="00995BE0" w:rsidP="00D82E8B">
      <w:pPr>
        <w:autoSpaceDE w:val="0"/>
        <w:autoSpaceDN w:val="0"/>
        <w:adjustRightInd w:val="0"/>
        <w:jc w:val="both"/>
      </w:pPr>
      <w:r w:rsidRPr="001D71BB">
        <w:lastRenderedPageBreak/>
        <w:t>HN 66:2008 „Medicininių atliekų tvarkymo saugos reikalavimai“</w:t>
      </w:r>
    </w:p>
    <w:p w:rsidR="00995BE0" w:rsidRPr="001D71BB" w:rsidRDefault="00995BE0" w:rsidP="00D82E8B">
      <w:pPr>
        <w:autoSpaceDE w:val="0"/>
        <w:autoSpaceDN w:val="0"/>
        <w:adjustRightInd w:val="0"/>
        <w:jc w:val="both"/>
      </w:pPr>
      <w:r w:rsidRPr="001D71BB">
        <w:t>HN 75:2008 „Ikimokyklinio ugdymo mokykla: bendrieji sveikatos saugos reikalavimai“</w:t>
      </w:r>
    </w:p>
    <w:p w:rsidR="00995BE0" w:rsidRPr="001D71BB" w:rsidRDefault="00995BE0" w:rsidP="00D82E8B">
      <w:pPr>
        <w:autoSpaceDE w:val="0"/>
        <w:autoSpaceDN w:val="0"/>
        <w:adjustRightInd w:val="0"/>
        <w:jc w:val="both"/>
      </w:pPr>
      <w:r w:rsidRPr="001D71BB">
        <w:t>HN 36:2009 „Draudžiamos ir ribojamos medžiagos“</w:t>
      </w:r>
    </w:p>
    <w:p w:rsidR="00995BE0" w:rsidRPr="001D71BB" w:rsidRDefault="00995BE0" w:rsidP="00D82E8B">
      <w:pPr>
        <w:autoSpaceDE w:val="0"/>
        <w:autoSpaceDN w:val="0"/>
        <w:adjustRightInd w:val="0"/>
        <w:jc w:val="both"/>
      </w:pPr>
      <w:r w:rsidRPr="001D71BB">
        <w:t>HN 42:2009 „Gyvenamųjų ir visuomeninių pastatų patalpų mikroklimatas“</w:t>
      </w:r>
    </w:p>
    <w:p w:rsidR="00995BE0" w:rsidRPr="001D71BB" w:rsidRDefault="00995BE0" w:rsidP="00D82E8B">
      <w:pPr>
        <w:autoSpaceDE w:val="0"/>
        <w:autoSpaceDN w:val="0"/>
        <w:adjustRightInd w:val="0"/>
        <w:jc w:val="both"/>
      </w:pPr>
      <w:r w:rsidRPr="001D71BB">
        <w:t>HN 71:2009 „Soliariumai. Sveikatos saugos reikalavimai“</w:t>
      </w:r>
    </w:p>
    <w:p w:rsidR="00995BE0" w:rsidRPr="001D71BB" w:rsidRDefault="00995BE0" w:rsidP="00D82E8B">
      <w:pPr>
        <w:autoSpaceDE w:val="0"/>
        <w:autoSpaceDN w:val="0"/>
        <w:adjustRightInd w:val="0"/>
        <w:jc w:val="both"/>
      </w:pPr>
      <w:r w:rsidRPr="001D71BB">
        <w:t>HN 124:2009 „Vaikų socialinės globos įstaigos: bendrieji sveikatos saugos reikalavimai“</w:t>
      </w:r>
    </w:p>
    <w:p w:rsidR="00995BE0" w:rsidRPr="001D71BB" w:rsidRDefault="00995BE0" w:rsidP="00D82E8B">
      <w:pPr>
        <w:autoSpaceDE w:val="0"/>
        <w:autoSpaceDN w:val="0"/>
        <w:adjustRightInd w:val="0"/>
        <w:jc w:val="both"/>
      </w:pPr>
      <w:r w:rsidRPr="001D71BB">
        <w:t>HN 21:2010 „Bendrojo lavinimo mokykla. Bendrieji sveikatos saugos reikalavimai“ ir kt.</w:t>
      </w:r>
    </w:p>
    <w:p w:rsidR="00995BE0" w:rsidRPr="001D71BB" w:rsidRDefault="00995BE0" w:rsidP="00D82E8B">
      <w:pPr>
        <w:jc w:val="both"/>
      </w:pPr>
      <w:r w:rsidRPr="001D71BB">
        <w:t xml:space="preserve">Lietuvos Respublikos Vyriausybės 2003 m. balandžio 24 d. nutarimas Nr. 501 „Dėl Buities, sanitarinių ir higienos patalpų įrengimo reikalavimų“ (Žin., 2003, Nr. </w:t>
      </w:r>
      <w:hyperlink r:id="rId168" w:history="1">
        <w:r w:rsidRPr="001D71BB">
          <w:rPr>
            <w:rStyle w:val="Hipersaitas"/>
          </w:rPr>
          <w:t>40-1820</w:t>
        </w:r>
      </w:hyperlink>
      <w:r w:rsidRPr="001D71BB">
        <w:t>).</w:t>
      </w:r>
    </w:p>
    <w:p w:rsidR="00995BE0" w:rsidRPr="001D71BB" w:rsidRDefault="00995BE0" w:rsidP="00D82E8B">
      <w:pPr>
        <w:jc w:val="both"/>
      </w:pPr>
      <w:r w:rsidRPr="001D71BB">
        <w:t xml:space="preserve">Lietuvos Respublikos Vyriausybės 1999 m. gegužės 7 d. nutarimas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69" w:history="1">
        <w:r w:rsidRPr="001D71BB">
          <w:rPr>
            <w:rStyle w:val="Hipersaitas"/>
          </w:rPr>
          <w:t>41-1294</w:t>
        </w:r>
      </w:hyperlink>
      <w:r w:rsidRPr="001D71BB">
        <w:t xml:space="preserve">; 2002, Nr. </w:t>
      </w:r>
      <w:hyperlink r:id="rId170" w:history="1">
        <w:r w:rsidRPr="001D71BB">
          <w:rPr>
            <w:rStyle w:val="Hipersaitas"/>
          </w:rPr>
          <w:t>73-3127</w:t>
        </w:r>
      </w:hyperlink>
      <w:r w:rsidRPr="001D71BB">
        <w:t>)</w:t>
      </w:r>
    </w:p>
    <w:p w:rsidR="00995BE0" w:rsidRPr="001D71BB" w:rsidRDefault="00995BE0" w:rsidP="00D82E8B">
      <w:pPr>
        <w:jc w:val="both"/>
      </w:pPr>
      <w:r w:rsidRPr="001D71BB">
        <w:t>Lietuvos Respublikos Vyriausybės sveikatos apsaugos ministro įsakymas 2002 m. rugpjūčio 14 d. Nr. 421 „Dėl biocidų autorizacijos ir registracijos taisyklių patvirtinimo“ (Žin., 2002, Nr. 87-3760);</w:t>
      </w:r>
    </w:p>
    <w:p w:rsidR="00995BE0" w:rsidRPr="001D71BB" w:rsidRDefault="00995BE0" w:rsidP="00D82E8B">
      <w:pPr>
        <w:jc w:val="both"/>
      </w:pPr>
      <w:r w:rsidRPr="001D71BB">
        <w:t>Lietuvos Respublikos Vyriausybės sveikatos apsaugos ministro įsakymas 2002 m. liepos 8 d. Nr. 358 „Dėl biocidų autorizacijos ir registracijos nuostatų patvirtinimo“ (Žin., 2002, Nr. 79-3361);</w:t>
      </w:r>
    </w:p>
    <w:p w:rsidR="00995BE0" w:rsidRPr="001D71BB" w:rsidRDefault="00995BE0" w:rsidP="00730F37">
      <w:pPr>
        <w:jc w:val="right"/>
      </w:pPr>
      <w:r w:rsidRPr="001D71BB">
        <w:t>Lietuvos Respublikos Vyriausybės sveikatos apsaugos ministro įsakymas 2003 m. birželio 17 d. Nr. V-357 „Dėl gaivinimo standartų patvirtinimo“ (Žin., 2003, Nr. 64-2914).</w:t>
      </w:r>
      <w:r w:rsidRPr="001D71BB">
        <w:br w:type="page"/>
      </w:r>
      <w:r w:rsidRPr="00A47D77">
        <w:rPr>
          <w:b/>
        </w:rPr>
        <w:lastRenderedPageBreak/>
        <w:t>2 priedas</w:t>
      </w:r>
    </w:p>
    <w:p w:rsidR="00995BE0" w:rsidRPr="001D71BB" w:rsidRDefault="00995BE0" w:rsidP="008E467F">
      <w:pPr>
        <w:jc w:val="right"/>
      </w:pPr>
      <w:r w:rsidRPr="001D71BB">
        <w:t>Mokyklų pripažinimo sveikatą</w:t>
      </w:r>
    </w:p>
    <w:p w:rsidR="00995BE0" w:rsidRPr="001448D9" w:rsidRDefault="00995BE0" w:rsidP="008E467F">
      <w:pPr>
        <w:jc w:val="right"/>
      </w:pPr>
      <w:bookmarkStart w:id="98" w:name="_Toc282952234"/>
      <w:bookmarkStart w:id="99" w:name="_Toc285659302"/>
      <w:bookmarkStart w:id="100" w:name="_Toc285660863"/>
      <w:bookmarkStart w:id="101" w:name="_Toc286342092"/>
      <w:bookmarkStart w:id="102" w:name="_Toc286781165"/>
      <w:bookmarkStart w:id="103" w:name="_Toc286781892"/>
      <w:bookmarkStart w:id="104" w:name="_Toc287013631"/>
      <w:bookmarkStart w:id="105" w:name="_Toc288140993"/>
      <w:r w:rsidRPr="001448D9">
        <w:t>stiprinančiomis mokyklomis</w:t>
      </w:r>
      <w:bookmarkEnd w:id="98"/>
      <w:bookmarkEnd w:id="99"/>
      <w:bookmarkEnd w:id="100"/>
      <w:bookmarkEnd w:id="101"/>
      <w:bookmarkEnd w:id="102"/>
      <w:bookmarkEnd w:id="103"/>
      <w:bookmarkEnd w:id="104"/>
      <w:bookmarkEnd w:id="105"/>
    </w:p>
    <w:p w:rsidR="00995BE0" w:rsidRPr="001448D9" w:rsidRDefault="00995BE0" w:rsidP="008E467F">
      <w:pPr>
        <w:jc w:val="right"/>
      </w:pPr>
      <w:bookmarkStart w:id="106" w:name="_Toc282952235"/>
      <w:bookmarkStart w:id="107" w:name="_Toc285659303"/>
      <w:bookmarkStart w:id="108" w:name="_Toc285660864"/>
      <w:bookmarkStart w:id="109" w:name="_Toc286342093"/>
      <w:bookmarkStart w:id="110" w:name="_Toc286781166"/>
      <w:bookmarkStart w:id="111" w:name="_Toc286781893"/>
      <w:bookmarkStart w:id="112" w:name="_Toc287013632"/>
      <w:bookmarkStart w:id="113" w:name="_Toc288140994"/>
      <w:r w:rsidRPr="001448D9">
        <w:t>tvarkos aprašo</w:t>
      </w:r>
      <w:bookmarkEnd w:id="106"/>
      <w:bookmarkEnd w:id="107"/>
      <w:bookmarkEnd w:id="108"/>
      <w:bookmarkEnd w:id="109"/>
      <w:bookmarkEnd w:id="110"/>
      <w:bookmarkEnd w:id="111"/>
      <w:bookmarkEnd w:id="112"/>
      <w:bookmarkEnd w:id="113"/>
    </w:p>
    <w:p w:rsidR="00995BE0" w:rsidRPr="001D71BB" w:rsidRDefault="00995BE0" w:rsidP="008E467F">
      <w:pPr>
        <w:spacing w:line="360" w:lineRule="auto"/>
      </w:pPr>
      <w:r w:rsidRPr="001D71BB">
        <w:rPr>
          <w:bCs/>
        </w:rPr>
        <w:t xml:space="preserve">                                                                                   </w:t>
      </w:r>
    </w:p>
    <w:p w:rsidR="00995BE0" w:rsidRPr="001D71BB" w:rsidRDefault="00995BE0" w:rsidP="008E467F">
      <w:pPr>
        <w:jc w:val="center"/>
      </w:pPr>
      <w:r w:rsidRPr="001D71BB">
        <w:rPr>
          <w:b/>
          <w:iCs/>
        </w:rPr>
        <w:t>SVEIKATOS STIPRINIMO PROGRAMŲ KOKYBĖS IR ATITIKTIES PIRMOJO LYGMENS SVEIKATĄ STIPRINANČIOS MOKYKLOS KRITERIJAMS VERTINIMO IŠVADA</w:t>
      </w:r>
    </w:p>
    <w:p w:rsidR="00995BE0" w:rsidRPr="001D71BB" w:rsidRDefault="00995BE0" w:rsidP="008E467F">
      <w:pPr>
        <w:spacing w:line="360" w:lineRule="auto"/>
      </w:pPr>
    </w:p>
    <w:tbl>
      <w:tblPr>
        <w:tblW w:w="981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3780"/>
        <w:gridCol w:w="1358"/>
      </w:tblGrid>
      <w:tr w:rsidR="00995BE0" w:rsidRPr="001D71BB" w:rsidTr="00985775">
        <w:tc>
          <w:tcPr>
            <w:tcW w:w="4680" w:type="dxa"/>
          </w:tcPr>
          <w:p w:rsidR="00995BE0" w:rsidRPr="001D71BB" w:rsidRDefault="00995BE0" w:rsidP="00985775">
            <w:r w:rsidRPr="001D71BB">
              <w:t>Veiklos sritis ir tikslas</w:t>
            </w:r>
          </w:p>
        </w:tc>
        <w:tc>
          <w:tcPr>
            <w:tcW w:w="3780" w:type="dxa"/>
          </w:tcPr>
          <w:p w:rsidR="00995BE0" w:rsidRPr="001D71BB" w:rsidRDefault="00995BE0" w:rsidP="00985775">
            <w:r w:rsidRPr="001D71BB">
              <w:t>Sveikatą stiprinančios mokyklos kriterijai</w:t>
            </w:r>
          </w:p>
        </w:tc>
        <w:tc>
          <w:tcPr>
            <w:tcW w:w="1358" w:type="dxa"/>
          </w:tcPr>
          <w:p w:rsidR="00995BE0" w:rsidRPr="001D71BB" w:rsidRDefault="00995BE0" w:rsidP="00985775">
            <w:pPr>
              <w:spacing w:line="360" w:lineRule="auto"/>
            </w:pPr>
            <w:r w:rsidRPr="001D71BB">
              <w:t>Vertinimas balais (0–5)</w:t>
            </w:r>
          </w:p>
          <w:p w:rsidR="00995BE0" w:rsidRPr="001D71BB" w:rsidRDefault="00995BE0" w:rsidP="00985775">
            <w:pPr>
              <w:spacing w:line="360" w:lineRule="auto"/>
            </w:pPr>
          </w:p>
        </w:tc>
      </w:tr>
      <w:tr w:rsidR="00995BE0" w:rsidRPr="001D71BB" w:rsidTr="00985775">
        <w:trPr>
          <w:cantSplit/>
        </w:trPr>
        <w:tc>
          <w:tcPr>
            <w:tcW w:w="4680" w:type="dxa"/>
            <w:vMerge w:val="restart"/>
          </w:tcPr>
          <w:p w:rsidR="00995BE0" w:rsidRPr="001D71BB" w:rsidRDefault="00995BE0" w:rsidP="00985775">
            <w:r w:rsidRPr="001D71BB">
              <w:rPr>
                <w:sz w:val="22"/>
                <w:szCs w:val="22"/>
              </w:rPr>
              <w:t>1. Sveikatos stiprinimo veiklos valdymo struktūra, politika ir kokybės garantavimas.</w:t>
            </w:r>
          </w:p>
          <w:p w:rsidR="00995BE0" w:rsidRPr="001D71BB" w:rsidRDefault="00995BE0" w:rsidP="00985775">
            <w:r w:rsidRPr="001D71BB">
              <w:t xml:space="preserve">   Siekiama užtikrinti sveikatą stiprinančių mokyklų veiklos planavimą ir įgyvendinimą.</w:t>
            </w:r>
          </w:p>
          <w:p w:rsidR="00995BE0" w:rsidRPr="001D71BB" w:rsidRDefault="00995BE0" w:rsidP="00985775">
            <w:pPr>
              <w:ind w:left="360"/>
            </w:pPr>
          </w:p>
        </w:tc>
        <w:tc>
          <w:tcPr>
            <w:tcW w:w="3780" w:type="dxa"/>
          </w:tcPr>
          <w:p w:rsidR="00995BE0" w:rsidRPr="001D71BB" w:rsidRDefault="00995BE0" w:rsidP="00985775">
            <w:r w:rsidRPr="001D71BB">
              <w:rPr>
                <w:sz w:val="22"/>
                <w:szCs w:val="22"/>
              </w:rPr>
              <w:t xml:space="preserve">1.1. Sudaryta asmenų grupė, organizuojanti </w:t>
            </w:r>
            <w:r w:rsidRPr="001D71BB">
              <w:rPr>
                <w:sz w:val="22"/>
              </w:rPr>
              <w:t>sveikatos stiprinimo veiklą mokykloje</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r w:rsidRPr="001D71BB">
              <w:rPr>
                <w:sz w:val="22"/>
                <w:szCs w:val="22"/>
                <w:lang w:val="pt-BR"/>
              </w:rPr>
              <w:t>1.2. Numatytas sveikatos stiprinimo procesų ir rezultatų vertinimas</w:t>
            </w:r>
          </w:p>
        </w:tc>
        <w:tc>
          <w:tcPr>
            <w:tcW w:w="1358" w:type="dxa"/>
          </w:tcPr>
          <w:p w:rsidR="00995BE0" w:rsidRPr="001D71BB" w:rsidRDefault="00995BE0" w:rsidP="00985775">
            <w:pPr>
              <w:spacing w:line="360" w:lineRule="auto"/>
              <w:rPr>
                <w:lang w:val="pt-BR"/>
              </w:rPr>
            </w:pPr>
          </w:p>
        </w:tc>
      </w:tr>
      <w:tr w:rsidR="00995BE0" w:rsidRPr="001D71BB" w:rsidTr="00985775">
        <w:trPr>
          <w:cantSplit/>
        </w:trPr>
        <w:tc>
          <w:tcPr>
            <w:tcW w:w="4680" w:type="dxa"/>
            <w:vMerge w:val="restart"/>
          </w:tcPr>
          <w:p w:rsidR="00995BE0" w:rsidRPr="001D71BB" w:rsidRDefault="00995BE0" w:rsidP="00985775">
            <w:pPr>
              <w:rPr>
                <w:rFonts w:eastAsia="Batang"/>
              </w:rPr>
            </w:pPr>
            <w:r w:rsidRPr="001D71BB">
              <w:rPr>
                <w:sz w:val="22"/>
                <w:szCs w:val="22"/>
              </w:rPr>
              <w:t>2. P</w:t>
            </w:r>
            <w:r w:rsidRPr="001D71BB">
              <w:rPr>
                <w:rFonts w:eastAsia="Batang"/>
                <w:sz w:val="22"/>
                <w:szCs w:val="22"/>
              </w:rPr>
              <w:t>sichosocialinė aplinka.</w:t>
            </w:r>
          </w:p>
          <w:p w:rsidR="00995BE0" w:rsidRPr="001D71BB" w:rsidRDefault="00995BE0" w:rsidP="00985775">
            <w:r w:rsidRPr="001D71BB">
              <w:t xml:space="preserve">    Siekiama plėtoti pasitikėjimą ir partnerystę, pagrindine vertybe laikant gerus mokyklos bendruomenės narių tarpusavio santykius.</w:t>
            </w:r>
          </w:p>
        </w:tc>
        <w:tc>
          <w:tcPr>
            <w:tcW w:w="3780" w:type="dxa"/>
          </w:tcPr>
          <w:p w:rsidR="00995BE0" w:rsidRPr="001D71BB" w:rsidRDefault="00995BE0" w:rsidP="00985775">
            <w:r w:rsidRPr="001D71BB">
              <w:rPr>
                <w:sz w:val="22"/>
                <w:szCs w:val="22"/>
              </w:rPr>
              <w:t>2.1. Priemonės, numatančios mokyklos bendruomenės narių gerų tarpusavio santykių kūrimą ir puoselėjimą</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pPr>
              <w:pStyle w:val="Pagrindiniotekstotrauka"/>
              <w:tabs>
                <w:tab w:val="left" w:pos="360"/>
              </w:tabs>
            </w:pPr>
            <w:r w:rsidRPr="001D71BB">
              <w:rPr>
                <w:sz w:val="22"/>
                <w:szCs w:val="22"/>
              </w:rPr>
              <w:t xml:space="preserve">2.2. Sudarytos galimybės dalyvauti programos vykdyme visiems bendruomenės nariams </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pPr>
              <w:pStyle w:val="Pagrindiniotekstotrauka"/>
              <w:tabs>
                <w:tab w:val="left" w:pos="360"/>
              </w:tabs>
            </w:pPr>
            <w:r w:rsidRPr="001D71BB">
              <w:rPr>
                <w:sz w:val="22"/>
                <w:szCs w:val="22"/>
              </w:rPr>
              <w:t>2.3. Numatytos emocinės, fizinės, seksualinės prievartos ir vandalizmo mažinimo priemonės</w:t>
            </w:r>
          </w:p>
        </w:tc>
        <w:tc>
          <w:tcPr>
            <w:tcW w:w="1358" w:type="dxa"/>
          </w:tcPr>
          <w:p w:rsidR="00995BE0" w:rsidRPr="001D71BB" w:rsidRDefault="00995BE0" w:rsidP="00985775">
            <w:pPr>
              <w:spacing w:line="360" w:lineRule="auto"/>
              <w:rPr>
                <w:lang w:val="pt-BR"/>
              </w:rPr>
            </w:pPr>
          </w:p>
        </w:tc>
      </w:tr>
      <w:tr w:rsidR="00995BE0" w:rsidRPr="001D71BB" w:rsidTr="00985775">
        <w:tc>
          <w:tcPr>
            <w:tcW w:w="4680" w:type="dxa"/>
          </w:tcPr>
          <w:p w:rsidR="00995BE0" w:rsidRPr="001D71BB" w:rsidRDefault="00995BE0" w:rsidP="00985775">
            <w:pPr>
              <w:rPr>
                <w:rFonts w:eastAsia="Batang"/>
                <w:bCs/>
              </w:rPr>
            </w:pPr>
            <w:r w:rsidRPr="001D71BB">
              <w:rPr>
                <w:sz w:val="22"/>
                <w:szCs w:val="22"/>
              </w:rPr>
              <w:t>3. F</w:t>
            </w:r>
            <w:r w:rsidRPr="001D71BB">
              <w:rPr>
                <w:rFonts w:eastAsia="Batang"/>
                <w:bCs/>
                <w:sz w:val="22"/>
                <w:szCs w:val="22"/>
              </w:rPr>
              <w:t>izinė aplinka.</w:t>
            </w:r>
          </w:p>
          <w:p w:rsidR="00995BE0" w:rsidRPr="001D71BB" w:rsidRDefault="00995BE0" w:rsidP="00985775">
            <w:r w:rsidRPr="001D71BB">
              <w:t xml:space="preserve">   Siekiama kurti saugią, sveiką, higienos reikalavimus atitinkančią ugdymo aplinką.</w:t>
            </w:r>
          </w:p>
        </w:tc>
        <w:tc>
          <w:tcPr>
            <w:tcW w:w="3780" w:type="dxa"/>
          </w:tcPr>
          <w:p w:rsidR="00995BE0" w:rsidRPr="001D71BB" w:rsidRDefault="00995BE0" w:rsidP="00985775">
            <w:r w:rsidRPr="001D71BB">
              <w:rPr>
                <w:sz w:val="22"/>
                <w:szCs w:val="22"/>
              </w:rPr>
              <w:t xml:space="preserve">3.1 Priemonės, užtikrinančios mokyklos teritorijos, patalpų priežiūrą ir gerinančios aplinkos </w:t>
            </w:r>
            <w:r>
              <w:rPr>
                <w:sz w:val="22"/>
                <w:szCs w:val="22"/>
              </w:rPr>
              <w:t>sveikatinimo</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val="restart"/>
          </w:tcPr>
          <w:p w:rsidR="00995BE0" w:rsidRPr="001D71BB" w:rsidRDefault="00995BE0" w:rsidP="00985775"/>
        </w:tc>
        <w:tc>
          <w:tcPr>
            <w:tcW w:w="3780" w:type="dxa"/>
          </w:tcPr>
          <w:p w:rsidR="00995BE0" w:rsidRPr="001D71BB" w:rsidRDefault="00995BE0" w:rsidP="00985775">
            <w:r w:rsidRPr="001D71BB">
              <w:rPr>
                <w:sz w:val="22"/>
                <w:szCs w:val="22"/>
              </w:rPr>
              <w:t>3.2. Priemonės, skatinančios visų bendruomenės narių f</w:t>
            </w:r>
            <w:r w:rsidRPr="001D71BB">
              <w:rPr>
                <w:bCs/>
                <w:sz w:val="22"/>
                <w:szCs w:val="22"/>
              </w:rPr>
              <w:t>izinį aktyvumą</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r w:rsidRPr="001D71BB">
              <w:rPr>
                <w:bCs/>
                <w:sz w:val="22"/>
                <w:szCs w:val="22"/>
              </w:rPr>
              <w:t>3.3. Priemonės sveikos mitybos organizavimui ir geriamojo vandens prieinamumui užtikrinti</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val="restart"/>
          </w:tcPr>
          <w:p w:rsidR="00995BE0" w:rsidRPr="001D71BB" w:rsidRDefault="00995BE0" w:rsidP="00985775">
            <w:pPr>
              <w:rPr>
                <w:rFonts w:eastAsia="Batang"/>
              </w:rPr>
            </w:pPr>
            <w:r w:rsidRPr="001D71BB">
              <w:rPr>
                <w:bCs/>
                <w:sz w:val="22"/>
                <w:szCs w:val="22"/>
              </w:rPr>
              <w:t>4. Ž</w:t>
            </w:r>
            <w:r w:rsidRPr="001D71BB">
              <w:rPr>
                <w:rFonts w:eastAsia="Batang"/>
                <w:sz w:val="22"/>
                <w:szCs w:val="22"/>
              </w:rPr>
              <w:t>mogiškieji ir materialieji ištekliai.</w:t>
            </w:r>
          </w:p>
          <w:p w:rsidR="00995BE0" w:rsidRPr="001D71BB" w:rsidRDefault="00995BE0" w:rsidP="00985775">
            <w:r w:rsidRPr="001D71BB">
              <w:t xml:space="preserve">    Siekiama sutelkti išteklius sveikatos stiprinimui ir sveikatos ugdymui.</w:t>
            </w:r>
          </w:p>
        </w:tc>
        <w:tc>
          <w:tcPr>
            <w:tcW w:w="3780" w:type="dxa"/>
          </w:tcPr>
          <w:p w:rsidR="00995BE0" w:rsidRPr="001D71BB" w:rsidRDefault="00995BE0" w:rsidP="00985775">
            <w:r w:rsidRPr="001D71BB">
              <w:rPr>
                <w:sz w:val="22"/>
                <w:szCs w:val="22"/>
              </w:rPr>
              <w:t>4.1. Mokytojų ir kitų ugdymo procese dalyvaujančių asmenų kvalifikacijos tobulinimo sveikatos stiprinimo ir sveikatos ugdymo klausimais organizavimas</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tcPr>
          <w:p w:rsidR="00995BE0" w:rsidRPr="001D71BB" w:rsidRDefault="00995BE0" w:rsidP="00985775">
            <w:pPr>
              <w:spacing w:line="360" w:lineRule="auto"/>
            </w:pPr>
          </w:p>
        </w:tc>
        <w:tc>
          <w:tcPr>
            <w:tcW w:w="3780" w:type="dxa"/>
          </w:tcPr>
          <w:p w:rsidR="00995BE0" w:rsidRPr="001D71BB" w:rsidRDefault="00995BE0" w:rsidP="00985775">
            <w:r w:rsidRPr="001D71BB">
              <w:rPr>
                <w:sz w:val="22"/>
                <w:szCs w:val="22"/>
              </w:rPr>
              <w:t>4.2. Bendruomenės narių pasitelkimas sveikatos ugdymui</w:t>
            </w:r>
          </w:p>
        </w:tc>
        <w:tc>
          <w:tcPr>
            <w:tcW w:w="1358" w:type="dxa"/>
          </w:tcPr>
          <w:p w:rsidR="00995BE0" w:rsidRPr="001D71BB" w:rsidRDefault="00995BE0" w:rsidP="00985775">
            <w:pPr>
              <w:spacing w:line="360" w:lineRule="auto"/>
            </w:pPr>
          </w:p>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r w:rsidRPr="001D71BB">
              <w:rPr>
                <w:sz w:val="22"/>
                <w:szCs w:val="22"/>
              </w:rPr>
              <w:t>4.3. Metodinės medžiagos ir kitų sveikatos ugdymui reikalingų priemonių įsigijimo numatymas</w:t>
            </w:r>
          </w:p>
        </w:tc>
        <w:tc>
          <w:tcPr>
            <w:tcW w:w="1358" w:type="dxa"/>
          </w:tcPr>
          <w:p w:rsidR="00995BE0" w:rsidRPr="001D71BB" w:rsidRDefault="00995BE0" w:rsidP="00985775"/>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r w:rsidRPr="001D71BB">
              <w:rPr>
                <w:sz w:val="22"/>
                <w:szCs w:val="22"/>
              </w:rPr>
              <w:t>4.4. Mokyklos partnerių įtraukimas</w:t>
            </w:r>
          </w:p>
        </w:tc>
        <w:tc>
          <w:tcPr>
            <w:tcW w:w="1358" w:type="dxa"/>
          </w:tcPr>
          <w:p w:rsidR="00995BE0" w:rsidRPr="001D71BB" w:rsidRDefault="00995BE0" w:rsidP="00985775"/>
        </w:tc>
      </w:tr>
      <w:tr w:rsidR="00995BE0" w:rsidRPr="001D71BB" w:rsidTr="00985775">
        <w:trPr>
          <w:cantSplit/>
        </w:trPr>
        <w:tc>
          <w:tcPr>
            <w:tcW w:w="4680" w:type="dxa"/>
            <w:vMerge w:val="restart"/>
          </w:tcPr>
          <w:p w:rsidR="00995BE0" w:rsidRPr="001D71BB" w:rsidRDefault="00995BE0" w:rsidP="00985775">
            <w:r w:rsidRPr="001D71BB">
              <w:rPr>
                <w:sz w:val="22"/>
                <w:szCs w:val="22"/>
              </w:rPr>
              <w:t>5. Sveikatos ugdymas.</w:t>
            </w:r>
          </w:p>
          <w:p w:rsidR="00995BE0" w:rsidRPr="001D71BB" w:rsidRDefault="00995BE0" w:rsidP="00985775">
            <w:r w:rsidRPr="001D71BB">
              <w:t xml:space="preserve">    Siekiama užtikrinti sveikatos ugdymo kokybę.</w:t>
            </w:r>
          </w:p>
        </w:tc>
        <w:tc>
          <w:tcPr>
            <w:tcW w:w="3780" w:type="dxa"/>
          </w:tcPr>
          <w:p w:rsidR="00995BE0" w:rsidRPr="001D71BB" w:rsidRDefault="00995BE0" w:rsidP="00985775">
            <w:r w:rsidRPr="001D71BB">
              <w:rPr>
                <w:sz w:val="22"/>
                <w:szCs w:val="22"/>
              </w:rPr>
              <w:t>5.1. Sveikatos ugdymas įtrauktas į dalykų ar ugdymo sričių teminius planus, pasirenkamųjų dalykų ir dalykų modulių programas</w:t>
            </w:r>
          </w:p>
        </w:tc>
        <w:tc>
          <w:tcPr>
            <w:tcW w:w="1358" w:type="dxa"/>
          </w:tcPr>
          <w:p w:rsidR="00995BE0" w:rsidRPr="001D71BB" w:rsidRDefault="00995BE0" w:rsidP="00985775"/>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r w:rsidRPr="001D71BB">
              <w:rPr>
                <w:sz w:val="22"/>
                <w:szCs w:val="22"/>
              </w:rPr>
              <w:t>5.2. Sve</w:t>
            </w:r>
            <w:r w:rsidRPr="001D71BB">
              <w:rPr>
                <w:bCs/>
                <w:sz w:val="22"/>
                <w:szCs w:val="22"/>
              </w:rPr>
              <w:t xml:space="preserve">ikatos ugdymas apima visą bendrąjį </w:t>
            </w:r>
            <w:r w:rsidRPr="001D71BB">
              <w:rPr>
                <w:sz w:val="22"/>
                <w:szCs w:val="22"/>
              </w:rPr>
              <w:t>lavinimą</w:t>
            </w:r>
          </w:p>
        </w:tc>
        <w:tc>
          <w:tcPr>
            <w:tcW w:w="1358" w:type="dxa"/>
          </w:tcPr>
          <w:p w:rsidR="00995BE0" w:rsidRPr="001D71BB" w:rsidRDefault="00995BE0" w:rsidP="00985775"/>
        </w:tc>
      </w:tr>
      <w:tr w:rsidR="00995BE0" w:rsidRPr="001D71BB" w:rsidTr="00985775">
        <w:trPr>
          <w:cantSplit/>
        </w:trPr>
        <w:tc>
          <w:tcPr>
            <w:tcW w:w="4680" w:type="dxa"/>
            <w:vMerge/>
          </w:tcPr>
          <w:p w:rsidR="00995BE0" w:rsidRPr="001D71BB" w:rsidRDefault="00995BE0" w:rsidP="00985775"/>
        </w:tc>
        <w:tc>
          <w:tcPr>
            <w:tcW w:w="3780" w:type="dxa"/>
          </w:tcPr>
          <w:p w:rsidR="00995BE0" w:rsidRPr="001D71BB" w:rsidRDefault="00995BE0" w:rsidP="00985775">
            <w:r w:rsidRPr="001D71BB">
              <w:rPr>
                <w:sz w:val="22"/>
                <w:szCs w:val="22"/>
              </w:rPr>
              <w:t>5.3. Sveikatos ugdymas apima įvairias sveikatos temas: fizinis aktyvumas ir kūno kultūra; sveika mityba; tabako, alkoholio ir kitų psichiką veikiančių medžiagų vartojimo bei nelaimingų atsitikimų, traumų, streso, prievartos, patyčių prevencija; rengimas šeimai ir lytiškumo ugdymas; užkrečiamųjų ligų prevencija;  vartojimo kultūros ugdymas</w:t>
            </w:r>
          </w:p>
        </w:tc>
        <w:tc>
          <w:tcPr>
            <w:tcW w:w="1358" w:type="dxa"/>
          </w:tcPr>
          <w:p w:rsidR="00995BE0" w:rsidRPr="001D71BB" w:rsidRDefault="00995BE0" w:rsidP="00985775"/>
        </w:tc>
      </w:tr>
      <w:tr w:rsidR="00995BE0" w:rsidRPr="001D71BB" w:rsidTr="00985775">
        <w:trPr>
          <w:cantSplit/>
        </w:trPr>
        <w:tc>
          <w:tcPr>
            <w:tcW w:w="4680" w:type="dxa"/>
            <w:vMerge w:val="restart"/>
          </w:tcPr>
          <w:p w:rsidR="00995BE0" w:rsidRPr="001D71BB" w:rsidRDefault="00995BE0" w:rsidP="00985775">
            <w:pPr>
              <w:rPr>
                <w:rFonts w:eastAsia="Batang"/>
              </w:rPr>
            </w:pPr>
            <w:r w:rsidRPr="001D71BB">
              <w:rPr>
                <w:rFonts w:eastAsia="Batang"/>
                <w:sz w:val="22"/>
                <w:szCs w:val="22"/>
              </w:rPr>
              <w:t>6. Sveikatą stiprinančios mokyklos veiklos sklaida ir tęstinumo laidavimas.</w:t>
            </w:r>
          </w:p>
          <w:p w:rsidR="00995BE0" w:rsidRPr="001D71BB" w:rsidRDefault="00995BE0" w:rsidP="00985775">
            <w:r w:rsidRPr="001D71BB">
              <w:t>Siekiama skleisti sveikatą stiprinančios mokyklos patirtį vietos bendruomenei.</w:t>
            </w:r>
          </w:p>
        </w:tc>
        <w:tc>
          <w:tcPr>
            <w:tcW w:w="3780" w:type="dxa"/>
          </w:tcPr>
          <w:p w:rsidR="00995BE0" w:rsidRPr="001D71BB" w:rsidRDefault="00995BE0" w:rsidP="00985775">
            <w:r w:rsidRPr="001D71BB">
              <w:rPr>
                <w:sz w:val="22"/>
                <w:szCs w:val="22"/>
              </w:rPr>
              <w:t>6.1. Sveikatos stiprinimo veiklos patirties sklaida mokykloje</w:t>
            </w:r>
          </w:p>
        </w:tc>
        <w:tc>
          <w:tcPr>
            <w:tcW w:w="1358" w:type="dxa"/>
          </w:tcPr>
          <w:p w:rsidR="00995BE0" w:rsidRPr="00424E7E" w:rsidRDefault="00995BE0" w:rsidP="00985775"/>
        </w:tc>
      </w:tr>
      <w:tr w:rsidR="00995BE0" w:rsidRPr="001D71BB" w:rsidTr="00985775">
        <w:trPr>
          <w:cantSplit/>
        </w:trPr>
        <w:tc>
          <w:tcPr>
            <w:tcW w:w="4680" w:type="dxa"/>
            <w:vMerge/>
          </w:tcPr>
          <w:p w:rsidR="00995BE0" w:rsidRPr="00424E7E" w:rsidRDefault="00995BE0" w:rsidP="00985775"/>
        </w:tc>
        <w:tc>
          <w:tcPr>
            <w:tcW w:w="3780" w:type="dxa"/>
          </w:tcPr>
          <w:p w:rsidR="00995BE0" w:rsidRPr="001D71BB" w:rsidRDefault="00995BE0" w:rsidP="00985775">
            <w:r w:rsidRPr="001D71BB">
              <w:rPr>
                <w:sz w:val="22"/>
                <w:szCs w:val="22"/>
              </w:rPr>
              <w:t>6.2. Sveikatą stiprinančios mokyklos veiklos patirties pavyzdžių sklaida už mokyklos ribų</w:t>
            </w:r>
          </w:p>
        </w:tc>
        <w:tc>
          <w:tcPr>
            <w:tcW w:w="1358" w:type="dxa"/>
          </w:tcPr>
          <w:p w:rsidR="00995BE0" w:rsidRPr="00424E7E" w:rsidRDefault="00995BE0" w:rsidP="00985775"/>
        </w:tc>
      </w:tr>
    </w:tbl>
    <w:p w:rsidR="00995BE0" w:rsidRPr="001D71BB" w:rsidRDefault="00995BE0" w:rsidP="008E467F">
      <w:pPr>
        <w:jc w:val="center"/>
      </w:pPr>
    </w:p>
    <w:p w:rsidR="00995BE0" w:rsidRPr="001D71BB" w:rsidRDefault="00995BE0" w:rsidP="008E467F">
      <w:r w:rsidRPr="001D71BB">
        <w:t>Komisijos, vertinusios __________________________________________ sveikatos stiprinimo</w:t>
      </w:r>
    </w:p>
    <w:p w:rsidR="00995BE0" w:rsidRPr="001D71BB" w:rsidRDefault="00995BE0" w:rsidP="008E467F">
      <w:pPr>
        <w:ind w:left="2880" w:firstLine="720"/>
        <w:rPr>
          <w:sz w:val="20"/>
          <w:szCs w:val="20"/>
        </w:rPr>
      </w:pPr>
      <w:r w:rsidRPr="001D71BB">
        <w:rPr>
          <w:sz w:val="20"/>
          <w:szCs w:val="20"/>
        </w:rPr>
        <w:t>(mokyklos pavadinimas)</w:t>
      </w:r>
    </w:p>
    <w:p w:rsidR="00995BE0" w:rsidRPr="001D71BB" w:rsidRDefault="00995BE0" w:rsidP="008E467F">
      <w:pPr>
        <w:spacing w:before="60"/>
      </w:pPr>
      <w:r w:rsidRPr="001D71BB">
        <w:t>programą ______________________________________________________________, išvada.</w:t>
      </w:r>
    </w:p>
    <w:p w:rsidR="00995BE0" w:rsidRPr="001D71BB" w:rsidRDefault="00995BE0" w:rsidP="008E467F">
      <w:pPr>
        <w:ind w:left="2880" w:firstLine="720"/>
        <w:rPr>
          <w:sz w:val="20"/>
          <w:szCs w:val="20"/>
        </w:rPr>
      </w:pPr>
      <w:r w:rsidRPr="001D71BB">
        <w:rPr>
          <w:sz w:val="20"/>
          <w:szCs w:val="20"/>
        </w:rPr>
        <w:t>(programos pavadinimas)</w:t>
      </w:r>
    </w:p>
    <w:p w:rsidR="00995BE0" w:rsidRPr="001D71BB" w:rsidRDefault="00995BE0" w:rsidP="008E467F"/>
    <w:p w:rsidR="00995BE0" w:rsidRPr="001D71BB" w:rsidRDefault="00995BE0" w:rsidP="008E467F"/>
    <w:p w:rsidR="00995BE0" w:rsidRPr="001D71BB" w:rsidRDefault="00995BE0" w:rsidP="008E467F">
      <w:pPr>
        <w:tabs>
          <w:tab w:val="left" w:leader="underscore" w:pos="9356"/>
        </w:tabs>
      </w:pPr>
      <w:r w:rsidRPr="001D71BB">
        <w:t>Pastabos, pasiūlymai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BE0" w:rsidRPr="001D71BB" w:rsidRDefault="00995BE0" w:rsidP="008E467F">
      <w:pPr>
        <w:spacing w:line="360" w:lineRule="auto"/>
      </w:pPr>
    </w:p>
    <w:p w:rsidR="00995BE0" w:rsidRPr="001D71BB" w:rsidRDefault="00995BE0" w:rsidP="008E467F">
      <w:pPr>
        <w:spacing w:line="360" w:lineRule="auto"/>
      </w:pPr>
    </w:p>
    <w:p w:rsidR="00995BE0" w:rsidRPr="001D71BB" w:rsidRDefault="00995BE0" w:rsidP="008E467F">
      <w:pPr>
        <w:rPr>
          <w:sz w:val="22"/>
          <w:szCs w:val="22"/>
        </w:rPr>
      </w:pPr>
      <w:r w:rsidRPr="001D71BB">
        <w:rPr>
          <w:sz w:val="22"/>
          <w:szCs w:val="22"/>
        </w:rPr>
        <w:t xml:space="preserve">Mokyklų pripažinimo sveikatą </w:t>
      </w:r>
    </w:p>
    <w:p w:rsidR="00995BE0" w:rsidRPr="001D71BB" w:rsidRDefault="00995BE0" w:rsidP="008E467F">
      <w:pPr>
        <w:rPr>
          <w:sz w:val="22"/>
          <w:szCs w:val="22"/>
        </w:rPr>
      </w:pPr>
      <w:r w:rsidRPr="001D71BB">
        <w:rPr>
          <w:sz w:val="22"/>
          <w:szCs w:val="22"/>
        </w:rPr>
        <w:t>stiprinančiomis mokyklomis</w:t>
      </w:r>
    </w:p>
    <w:p w:rsidR="00995BE0" w:rsidRPr="001D71BB" w:rsidRDefault="00995BE0" w:rsidP="008E467F">
      <w:r w:rsidRPr="001D71BB">
        <w:rPr>
          <w:sz w:val="22"/>
          <w:szCs w:val="22"/>
        </w:rPr>
        <w:t>komisijos pirmininkas</w:t>
      </w:r>
      <w:r w:rsidRPr="001D71BB">
        <w:rPr>
          <w:sz w:val="22"/>
          <w:szCs w:val="22"/>
        </w:rPr>
        <w:tab/>
      </w:r>
      <w:r w:rsidRPr="001D71BB">
        <w:tab/>
      </w:r>
      <w:r w:rsidRPr="001D71BB">
        <w:tab/>
      </w:r>
      <w:r w:rsidRPr="001D71BB">
        <w:tab/>
        <w:t>(parašas)</w:t>
      </w:r>
      <w:r w:rsidRPr="001D71BB">
        <w:tab/>
      </w:r>
      <w:r w:rsidRPr="001D71BB">
        <w:tab/>
        <w:t>(vardas ir pavardė)</w:t>
      </w:r>
    </w:p>
    <w:p w:rsidR="00995BE0" w:rsidRPr="001D71BB" w:rsidRDefault="00995BE0" w:rsidP="008E467F">
      <w:pPr>
        <w:spacing w:line="360" w:lineRule="auto"/>
      </w:pPr>
    </w:p>
    <w:p w:rsidR="00995BE0" w:rsidRPr="001D71BB" w:rsidRDefault="00995BE0" w:rsidP="008E467F">
      <w:pPr>
        <w:spacing w:line="360" w:lineRule="auto"/>
      </w:pPr>
    </w:p>
    <w:p w:rsidR="00995BE0" w:rsidRPr="001D71BB" w:rsidRDefault="00995BE0" w:rsidP="008E467F">
      <w:pPr>
        <w:spacing w:line="360" w:lineRule="auto"/>
      </w:pPr>
      <w:r w:rsidRPr="001D71BB">
        <w:t>_______________</w:t>
      </w:r>
    </w:p>
    <w:p w:rsidR="00995BE0" w:rsidRPr="001D71BB" w:rsidRDefault="00995BE0" w:rsidP="008E467F">
      <w:pPr>
        <w:spacing w:line="360" w:lineRule="auto"/>
        <w:ind w:firstLine="720"/>
        <w:rPr>
          <w:sz w:val="20"/>
          <w:szCs w:val="20"/>
        </w:rPr>
      </w:pPr>
      <w:r w:rsidRPr="001D71BB">
        <w:rPr>
          <w:sz w:val="20"/>
          <w:szCs w:val="20"/>
        </w:rPr>
        <w:t>(data)</w:t>
      </w:r>
    </w:p>
    <w:p w:rsidR="00995BE0" w:rsidRDefault="00995BE0" w:rsidP="008E467F">
      <w:pPr>
        <w:spacing w:line="360" w:lineRule="auto"/>
        <w:jc w:val="center"/>
        <w:rPr>
          <w:bCs/>
        </w:rPr>
      </w:pPr>
    </w:p>
    <w:p w:rsidR="00995BE0" w:rsidRDefault="00995BE0" w:rsidP="008E467F">
      <w:pPr>
        <w:spacing w:line="360" w:lineRule="auto"/>
        <w:jc w:val="center"/>
        <w:rPr>
          <w:bCs/>
        </w:rPr>
      </w:pPr>
    </w:p>
    <w:p w:rsidR="00995BE0" w:rsidRDefault="00995BE0" w:rsidP="008E467F">
      <w:pPr>
        <w:spacing w:line="360" w:lineRule="auto"/>
        <w:jc w:val="center"/>
        <w:rPr>
          <w:bCs/>
        </w:rPr>
      </w:pPr>
    </w:p>
    <w:p w:rsidR="00995BE0" w:rsidRDefault="00995BE0" w:rsidP="008E467F">
      <w:pPr>
        <w:spacing w:line="360" w:lineRule="auto"/>
        <w:jc w:val="right"/>
        <w:rPr>
          <w:bCs/>
        </w:rPr>
      </w:pPr>
    </w:p>
    <w:p w:rsidR="00995BE0" w:rsidRDefault="00995BE0" w:rsidP="008E467F">
      <w:pPr>
        <w:spacing w:line="360" w:lineRule="auto"/>
        <w:jc w:val="right"/>
        <w:rPr>
          <w:bCs/>
        </w:rPr>
      </w:pPr>
    </w:p>
    <w:p w:rsidR="00995BE0" w:rsidRPr="000F5ECD" w:rsidRDefault="00995BE0" w:rsidP="008E467F">
      <w:pPr>
        <w:spacing w:line="360" w:lineRule="auto"/>
        <w:jc w:val="right"/>
        <w:rPr>
          <w:b/>
        </w:rPr>
      </w:pPr>
      <w:r w:rsidRPr="000F5ECD">
        <w:rPr>
          <w:b/>
          <w:bCs/>
        </w:rPr>
        <w:lastRenderedPageBreak/>
        <w:t>3 priedas</w:t>
      </w:r>
    </w:p>
    <w:p w:rsidR="00995BE0" w:rsidRPr="00F353A6" w:rsidRDefault="00995BE0" w:rsidP="008E467F">
      <w:pPr>
        <w:jc w:val="right"/>
      </w:pPr>
      <w:r w:rsidRPr="00F353A6">
        <w:t xml:space="preserve">Mokyklų pripažinimo sveikatą </w:t>
      </w:r>
    </w:p>
    <w:p w:rsidR="00995BE0" w:rsidRPr="00F353A6" w:rsidRDefault="00995BE0" w:rsidP="008E467F">
      <w:pPr>
        <w:jc w:val="right"/>
        <w:rPr>
          <w:bCs/>
        </w:rPr>
      </w:pPr>
      <w:r w:rsidRPr="00F353A6">
        <w:rPr>
          <w:bCs/>
        </w:rPr>
        <w:t xml:space="preserve">                                                                                 </w:t>
      </w:r>
      <w:bookmarkStart w:id="114" w:name="_Toc282952236"/>
      <w:bookmarkStart w:id="115" w:name="_Toc285659304"/>
      <w:bookmarkStart w:id="116" w:name="_Toc285660865"/>
      <w:bookmarkStart w:id="117" w:name="_Toc286342094"/>
      <w:bookmarkStart w:id="118" w:name="_Toc286781167"/>
      <w:bookmarkStart w:id="119" w:name="_Toc286781894"/>
      <w:bookmarkStart w:id="120" w:name="_Toc287013633"/>
      <w:bookmarkStart w:id="121" w:name="_Toc288140995"/>
      <w:bookmarkStart w:id="122" w:name="_Toc288142371"/>
      <w:r w:rsidRPr="00F353A6">
        <w:rPr>
          <w:bCs/>
        </w:rPr>
        <w:t>stiprinančiomis mokyklomis</w:t>
      </w:r>
      <w:bookmarkEnd w:id="114"/>
      <w:bookmarkEnd w:id="115"/>
      <w:bookmarkEnd w:id="116"/>
      <w:bookmarkEnd w:id="117"/>
      <w:bookmarkEnd w:id="118"/>
      <w:bookmarkEnd w:id="119"/>
      <w:bookmarkEnd w:id="120"/>
      <w:bookmarkEnd w:id="121"/>
      <w:bookmarkEnd w:id="122"/>
      <w:r w:rsidRPr="00F353A6">
        <w:rPr>
          <w:bCs/>
        </w:rPr>
        <w:t xml:space="preserve"> </w:t>
      </w:r>
    </w:p>
    <w:p w:rsidR="00995BE0" w:rsidRPr="00F353A6" w:rsidRDefault="00995BE0" w:rsidP="008E467F">
      <w:pPr>
        <w:jc w:val="right"/>
        <w:rPr>
          <w:bCs/>
        </w:rPr>
      </w:pPr>
      <w:r w:rsidRPr="00F353A6">
        <w:rPr>
          <w:bCs/>
        </w:rPr>
        <w:t xml:space="preserve">                                                                                          </w:t>
      </w:r>
      <w:bookmarkStart w:id="123" w:name="_Toc282952237"/>
      <w:bookmarkStart w:id="124" w:name="_Toc285659305"/>
      <w:bookmarkStart w:id="125" w:name="_Toc285660866"/>
      <w:bookmarkStart w:id="126" w:name="_Toc286342095"/>
      <w:bookmarkStart w:id="127" w:name="_Toc286781168"/>
      <w:bookmarkStart w:id="128" w:name="_Toc286781895"/>
      <w:bookmarkStart w:id="129" w:name="_Toc287013634"/>
      <w:bookmarkStart w:id="130" w:name="_Toc288140996"/>
      <w:bookmarkStart w:id="131" w:name="_Toc288142372"/>
      <w:r w:rsidRPr="00F353A6">
        <w:rPr>
          <w:bCs/>
        </w:rPr>
        <w:t>tvarkos aprašo</w:t>
      </w:r>
      <w:bookmarkEnd w:id="123"/>
      <w:bookmarkEnd w:id="124"/>
      <w:bookmarkEnd w:id="125"/>
      <w:bookmarkEnd w:id="126"/>
      <w:bookmarkEnd w:id="127"/>
      <w:bookmarkEnd w:id="128"/>
      <w:bookmarkEnd w:id="129"/>
      <w:bookmarkEnd w:id="130"/>
      <w:bookmarkEnd w:id="131"/>
    </w:p>
    <w:p w:rsidR="00995BE0" w:rsidRPr="001D71BB" w:rsidRDefault="00995BE0" w:rsidP="008E467F">
      <w:pPr>
        <w:spacing w:line="360" w:lineRule="auto"/>
      </w:pPr>
    </w:p>
    <w:p w:rsidR="00995BE0" w:rsidRPr="001D71BB" w:rsidRDefault="00995BE0" w:rsidP="008E467F">
      <w:pPr>
        <w:jc w:val="center"/>
        <w:rPr>
          <w:b/>
        </w:rPr>
      </w:pPr>
      <w:r w:rsidRPr="001D71BB">
        <w:rPr>
          <w:b/>
          <w:iCs/>
        </w:rPr>
        <w:t>SVEIKATOS STIPRINIMO PROGRAMŲ KOKYBĖS IR ATITIKTIES ANTROJO LYGMENS SVEIKATĄ STIPRINANČIOS MOKYKLOS KRITERIJAMS VERTINIMO IŠVADA</w:t>
      </w:r>
    </w:p>
    <w:p w:rsidR="00995BE0" w:rsidRPr="001D71BB" w:rsidRDefault="00995BE0" w:rsidP="008E467F">
      <w:pPr>
        <w:spacing w:line="36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4500"/>
        <w:gridCol w:w="1466"/>
      </w:tblGrid>
      <w:tr w:rsidR="00995BE0" w:rsidRPr="001D71BB" w:rsidTr="00985775">
        <w:tc>
          <w:tcPr>
            <w:tcW w:w="3780" w:type="dxa"/>
          </w:tcPr>
          <w:p w:rsidR="00995BE0" w:rsidRPr="001D71BB" w:rsidRDefault="00995BE0" w:rsidP="00985775">
            <w:r w:rsidRPr="001D71BB">
              <w:rPr>
                <w:sz w:val="22"/>
                <w:szCs w:val="22"/>
              </w:rPr>
              <w:t>Veiklos sritis ir tikslas</w:t>
            </w:r>
          </w:p>
        </w:tc>
        <w:tc>
          <w:tcPr>
            <w:tcW w:w="4500" w:type="dxa"/>
          </w:tcPr>
          <w:p w:rsidR="00995BE0" w:rsidRPr="001D71BB" w:rsidRDefault="00995BE0" w:rsidP="00985775">
            <w:r w:rsidRPr="001D71BB">
              <w:rPr>
                <w:sz w:val="22"/>
                <w:szCs w:val="22"/>
              </w:rPr>
              <w:t>Sveikatą stiprinančios mokyklos  kriterijai</w:t>
            </w:r>
          </w:p>
        </w:tc>
        <w:tc>
          <w:tcPr>
            <w:tcW w:w="1466" w:type="dxa"/>
          </w:tcPr>
          <w:p w:rsidR="00995BE0" w:rsidRPr="001D71BB" w:rsidRDefault="00995BE0" w:rsidP="00985775">
            <w:pPr>
              <w:spacing w:line="360" w:lineRule="auto"/>
            </w:pPr>
            <w:r w:rsidRPr="001D71BB">
              <w:rPr>
                <w:sz w:val="22"/>
                <w:szCs w:val="22"/>
              </w:rPr>
              <w:t>Vertinimas balais (0–5)</w:t>
            </w:r>
          </w:p>
          <w:p w:rsidR="00995BE0" w:rsidRPr="001D71BB" w:rsidRDefault="00995BE0" w:rsidP="00985775">
            <w:pPr>
              <w:spacing w:line="360" w:lineRule="auto"/>
            </w:pPr>
          </w:p>
        </w:tc>
      </w:tr>
      <w:tr w:rsidR="00995BE0" w:rsidRPr="001D71BB" w:rsidTr="00985775">
        <w:trPr>
          <w:cantSplit/>
        </w:trPr>
        <w:tc>
          <w:tcPr>
            <w:tcW w:w="3780" w:type="dxa"/>
            <w:vMerge w:val="restart"/>
          </w:tcPr>
          <w:p w:rsidR="00995BE0" w:rsidRPr="001D71BB" w:rsidRDefault="00995BE0" w:rsidP="00985775">
            <w:r w:rsidRPr="001D71BB">
              <w:rPr>
                <w:sz w:val="22"/>
                <w:szCs w:val="22"/>
              </w:rPr>
              <w:t>1. Sveikatos stiprinimo mokyklos veiklos veiksmingumo vertinimas.</w:t>
            </w:r>
          </w:p>
          <w:p w:rsidR="00995BE0" w:rsidRPr="001D71BB" w:rsidRDefault="00995BE0" w:rsidP="00985775">
            <w:r w:rsidRPr="001D71BB">
              <w:rPr>
                <w:sz w:val="22"/>
                <w:szCs w:val="22"/>
              </w:rPr>
              <w:t xml:space="preserve">   Siekiama užtikrinti sveikatą stiprinančių mokyklų veiklos kokybę.</w:t>
            </w:r>
          </w:p>
        </w:tc>
        <w:tc>
          <w:tcPr>
            <w:tcW w:w="4500" w:type="dxa"/>
          </w:tcPr>
          <w:p w:rsidR="00995BE0" w:rsidRPr="001D71BB" w:rsidRDefault="00995BE0" w:rsidP="00985775">
            <w:r w:rsidRPr="001D71BB">
              <w:rPr>
                <w:sz w:val="22"/>
                <w:szCs w:val="22"/>
              </w:rPr>
              <w:t xml:space="preserve">1.1. </w:t>
            </w:r>
            <w:r w:rsidRPr="001D71BB">
              <w:rPr>
                <w:lang w:val="pt-BR"/>
              </w:rPr>
              <w:t>Mokykloje yra sveikatos stiprinimo veiklos ir vertinimo sistema</w:t>
            </w:r>
          </w:p>
        </w:tc>
        <w:tc>
          <w:tcPr>
            <w:tcW w:w="1466" w:type="dxa"/>
          </w:tcPr>
          <w:p w:rsidR="00995BE0" w:rsidRPr="001D71BB" w:rsidRDefault="00995BE0" w:rsidP="00985775">
            <w:pPr>
              <w:spacing w:line="360" w:lineRule="auto"/>
              <w:rPr>
                <w:lang w:val="pt-BR"/>
              </w:rPr>
            </w:pPr>
          </w:p>
        </w:tc>
      </w:tr>
      <w:tr w:rsidR="00995BE0" w:rsidRPr="001D71BB" w:rsidTr="00985775">
        <w:trPr>
          <w:cantSplit/>
        </w:trPr>
        <w:tc>
          <w:tcPr>
            <w:tcW w:w="3780" w:type="dxa"/>
            <w:vMerge/>
          </w:tcPr>
          <w:p w:rsidR="00995BE0" w:rsidRPr="001D71BB" w:rsidRDefault="00995BE0" w:rsidP="00985775">
            <w:pPr>
              <w:rPr>
                <w:lang w:val="pt-BR"/>
              </w:rPr>
            </w:pPr>
          </w:p>
        </w:tc>
        <w:tc>
          <w:tcPr>
            <w:tcW w:w="4500" w:type="dxa"/>
          </w:tcPr>
          <w:p w:rsidR="00995BE0" w:rsidRPr="001D71BB" w:rsidRDefault="00995BE0" w:rsidP="00985775">
            <w:pPr>
              <w:rPr>
                <w:lang w:val="it-IT"/>
              </w:rPr>
            </w:pPr>
            <w:r w:rsidRPr="001D71BB">
              <w:rPr>
                <w:sz w:val="22"/>
                <w:szCs w:val="22"/>
                <w:lang w:val="it-IT"/>
              </w:rPr>
              <w:t>1.2. Pateikti vertinimo rezultatai ir išvados</w:t>
            </w:r>
          </w:p>
        </w:tc>
        <w:tc>
          <w:tcPr>
            <w:tcW w:w="1466" w:type="dxa"/>
          </w:tcPr>
          <w:p w:rsidR="00995BE0" w:rsidRPr="001D71BB" w:rsidRDefault="00995BE0" w:rsidP="00985775">
            <w:pPr>
              <w:spacing w:line="360" w:lineRule="auto"/>
              <w:rPr>
                <w:lang w:val="pt-BR"/>
              </w:rPr>
            </w:pPr>
          </w:p>
        </w:tc>
      </w:tr>
      <w:tr w:rsidR="00995BE0" w:rsidRPr="001D71BB" w:rsidTr="00985775">
        <w:trPr>
          <w:cantSplit/>
        </w:trPr>
        <w:tc>
          <w:tcPr>
            <w:tcW w:w="3780" w:type="dxa"/>
            <w:vMerge w:val="restart"/>
          </w:tcPr>
          <w:p w:rsidR="00995BE0" w:rsidRPr="001D71BB" w:rsidRDefault="00995BE0" w:rsidP="00985775">
            <w:r w:rsidRPr="001D71BB">
              <w:rPr>
                <w:sz w:val="22"/>
                <w:szCs w:val="22"/>
              </w:rPr>
              <w:t>2. Sveikatos stiprinimo mokyklos veiklos plėtojimo vizijos rengimas.</w:t>
            </w:r>
          </w:p>
          <w:p w:rsidR="00995BE0" w:rsidRPr="001D71BB" w:rsidRDefault="00995BE0" w:rsidP="00985775">
            <w:r w:rsidRPr="001D71BB">
              <w:rPr>
                <w:sz w:val="22"/>
                <w:szCs w:val="22"/>
              </w:rPr>
              <w:t xml:space="preserve">   Siekiama plėtoti sveikatą stiprinančių mokyklų veiklą ir gerinti jos kokybę.</w:t>
            </w:r>
          </w:p>
        </w:tc>
        <w:tc>
          <w:tcPr>
            <w:tcW w:w="4500" w:type="dxa"/>
          </w:tcPr>
          <w:p w:rsidR="00995BE0" w:rsidRPr="001D71BB" w:rsidRDefault="00995BE0" w:rsidP="00985775">
            <w:r w:rsidRPr="001D71BB">
              <w:rPr>
                <w:sz w:val="22"/>
                <w:szCs w:val="22"/>
              </w:rPr>
              <w:t xml:space="preserve">2.1. </w:t>
            </w:r>
            <w:r w:rsidRPr="00424E7E">
              <w:t>Sveikatos stiprinimo veiklos, vertinimo rezultatai panaudojami šiai veiklai planuoti ir kokybei gerinti</w:t>
            </w:r>
          </w:p>
        </w:tc>
        <w:tc>
          <w:tcPr>
            <w:tcW w:w="1466" w:type="dxa"/>
          </w:tcPr>
          <w:p w:rsidR="00995BE0" w:rsidRPr="00424E7E" w:rsidRDefault="00995BE0" w:rsidP="00985775">
            <w:pPr>
              <w:spacing w:line="360" w:lineRule="auto"/>
            </w:pPr>
          </w:p>
        </w:tc>
      </w:tr>
      <w:tr w:rsidR="00995BE0" w:rsidRPr="001D71BB" w:rsidTr="00985775">
        <w:trPr>
          <w:cantSplit/>
        </w:trPr>
        <w:tc>
          <w:tcPr>
            <w:tcW w:w="3780" w:type="dxa"/>
            <w:vMerge/>
          </w:tcPr>
          <w:p w:rsidR="00995BE0" w:rsidRPr="00424E7E" w:rsidRDefault="00995BE0" w:rsidP="00985775"/>
        </w:tc>
        <w:tc>
          <w:tcPr>
            <w:tcW w:w="4500" w:type="dxa"/>
          </w:tcPr>
          <w:p w:rsidR="00995BE0" w:rsidRPr="001D71BB" w:rsidRDefault="00995BE0" w:rsidP="00985775">
            <w:r w:rsidRPr="001D71BB">
              <w:rPr>
                <w:sz w:val="22"/>
                <w:szCs w:val="22"/>
              </w:rPr>
              <w:t xml:space="preserve">2.2. </w:t>
            </w:r>
            <w:r w:rsidRPr="001D71BB">
              <w:t>Nustatyti nauji rodikliai penkeriems metams</w:t>
            </w:r>
          </w:p>
        </w:tc>
        <w:tc>
          <w:tcPr>
            <w:tcW w:w="1466" w:type="dxa"/>
          </w:tcPr>
          <w:p w:rsidR="00995BE0" w:rsidRPr="001D71BB" w:rsidRDefault="00995BE0" w:rsidP="00985775">
            <w:pPr>
              <w:spacing w:line="360" w:lineRule="auto"/>
              <w:rPr>
                <w:lang w:val="fi-FI"/>
              </w:rPr>
            </w:pPr>
          </w:p>
        </w:tc>
      </w:tr>
      <w:tr w:rsidR="00995BE0" w:rsidRPr="001D71BB" w:rsidTr="00985775">
        <w:trPr>
          <w:cantSplit/>
          <w:trHeight w:val="1360"/>
        </w:trPr>
        <w:tc>
          <w:tcPr>
            <w:tcW w:w="3780" w:type="dxa"/>
            <w:vMerge/>
          </w:tcPr>
          <w:p w:rsidR="00995BE0" w:rsidRPr="001D71BB" w:rsidRDefault="00995BE0" w:rsidP="00985775">
            <w:pPr>
              <w:rPr>
                <w:lang w:val="fi-FI"/>
              </w:rPr>
            </w:pPr>
          </w:p>
        </w:tc>
        <w:tc>
          <w:tcPr>
            <w:tcW w:w="4500" w:type="dxa"/>
          </w:tcPr>
          <w:p w:rsidR="00995BE0" w:rsidRPr="001D71BB" w:rsidRDefault="00995BE0" w:rsidP="00985775">
            <w:r w:rsidRPr="001D71BB">
              <w:rPr>
                <w:sz w:val="22"/>
                <w:szCs w:val="22"/>
              </w:rPr>
              <w:t xml:space="preserve">2.3. </w:t>
            </w:r>
            <w:r w:rsidRPr="001D71BB">
              <w:t>Numatytos priemonės naujiems rodikliams įgyvendinti</w:t>
            </w:r>
          </w:p>
        </w:tc>
        <w:tc>
          <w:tcPr>
            <w:tcW w:w="1466" w:type="dxa"/>
          </w:tcPr>
          <w:p w:rsidR="00995BE0" w:rsidRPr="001D71BB" w:rsidRDefault="00995BE0" w:rsidP="00985775">
            <w:pPr>
              <w:spacing w:line="360" w:lineRule="auto"/>
              <w:rPr>
                <w:lang w:val="fi-FI"/>
              </w:rPr>
            </w:pPr>
          </w:p>
        </w:tc>
      </w:tr>
    </w:tbl>
    <w:p w:rsidR="00995BE0" w:rsidRPr="001D71BB" w:rsidRDefault="00995BE0" w:rsidP="008E467F">
      <w:pPr>
        <w:spacing w:line="360" w:lineRule="auto"/>
        <w:rPr>
          <w:sz w:val="22"/>
          <w:szCs w:val="22"/>
        </w:rPr>
      </w:pPr>
    </w:p>
    <w:p w:rsidR="00995BE0" w:rsidRPr="001D71BB" w:rsidRDefault="00995BE0" w:rsidP="008E467F">
      <w:pPr>
        <w:rPr>
          <w:sz w:val="22"/>
          <w:szCs w:val="22"/>
        </w:rPr>
      </w:pPr>
      <w:r w:rsidRPr="001D71BB">
        <w:rPr>
          <w:sz w:val="22"/>
          <w:szCs w:val="22"/>
        </w:rPr>
        <w:t>Komisijos, vertinusios _________________________________________ sveikatos stiprinimo</w:t>
      </w:r>
    </w:p>
    <w:p w:rsidR="00995BE0" w:rsidRPr="001D71BB" w:rsidRDefault="00995BE0" w:rsidP="008E467F">
      <w:pPr>
        <w:ind w:left="2160" w:firstLine="720"/>
        <w:rPr>
          <w:sz w:val="22"/>
          <w:szCs w:val="22"/>
        </w:rPr>
      </w:pPr>
      <w:r w:rsidRPr="001D71BB">
        <w:rPr>
          <w:sz w:val="22"/>
          <w:szCs w:val="22"/>
        </w:rPr>
        <w:t>(mokyklos pavadinimas)</w:t>
      </w:r>
    </w:p>
    <w:p w:rsidR="00995BE0" w:rsidRPr="001D71BB" w:rsidRDefault="00995BE0" w:rsidP="008E467F">
      <w:pPr>
        <w:rPr>
          <w:sz w:val="22"/>
          <w:szCs w:val="22"/>
        </w:rPr>
      </w:pPr>
      <w:r w:rsidRPr="001D71BB">
        <w:rPr>
          <w:sz w:val="22"/>
          <w:szCs w:val="22"/>
        </w:rPr>
        <w:t>programą _____________________________________________________________, išvada</w:t>
      </w:r>
    </w:p>
    <w:p w:rsidR="00995BE0" w:rsidRPr="001D71BB" w:rsidRDefault="00995BE0" w:rsidP="008E467F">
      <w:pPr>
        <w:ind w:left="2160" w:firstLine="720"/>
        <w:rPr>
          <w:sz w:val="22"/>
          <w:szCs w:val="22"/>
        </w:rPr>
      </w:pPr>
      <w:r w:rsidRPr="001D71BB">
        <w:rPr>
          <w:sz w:val="22"/>
          <w:szCs w:val="22"/>
        </w:rPr>
        <w:t>(programos pavadinimas)</w:t>
      </w:r>
    </w:p>
    <w:p w:rsidR="00995BE0" w:rsidRPr="001D71BB" w:rsidRDefault="00995BE0" w:rsidP="008E467F">
      <w:pPr>
        <w:rPr>
          <w:sz w:val="22"/>
          <w:szCs w:val="22"/>
        </w:rPr>
      </w:pPr>
    </w:p>
    <w:p w:rsidR="00995BE0" w:rsidRPr="001D71BB" w:rsidRDefault="00995BE0" w:rsidP="008E467F">
      <w:pPr>
        <w:rPr>
          <w:sz w:val="22"/>
          <w:szCs w:val="22"/>
        </w:rPr>
      </w:pPr>
      <w:r w:rsidRPr="001D71BB">
        <w:rPr>
          <w:sz w:val="22"/>
          <w:szCs w:val="22"/>
        </w:rPr>
        <w:t xml:space="preserve">Pastabos, pasiūlymai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Mokyklų pripažinimo sveikatą </w:t>
      </w:r>
    </w:p>
    <w:p w:rsidR="00995BE0" w:rsidRPr="001D71BB" w:rsidRDefault="00995BE0" w:rsidP="008E467F">
      <w:pPr>
        <w:spacing w:line="360" w:lineRule="auto"/>
        <w:rPr>
          <w:sz w:val="22"/>
          <w:szCs w:val="22"/>
        </w:rPr>
      </w:pPr>
      <w:r w:rsidRPr="001D71BB">
        <w:rPr>
          <w:sz w:val="22"/>
          <w:szCs w:val="22"/>
        </w:rPr>
        <w:t>stiprinančiomis mokyklomis</w:t>
      </w:r>
    </w:p>
    <w:p w:rsidR="00995BE0" w:rsidRPr="001D71BB" w:rsidRDefault="00995BE0" w:rsidP="008E467F">
      <w:pPr>
        <w:spacing w:line="360" w:lineRule="auto"/>
        <w:rPr>
          <w:sz w:val="22"/>
          <w:szCs w:val="22"/>
        </w:rPr>
      </w:pPr>
      <w:r w:rsidRPr="001D71BB">
        <w:rPr>
          <w:sz w:val="22"/>
          <w:szCs w:val="22"/>
        </w:rPr>
        <w:t>komisijos pirmininkas</w:t>
      </w:r>
      <w:r w:rsidRPr="001D71BB">
        <w:rPr>
          <w:sz w:val="22"/>
          <w:szCs w:val="22"/>
        </w:rPr>
        <w:tab/>
      </w:r>
      <w:r w:rsidRPr="001D71BB">
        <w:rPr>
          <w:sz w:val="22"/>
          <w:szCs w:val="22"/>
        </w:rPr>
        <w:tab/>
        <w:t xml:space="preserve">                  (parašas)</w:t>
      </w:r>
      <w:r w:rsidRPr="001D71BB">
        <w:rPr>
          <w:sz w:val="22"/>
          <w:szCs w:val="22"/>
        </w:rPr>
        <w:tab/>
        <w:t xml:space="preserve">                              (vardas ir pavardė)</w:t>
      </w:r>
    </w:p>
    <w:p w:rsidR="00995BE0" w:rsidRPr="001D71BB" w:rsidRDefault="00995BE0" w:rsidP="008E467F">
      <w:pPr>
        <w:spacing w:line="360" w:lineRule="auto"/>
        <w:rPr>
          <w:sz w:val="22"/>
          <w:szCs w:val="22"/>
        </w:rPr>
      </w:pPr>
      <w:r w:rsidRPr="001D71BB">
        <w:rPr>
          <w:sz w:val="22"/>
          <w:szCs w:val="22"/>
        </w:rPr>
        <w:t>__________________</w:t>
      </w:r>
    </w:p>
    <w:p w:rsidR="00995BE0" w:rsidRPr="001D71BB" w:rsidRDefault="00995BE0" w:rsidP="008E467F">
      <w:pPr>
        <w:spacing w:line="360" w:lineRule="auto"/>
        <w:ind w:firstLine="720"/>
        <w:rPr>
          <w:sz w:val="22"/>
          <w:szCs w:val="22"/>
        </w:rPr>
      </w:pPr>
      <w:r w:rsidRPr="001D71BB">
        <w:rPr>
          <w:sz w:val="22"/>
          <w:szCs w:val="22"/>
        </w:rPr>
        <w:t>(data)</w:t>
      </w:r>
    </w:p>
    <w:p w:rsidR="00995BE0" w:rsidRPr="001D71BB" w:rsidRDefault="00995BE0" w:rsidP="008E467F">
      <w:pPr>
        <w:spacing w:line="360" w:lineRule="auto"/>
      </w:pPr>
    </w:p>
    <w:p w:rsidR="00995BE0" w:rsidRPr="001D71BB" w:rsidRDefault="00995BE0" w:rsidP="008E467F">
      <w:pPr>
        <w:spacing w:line="360" w:lineRule="auto"/>
        <w:jc w:val="center"/>
      </w:pPr>
      <w:r w:rsidRPr="001D71BB">
        <w:t>_________________________________</w:t>
      </w:r>
    </w:p>
    <w:p w:rsidR="00995BE0" w:rsidRPr="001D71BB" w:rsidRDefault="00995BE0" w:rsidP="008E467F">
      <w:pPr>
        <w:spacing w:line="360" w:lineRule="auto"/>
        <w:jc w:val="center"/>
        <w:rPr>
          <w:b/>
          <w:sz w:val="32"/>
          <w:szCs w:val="32"/>
        </w:rPr>
        <w:sectPr w:rsidR="00995BE0" w:rsidRPr="001D71BB" w:rsidSect="00A54FAC">
          <w:footerReference w:type="even" r:id="rId171"/>
          <w:footerReference w:type="default" r:id="rId172"/>
          <w:pgSz w:w="11906" w:h="16838"/>
          <w:pgMar w:top="1134" w:right="567" w:bottom="1134" w:left="1701" w:header="567" w:footer="567" w:gutter="0"/>
          <w:pgNumType w:start="2"/>
          <w:cols w:space="1296"/>
          <w:titlePg/>
          <w:docGrid w:linePitch="360"/>
        </w:sectPr>
      </w:pPr>
    </w:p>
    <w:p w:rsidR="00995BE0" w:rsidRPr="00287C05" w:rsidRDefault="00995BE0" w:rsidP="008E467F">
      <w:pPr>
        <w:spacing w:line="360" w:lineRule="auto"/>
        <w:jc w:val="right"/>
        <w:rPr>
          <w:b/>
        </w:rPr>
      </w:pPr>
      <w:r w:rsidRPr="00287C05">
        <w:rPr>
          <w:b/>
        </w:rPr>
        <w:lastRenderedPageBreak/>
        <w:t xml:space="preserve">4 </w:t>
      </w:r>
      <w:r>
        <w:rPr>
          <w:b/>
        </w:rPr>
        <w:t>p</w:t>
      </w:r>
      <w:r w:rsidRPr="00287C05">
        <w:rPr>
          <w:b/>
        </w:rPr>
        <w:t>riedas</w:t>
      </w:r>
    </w:p>
    <w:p w:rsidR="00995BE0" w:rsidRPr="00287C05" w:rsidRDefault="00995BE0" w:rsidP="008E467F">
      <w:pPr>
        <w:spacing w:line="360" w:lineRule="auto"/>
        <w:jc w:val="right"/>
        <w:rPr>
          <w:b/>
        </w:rPr>
      </w:pPr>
      <w:r w:rsidRPr="00287C05">
        <w:rPr>
          <w:b/>
        </w:rPr>
        <w:t>1 lentelė</w:t>
      </w:r>
    </w:p>
    <w:p w:rsidR="00995BE0" w:rsidRPr="00A453CB" w:rsidRDefault="00995BE0" w:rsidP="008E467F">
      <w:pPr>
        <w:jc w:val="right"/>
        <w:rPr>
          <w:sz w:val="22"/>
          <w:szCs w:val="22"/>
        </w:rPr>
      </w:pPr>
      <w:r w:rsidRPr="00A453CB">
        <w:rPr>
          <w:sz w:val="22"/>
          <w:szCs w:val="22"/>
        </w:rPr>
        <w:t>PATVIRTINTA</w:t>
      </w:r>
    </w:p>
    <w:p w:rsidR="00995BE0" w:rsidRPr="00A453CB" w:rsidRDefault="00995BE0" w:rsidP="008E467F">
      <w:pPr>
        <w:jc w:val="right"/>
        <w:rPr>
          <w:sz w:val="22"/>
          <w:szCs w:val="22"/>
        </w:rPr>
      </w:pPr>
      <w:r w:rsidRPr="00A453CB">
        <w:rPr>
          <w:sz w:val="22"/>
          <w:szCs w:val="22"/>
        </w:rPr>
        <w:t>Lietuvos Respublikos sveikatos apsaugos</w:t>
      </w:r>
    </w:p>
    <w:p w:rsidR="00995BE0" w:rsidRPr="00A453CB" w:rsidRDefault="00995BE0" w:rsidP="008E467F">
      <w:pPr>
        <w:jc w:val="right"/>
        <w:rPr>
          <w:sz w:val="22"/>
          <w:szCs w:val="22"/>
        </w:rPr>
      </w:pPr>
      <w:r w:rsidRPr="00A453CB">
        <w:rPr>
          <w:sz w:val="22"/>
          <w:szCs w:val="22"/>
        </w:rPr>
        <w:t>ministro 2008 m. sausio 28 d. įsakymu Nr. V-69</w:t>
      </w:r>
    </w:p>
    <w:p w:rsidR="00995BE0" w:rsidRPr="001D71BB" w:rsidRDefault="00995BE0" w:rsidP="008E467F">
      <w:pPr>
        <w:jc w:val="right"/>
        <w:rPr>
          <w:sz w:val="20"/>
        </w:rPr>
      </w:pPr>
    </w:p>
    <w:p w:rsidR="00995BE0" w:rsidRPr="001D71BB" w:rsidRDefault="00995BE0" w:rsidP="008E467F">
      <w:pPr>
        <w:spacing w:line="360" w:lineRule="auto"/>
        <w:jc w:val="center"/>
        <w:rPr>
          <w:b/>
          <w:sz w:val="20"/>
        </w:rPr>
      </w:pPr>
      <w:r w:rsidRPr="001D71BB">
        <w:rPr>
          <w:b/>
          <w:sz w:val="20"/>
        </w:rPr>
        <w:t>PRIVALOMOJO HIGIENOS ĮGŪDŽIŲ MOKYMO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3859"/>
        <w:gridCol w:w="1618"/>
        <w:gridCol w:w="1910"/>
      </w:tblGrid>
      <w:tr w:rsidR="00995BE0" w:rsidRPr="00A453CB" w:rsidTr="00985775">
        <w:trPr>
          <w:tblHeader/>
        </w:trPr>
        <w:tc>
          <w:tcPr>
            <w:tcW w:w="3652" w:type="dxa"/>
          </w:tcPr>
          <w:p w:rsidR="00995BE0" w:rsidRPr="00A453CB" w:rsidRDefault="00995BE0" w:rsidP="00985775">
            <w:pPr>
              <w:jc w:val="center"/>
            </w:pPr>
            <w:r w:rsidRPr="00A453CB">
              <w:rPr>
                <w:sz w:val="22"/>
                <w:szCs w:val="22"/>
              </w:rPr>
              <w:t>Darbuotojai, kuriems privalomas higienos įgūdžių mokymas</w:t>
            </w:r>
          </w:p>
          <w:p w:rsidR="00995BE0" w:rsidRPr="00A453CB" w:rsidRDefault="00995BE0" w:rsidP="00985775">
            <w:pPr>
              <w:jc w:val="center"/>
            </w:pPr>
          </w:p>
        </w:tc>
        <w:tc>
          <w:tcPr>
            <w:tcW w:w="6521" w:type="dxa"/>
          </w:tcPr>
          <w:p w:rsidR="00995BE0" w:rsidRPr="00A453CB" w:rsidRDefault="00995BE0" w:rsidP="00985775">
            <w:pPr>
              <w:jc w:val="center"/>
            </w:pPr>
          </w:p>
          <w:p w:rsidR="00995BE0" w:rsidRPr="00A453CB" w:rsidRDefault="00995BE0" w:rsidP="00985775">
            <w:pPr>
              <w:jc w:val="center"/>
            </w:pPr>
            <w:r w:rsidRPr="00A453CB">
              <w:rPr>
                <w:sz w:val="22"/>
                <w:szCs w:val="22"/>
              </w:rPr>
              <w:t>Mokymo temos</w:t>
            </w:r>
          </w:p>
        </w:tc>
        <w:tc>
          <w:tcPr>
            <w:tcW w:w="1701" w:type="dxa"/>
          </w:tcPr>
          <w:p w:rsidR="00995BE0" w:rsidRPr="00A453CB" w:rsidRDefault="00995BE0" w:rsidP="00985775">
            <w:pPr>
              <w:jc w:val="center"/>
            </w:pPr>
            <w:r w:rsidRPr="00A453CB">
              <w:rPr>
                <w:sz w:val="22"/>
                <w:szCs w:val="22"/>
              </w:rPr>
              <w:t>Mokymo trukmė</w:t>
            </w:r>
          </w:p>
          <w:p w:rsidR="00995BE0" w:rsidRPr="00A453CB" w:rsidRDefault="00995BE0" w:rsidP="00985775">
            <w:pPr>
              <w:jc w:val="center"/>
            </w:pPr>
            <w:r w:rsidRPr="00A453CB">
              <w:rPr>
                <w:sz w:val="22"/>
                <w:szCs w:val="22"/>
              </w:rPr>
              <w:t>(akademinėmis valandomis)</w:t>
            </w:r>
          </w:p>
        </w:tc>
        <w:tc>
          <w:tcPr>
            <w:tcW w:w="2345" w:type="dxa"/>
          </w:tcPr>
          <w:p w:rsidR="00995BE0" w:rsidRPr="00A453CB" w:rsidRDefault="00995BE0" w:rsidP="00985775">
            <w:pPr>
              <w:jc w:val="center"/>
            </w:pPr>
            <w:r w:rsidRPr="00A453CB">
              <w:rPr>
                <w:sz w:val="22"/>
                <w:szCs w:val="22"/>
              </w:rPr>
              <w:t>Mokymo periodiškumas ir organizavimas*</w:t>
            </w:r>
          </w:p>
        </w:tc>
      </w:tr>
      <w:tr w:rsidR="00995BE0" w:rsidRPr="00A453CB" w:rsidTr="00985775">
        <w:trPr>
          <w:tblHeader/>
        </w:trPr>
        <w:tc>
          <w:tcPr>
            <w:tcW w:w="3652" w:type="dxa"/>
          </w:tcPr>
          <w:p w:rsidR="00995BE0" w:rsidRPr="00A453CB" w:rsidRDefault="00995BE0" w:rsidP="00985775">
            <w:pPr>
              <w:jc w:val="center"/>
            </w:pPr>
            <w:r w:rsidRPr="00A453CB">
              <w:rPr>
                <w:sz w:val="22"/>
                <w:szCs w:val="22"/>
              </w:rPr>
              <w:t>1</w:t>
            </w:r>
          </w:p>
        </w:tc>
        <w:tc>
          <w:tcPr>
            <w:tcW w:w="6521" w:type="dxa"/>
          </w:tcPr>
          <w:p w:rsidR="00995BE0" w:rsidRPr="00A453CB" w:rsidRDefault="00995BE0" w:rsidP="00985775">
            <w:pPr>
              <w:jc w:val="center"/>
            </w:pPr>
            <w:r w:rsidRPr="00A453CB">
              <w:rPr>
                <w:sz w:val="22"/>
                <w:szCs w:val="22"/>
              </w:rPr>
              <w:t>2</w:t>
            </w:r>
          </w:p>
        </w:tc>
        <w:tc>
          <w:tcPr>
            <w:tcW w:w="1701" w:type="dxa"/>
          </w:tcPr>
          <w:p w:rsidR="00995BE0" w:rsidRPr="00A453CB" w:rsidRDefault="00995BE0" w:rsidP="00985775">
            <w:pPr>
              <w:jc w:val="center"/>
            </w:pPr>
            <w:r w:rsidRPr="00A453CB">
              <w:rPr>
                <w:sz w:val="22"/>
                <w:szCs w:val="22"/>
              </w:rPr>
              <w:t>3</w:t>
            </w:r>
          </w:p>
        </w:tc>
        <w:tc>
          <w:tcPr>
            <w:tcW w:w="2345" w:type="dxa"/>
          </w:tcPr>
          <w:p w:rsidR="00995BE0" w:rsidRPr="00A453CB" w:rsidRDefault="00995BE0" w:rsidP="00985775">
            <w:pPr>
              <w:jc w:val="center"/>
            </w:pPr>
            <w:r w:rsidRPr="00A453CB">
              <w:rPr>
                <w:sz w:val="22"/>
                <w:szCs w:val="22"/>
              </w:rPr>
              <w:t>4</w:t>
            </w:r>
          </w:p>
        </w:tc>
      </w:tr>
      <w:tr w:rsidR="00995BE0" w:rsidRPr="00A453CB" w:rsidTr="00985775">
        <w:tc>
          <w:tcPr>
            <w:tcW w:w="3652" w:type="dxa"/>
          </w:tcPr>
          <w:p w:rsidR="00995BE0" w:rsidRPr="00A453CB" w:rsidRDefault="00995BE0" w:rsidP="00985775">
            <w:r w:rsidRPr="00A453CB">
              <w:rPr>
                <w:sz w:val="22"/>
                <w:szCs w:val="22"/>
              </w:rPr>
              <w:t>1. Areštinių ir laisvės atėmimo vietų darbuotojai</w:t>
            </w:r>
          </w:p>
          <w:p w:rsidR="00995BE0" w:rsidRPr="00A453CB" w:rsidRDefault="00995BE0" w:rsidP="00985775"/>
        </w:tc>
        <w:tc>
          <w:tcPr>
            <w:tcW w:w="6521" w:type="dxa"/>
          </w:tcPr>
          <w:p w:rsidR="00995BE0" w:rsidRPr="00A453CB" w:rsidRDefault="00995BE0" w:rsidP="00985775">
            <w:r w:rsidRPr="00A453CB">
              <w:rPr>
                <w:sz w:val="22"/>
                <w:szCs w:val="22"/>
              </w:rPr>
              <w:t>1.1. Areštinių ir laisvės atėmimo vietų vėdinimo, apšvietimo, vandentiekio ir kanalizacijos, valymo ir dezinfekcijos higienos reikalavimai</w:t>
            </w:r>
          </w:p>
          <w:p w:rsidR="00995BE0" w:rsidRPr="00A453CB" w:rsidRDefault="00995BE0" w:rsidP="00985775">
            <w:r w:rsidRPr="00A453CB">
              <w:rPr>
                <w:sz w:val="22"/>
                <w:szCs w:val="22"/>
              </w:rPr>
              <w:t>1.2. Mitybos ir asmens higienos reikalavimai</w:t>
            </w:r>
          </w:p>
          <w:p w:rsidR="00995BE0" w:rsidRPr="00A453CB" w:rsidRDefault="00995BE0" w:rsidP="00985775">
            <w:r w:rsidRPr="00A453CB">
              <w:rPr>
                <w:sz w:val="22"/>
                <w:szCs w:val="22"/>
              </w:rPr>
              <w:t>1.3. Higienos įgūdžių, padedančių apsisaugoti nuo žarnyno, kvėpavimo takų ir odos užkrečiamųjų ligų, formavimas, apsinuodijimo maistu profilaktikos pagrindai</w:t>
            </w:r>
          </w:p>
          <w:p w:rsidR="00995BE0" w:rsidRPr="00A453CB" w:rsidRDefault="00995BE0" w:rsidP="00985775">
            <w:r w:rsidRPr="00A453CB">
              <w:rPr>
                <w:sz w:val="22"/>
                <w:szCs w:val="22"/>
              </w:rPr>
              <w:t>1.4. Ypač pavojingų infekcijų profilaktika</w:t>
            </w:r>
          </w:p>
          <w:p w:rsidR="00995BE0" w:rsidRPr="00A453CB" w:rsidRDefault="00995BE0" w:rsidP="00985775">
            <w:r w:rsidRPr="00A453CB">
              <w:rPr>
                <w:sz w:val="22"/>
                <w:szCs w:val="22"/>
              </w:rPr>
              <w:t>1.5. Lytiškai plintančių ligų, ŽIV/AIDS, hepatito B ir hepatito C profilaktika</w:t>
            </w:r>
          </w:p>
          <w:p w:rsidR="00995BE0" w:rsidRPr="00A453CB" w:rsidRDefault="00995BE0" w:rsidP="00985775">
            <w:r w:rsidRPr="00A453CB">
              <w:rPr>
                <w:sz w:val="22"/>
                <w:szCs w:val="22"/>
              </w:rPr>
              <w:t>1.6. Rūkymo, alkoholio ir narkotikų žala žmogaus sveikatai, priklausomybių profilaktika</w:t>
            </w:r>
          </w:p>
        </w:tc>
        <w:tc>
          <w:tcPr>
            <w:tcW w:w="1701" w:type="dxa"/>
          </w:tcPr>
          <w:p w:rsidR="00995BE0" w:rsidRPr="00A453CB" w:rsidRDefault="00995BE0" w:rsidP="00985775">
            <w:pPr>
              <w:jc w:val="center"/>
            </w:pPr>
            <w:r w:rsidRPr="00A453CB">
              <w:rPr>
                <w:sz w:val="22"/>
                <w:szCs w:val="22"/>
              </w:rPr>
              <w:t>6</w:t>
            </w:r>
          </w:p>
        </w:tc>
        <w:tc>
          <w:tcPr>
            <w:tcW w:w="2345" w:type="dxa"/>
          </w:tcPr>
          <w:p w:rsidR="00995BE0" w:rsidRPr="00A453CB" w:rsidRDefault="00995BE0" w:rsidP="00985775">
            <w:pPr>
              <w:jc w:val="both"/>
            </w:pPr>
            <w:r w:rsidRPr="00A453CB">
              <w:rPr>
                <w:sz w:val="22"/>
                <w:szCs w:val="22"/>
              </w:rPr>
              <w:t>Prieš pradėdami dirbti ir kas penkeri metai</w:t>
            </w:r>
          </w:p>
        </w:tc>
      </w:tr>
      <w:tr w:rsidR="00995BE0" w:rsidRPr="00A453CB" w:rsidTr="00985775">
        <w:tc>
          <w:tcPr>
            <w:tcW w:w="3652" w:type="dxa"/>
          </w:tcPr>
          <w:p w:rsidR="00995BE0" w:rsidRPr="00A453CB" w:rsidRDefault="00995BE0" w:rsidP="00985775">
            <w:r w:rsidRPr="00A453CB">
              <w:rPr>
                <w:sz w:val="22"/>
                <w:szCs w:val="22"/>
              </w:rPr>
              <w:t>2. Vandens tiekimo įmonių darbuotojai</w:t>
            </w:r>
          </w:p>
          <w:p w:rsidR="00995BE0" w:rsidRPr="00A453CB" w:rsidRDefault="00995BE0" w:rsidP="00985775"/>
        </w:tc>
        <w:tc>
          <w:tcPr>
            <w:tcW w:w="6521" w:type="dxa"/>
          </w:tcPr>
          <w:p w:rsidR="00995BE0" w:rsidRPr="00A453CB" w:rsidRDefault="00995BE0" w:rsidP="00985775">
            <w:r w:rsidRPr="00A453CB">
              <w:rPr>
                <w:sz w:val="22"/>
                <w:szCs w:val="22"/>
              </w:rPr>
              <w:t>2.1. Geriamojo vandens kokybės reikalavimai, sanitarinis vandens tiekimo šaltinių saugumas ir sanitarinės apsaugos zonos</w:t>
            </w:r>
          </w:p>
          <w:p w:rsidR="00995BE0" w:rsidRPr="00A453CB" w:rsidRDefault="00995BE0" w:rsidP="00985775">
            <w:r w:rsidRPr="00A453CB">
              <w:rPr>
                <w:sz w:val="22"/>
                <w:szCs w:val="22"/>
              </w:rPr>
              <w:t>2.2. Vandens fizinių savybių (skaidrumo, spalvos, kvapo, skonio) įvertinimas, mikrobiologiniai vandens kokybės rodikliai</w:t>
            </w:r>
          </w:p>
          <w:p w:rsidR="00995BE0" w:rsidRPr="00A453CB" w:rsidRDefault="00995BE0" w:rsidP="00985775">
            <w:r w:rsidRPr="00A453CB">
              <w:rPr>
                <w:sz w:val="22"/>
                <w:szCs w:val="22"/>
              </w:rPr>
              <w:t>2.3. Vandenyje esančios nuodingosios medžiagos, vandens užterštumas organinėmis, cheminėmis ir radioaktyviosiomis medžiagomis, vandens valymo ir dezinfekcijos būdai</w:t>
            </w:r>
          </w:p>
          <w:p w:rsidR="00995BE0" w:rsidRPr="00A453CB" w:rsidRDefault="00995BE0" w:rsidP="00985775">
            <w:r w:rsidRPr="00A453CB">
              <w:rPr>
                <w:sz w:val="22"/>
                <w:szCs w:val="22"/>
              </w:rPr>
              <w:t>2.4. Per vandenį plintančių užkrečiamųjų ligų profilaktika</w:t>
            </w:r>
          </w:p>
          <w:p w:rsidR="00995BE0" w:rsidRPr="00A453CB" w:rsidRDefault="00995BE0" w:rsidP="00985775">
            <w:r w:rsidRPr="00A453CB">
              <w:rPr>
                <w:sz w:val="22"/>
                <w:szCs w:val="22"/>
              </w:rPr>
              <w:t>2.5. Asmens higienos įgūdžių formavimas</w:t>
            </w:r>
          </w:p>
        </w:tc>
        <w:tc>
          <w:tcPr>
            <w:tcW w:w="1701" w:type="dxa"/>
          </w:tcPr>
          <w:p w:rsidR="00995BE0" w:rsidRPr="00A453CB" w:rsidRDefault="00995BE0" w:rsidP="00985775">
            <w:pPr>
              <w:jc w:val="center"/>
            </w:pPr>
            <w:r w:rsidRPr="00A453CB">
              <w:rPr>
                <w:sz w:val="22"/>
                <w:szCs w:val="22"/>
              </w:rPr>
              <w:t>6</w:t>
            </w:r>
          </w:p>
        </w:tc>
        <w:tc>
          <w:tcPr>
            <w:tcW w:w="2345" w:type="dxa"/>
          </w:tcPr>
          <w:p w:rsidR="00995BE0" w:rsidRPr="00A453CB" w:rsidRDefault="00995BE0" w:rsidP="00985775">
            <w:pPr>
              <w:jc w:val="both"/>
            </w:pPr>
            <w:r w:rsidRPr="00A453CB">
              <w:rPr>
                <w:sz w:val="22"/>
                <w:szCs w:val="22"/>
              </w:rPr>
              <w:t>Prieš pradėdami dirbti ir kas dveji metai</w:t>
            </w:r>
          </w:p>
        </w:tc>
      </w:tr>
      <w:tr w:rsidR="00995BE0" w:rsidRPr="00A453CB" w:rsidTr="00985775">
        <w:tc>
          <w:tcPr>
            <w:tcW w:w="3652" w:type="dxa"/>
          </w:tcPr>
          <w:p w:rsidR="00995BE0" w:rsidRPr="00A453CB" w:rsidRDefault="00995BE0" w:rsidP="00985775">
            <w:r w:rsidRPr="00A453CB">
              <w:rPr>
                <w:sz w:val="22"/>
                <w:szCs w:val="22"/>
              </w:rPr>
              <w:t xml:space="preserve">3. Darbuotojai, kurių veikla susijusi su maisto produktų apdorojimu, išdavimu ir maitinimu (maisto produktų, jų priedų, žaliavų gamybos, žvejybos, prekybos, tiekimo, transportavimo, </w:t>
            </w:r>
            <w:r w:rsidRPr="00A453CB">
              <w:rPr>
                <w:sz w:val="22"/>
                <w:szCs w:val="22"/>
              </w:rPr>
              <w:lastRenderedPageBreak/>
              <w:t>sandėliavimo ir maitinimo įmonių darbuotojai, tarp jų: stiuardesės, keleivinio transporto palydovai, laivų virėjai, jų padėjėjai, bufetų ir produktų sandėlių darbuotojai)</w:t>
            </w:r>
          </w:p>
          <w:p w:rsidR="00995BE0" w:rsidRPr="00A453CB" w:rsidRDefault="00995BE0" w:rsidP="00985775"/>
        </w:tc>
        <w:tc>
          <w:tcPr>
            <w:tcW w:w="6521" w:type="dxa"/>
          </w:tcPr>
          <w:p w:rsidR="00995BE0" w:rsidRPr="00A453CB" w:rsidRDefault="00995BE0" w:rsidP="00985775">
            <w:r w:rsidRPr="00A453CB">
              <w:rPr>
                <w:sz w:val="22"/>
                <w:szCs w:val="22"/>
              </w:rPr>
              <w:lastRenderedPageBreak/>
              <w:t>3.1. Maisto, žaliavų, produktų pašalinimas iš rinkos, maisto gamybos ir maitinimo patalpų (grindų, sienų, lubų, langų, durų, laiptų, paviršiaus) higiena</w:t>
            </w:r>
          </w:p>
          <w:p w:rsidR="00995BE0" w:rsidRPr="00A453CB" w:rsidRDefault="00995BE0" w:rsidP="00985775">
            <w:r w:rsidRPr="00A453CB">
              <w:rPr>
                <w:sz w:val="22"/>
                <w:szCs w:val="22"/>
              </w:rPr>
              <w:t>3.2. Teritorijos, transporto, sandėlių apšvietimo, vėdinimo, vandens, nutekamųjų vandenų, tualetų, buities patalpų higiena</w:t>
            </w:r>
          </w:p>
          <w:p w:rsidR="00995BE0" w:rsidRPr="00A453CB" w:rsidRDefault="00995BE0" w:rsidP="00985775">
            <w:r w:rsidRPr="00A453CB">
              <w:rPr>
                <w:sz w:val="22"/>
                <w:szCs w:val="22"/>
              </w:rPr>
              <w:lastRenderedPageBreak/>
              <w:t>3.3. Maisto gamybos įmonės technologijų higiena</w:t>
            </w:r>
          </w:p>
          <w:p w:rsidR="00995BE0" w:rsidRPr="00A453CB" w:rsidRDefault="00995BE0" w:rsidP="00985775">
            <w:r w:rsidRPr="00A453CB">
              <w:rPr>
                <w:sz w:val="22"/>
                <w:szCs w:val="22"/>
              </w:rPr>
              <w:t>3.4. Paviršių, su kuriais liečiasi maistas, priežiūra, pakavimo priemonės ir medžiagos</w:t>
            </w:r>
          </w:p>
          <w:p w:rsidR="00995BE0" w:rsidRPr="00A453CB" w:rsidRDefault="00995BE0" w:rsidP="00985775">
            <w:r w:rsidRPr="00A453CB">
              <w:rPr>
                <w:sz w:val="22"/>
                <w:szCs w:val="22"/>
              </w:rPr>
              <w:t>3.5. Atliekų ir techninių medžiagų laikymas, valymo higiena (plovimas, dezinfekcija, graužikų ir vabzdžių naikinimas)</w:t>
            </w:r>
          </w:p>
          <w:p w:rsidR="00995BE0" w:rsidRPr="00A453CB" w:rsidRDefault="00995BE0" w:rsidP="00985775">
            <w:r w:rsidRPr="00A453CB">
              <w:rPr>
                <w:sz w:val="22"/>
                <w:szCs w:val="22"/>
              </w:rPr>
              <w:t>3.6. Maisto įmonės rizikos veiksnių analizės ir svarbiųjų valdymo taškų (RVASVT) sistemos diegimas</w:t>
            </w:r>
          </w:p>
          <w:p w:rsidR="00995BE0" w:rsidRPr="00A453CB" w:rsidRDefault="00995BE0" w:rsidP="00985775">
            <w:r w:rsidRPr="00A453CB">
              <w:rPr>
                <w:sz w:val="22"/>
                <w:szCs w:val="22"/>
              </w:rPr>
              <w:t>3.7. Higienos reikalavimų laikymosi, profilaktinių sveikatos patikrinimų ir skiepų svarba, asmens higienos įgūdžių formavimas</w:t>
            </w:r>
          </w:p>
          <w:p w:rsidR="00995BE0" w:rsidRPr="00A453CB" w:rsidRDefault="00995BE0" w:rsidP="00985775">
            <w:r w:rsidRPr="00A453CB">
              <w:rPr>
                <w:sz w:val="22"/>
                <w:szCs w:val="22"/>
              </w:rPr>
              <w:t>3.8. Ūmių užkrečiamųjų žarnyno ligų, apsinuodijimų maistu, pūlingų odos ligų ir kvėpavimo sistemos ligų profilaktika</w:t>
            </w:r>
          </w:p>
        </w:tc>
        <w:tc>
          <w:tcPr>
            <w:tcW w:w="1701" w:type="dxa"/>
          </w:tcPr>
          <w:p w:rsidR="00995BE0" w:rsidRPr="00A453CB" w:rsidRDefault="00995BE0" w:rsidP="00985775">
            <w:pPr>
              <w:jc w:val="center"/>
            </w:pPr>
            <w:r w:rsidRPr="00A453CB">
              <w:rPr>
                <w:sz w:val="22"/>
                <w:szCs w:val="22"/>
              </w:rPr>
              <w:lastRenderedPageBreak/>
              <w:t>6</w:t>
            </w:r>
          </w:p>
        </w:tc>
        <w:tc>
          <w:tcPr>
            <w:tcW w:w="2345" w:type="dxa"/>
          </w:tcPr>
          <w:p w:rsidR="00995BE0" w:rsidRPr="00A453CB" w:rsidRDefault="00995BE0" w:rsidP="00985775">
            <w:pPr>
              <w:jc w:val="both"/>
            </w:pPr>
            <w:r w:rsidRPr="00A453CB">
              <w:rPr>
                <w:sz w:val="22"/>
                <w:szCs w:val="22"/>
              </w:rPr>
              <w:t>Prieš pradėdami dirbti ir kas dveji metai</w:t>
            </w:r>
          </w:p>
        </w:tc>
      </w:tr>
      <w:tr w:rsidR="00995BE0" w:rsidRPr="00A453CB" w:rsidTr="00985775">
        <w:tc>
          <w:tcPr>
            <w:tcW w:w="3652" w:type="dxa"/>
          </w:tcPr>
          <w:p w:rsidR="00995BE0" w:rsidRPr="00A453CB" w:rsidRDefault="00995BE0" w:rsidP="00985775">
            <w:r w:rsidRPr="00A453CB">
              <w:rPr>
                <w:sz w:val="22"/>
                <w:szCs w:val="22"/>
              </w:rPr>
              <w:lastRenderedPageBreak/>
              <w:t>4. Apgyvendinimo ir kitas (ne maitinimo) paslaugas teikiantys darbuotojai (bendrabučių, viešbučių, pensionų, vaikų ir suaugusiųjų globos įstaigų, nakvynės namų, kaimo turizmo sodybų ir kiti susiję su apgyvendinimu, darbuotojai bei teikiantys pagalbą namuose, pirčių, baseinų, saunų, plaukų priežiūros, veido ir kūno priežiūros, nagų priežiūros, tatuiravimo, ilgalaikio (permanentinio) makiažo, papuošalų vėrimo ir kitas grožio bei sveikatingumo paslaugas teikiantys darbuotojai)</w:t>
            </w:r>
          </w:p>
          <w:p w:rsidR="00995BE0" w:rsidRPr="00A453CB" w:rsidRDefault="00995BE0" w:rsidP="00985775"/>
        </w:tc>
        <w:tc>
          <w:tcPr>
            <w:tcW w:w="6521" w:type="dxa"/>
          </w:tcPr>
          <w:p w:rsidR="00995BE0" w:rsidRPr="00A453CB" w:rsidRDefault="00995BE0" w:rsidP="00985775">
            <w:r w:rsidRPr="00A453CB">
              <w:rPr>
                <w:sz w:val="22"/>
                <w:szCs w:val="22"/>
              </w:rPr>
              <w:t>4.1. Teritorijos ir patalpų naudojimo higiena (patalpų vėdinimo, šildymo, apšvietimo, vandentiekio ir kanalizacijos, teritorijos ir patalpų valymo ir dezinfekcijos, buities atliekų surinkimo ir išvežimo reikalavimai)</w:t>
            </w:r>
          </w:p>
          <w:p w:rsidR="00995BE0" w:rsidRPr="00A453CB" w:rsidRDefault="00995BE0" w:rsidP="00985775">
            <w:r w:rsidRPr="00A453CB">
              <w:rPr>
                <w:sz w:val="22"/>
                <w:szCs w:val="22"/>
              </w:rPr>
              <w:t>4.2. Pūslelinės, niežų, pedikuliozės, grybelinių ir bakterinių odos ligų profilaktika</w:t>
            </w:r>
          </w:p>
          <w:p w:rsidR="00995BE0" w:rsidRPr="00A453CB" w:rsidRDefault="00995BE0" w:rsidP="00985775">
            <w:r w:rsidRPr="00A453CB">
              <w:rPr>
                <w:sz w:val="22"/>
                <w:szCs w:val="22"/>
              </w:rPr>
              <w:t>4.3. Ypač pavojingų infekcijų, užkrečiamųjų kvėpavimo sistemos ir virškinimo sistemos ligų profilaktika</w:t>
            </w:r>
          </w:p>
          <w:p w:rsidR="00995BE0" w:rsidRPr="00A453CB" w:rsidRDefault="00995BE0" w:rsidP="00985775">
            <w:r w:rsidRPr="00A453CB">
              <w:rPr>
                <w:sz w:val="22"/>
                <w:szCs w:val="22"/>
              </w:rPr>
              <w:t>4.4. Darbo drabužių higienos reikalavimai, profilaktinio sveikatos tikrinimo ir skiepų reikšmė ligų profilaktikai</w:t>
            </w:r>
          </w:p>
          <w:p w:rsidR="00995BE0" w:rsidRPr="00A453CB" w:rsidRDefault="00995BE0" w:rsidP="00985775">
            <w:r w:rsidRPr="00A453CB">
              <w:rPr>
                <w:sz w:val="22"/>
                <w:szCs w:val="22"/>
              </w:rPr>
              <w:t>4.5. Triukšmo, vibracijos ir kitų profesinės rizikos veiksnių įtaka sveikatai, profilaktikos priemonės</w:t>
            </w:r>
          </w:p>
          <w:p w:rsidR="00995BE0" w:rsidRPr="00A453CB" w:rsidRDefault="00995BE0" w:rsidP="00985775">
            <w:r w:rsidRPr="00A453CB">
              <w:rPr>
                <w:sz w:val="22"/>
                <w:szCs w:val="22"/>
              </w:rPr>
              <w:t>4.6. Geriamojo, prausimuisi naudojamo ir maudyklų vandens higienos reikalavimai</w:t>
            </w:r>
          </w:p>
          <w:p w:rsidR="00995BE0" w:rsidRPr="00A453CB" w:rsidRDefault="00995BE0" w:rsidP="00985775">
            <w:pPr>
              <w:rPr>
                <w:spacing w:val="-4"/>
              </w:rPr>
            </w:pPr>
            <w:r w:rsidRPr="00A453CB">
              <w:rPr>
                <w:spacing w:val="-4"/>
                <w:sz w:val="22"/>
                <w:szCs w:val="22"/>
              </w:rPr>
              <w:t>4.7. Vandens, skalbinių ir darbo įrankių dezinfekcijos įgūdžių formavimas</w:t>
            </w:r>
          </w:p>
          <w:p w:rsidR="00995BE0" w:rsidRPr="00A453CB" w:rsidRDefault="00995BE0" w:rsidP="00985775">
            <w:r w:rsidRPr="00A453CB">
              <w:rPr>
                <w:sz w:val="22"/>
                <w:szCs w:val="22"/>
              </w:rPr>
              <w:t>4.8. Asmeninės higienos įgūdžių formavimas</w:t>
            </w:r>
          </w:p>
          <w:p w:rsidR="00995BE0" w:rsidRPr="00A453CB" w:rsidRDefault="00995BE0" w:rsidP="00985775">
            <w:r w:rsidRPr="00A453CB">
              <w:rPr>
                <w:sz w:val="22"/>
                <w:szCs w:val="22"/>
              </w:rPr>
              <w:t>4.9. Lytiškai plintančių ligų, ŽIV/AIDS, hepatito B ir hepatito C profilaktika</w:t>
            </w:r>
          </w:p>
          <w:p w:rsidR="00995BE0" w:rsidRPr="00A453CB" w:rsidRDefault="00995BE0" w:rsidP="00985775">
            <w:r w:rsidRPr="00A453CB">
              <w:rPr>
                <w:sz w:val="22"/>
                <w:szCs w:val="22"/>
              </w:rPr>
              <w:t>4.10. Rūkymo, alkoholio ir narkotikų žala žmogaus sveikatai, priklausomybių profilaktikos priemonės</w:t>
            </w:r>
          </w:p>
        </w:tc>
        <w:tc>
          <w:tcPr>
            <w:tcW w:w="1701" w:type="dxa"/>
          </w:tcPr>
          <w:p w:rsidR="00995BE0" w:rsidRPr="00A453CB" w:rsidRDefault="00995BE0" w:rsidP="00985775">
            <w:pPr>
              <w:jc w:val="center"/>
            </w:pPr>
            <w:r w:rsidRPr="00A453CB">
              <w:rPr>
                <w:sz w:val="22"/>
                <w:szCs w:val="22"/>
              </w:rPr>
              <w:t>6</w:t>
            </w:r>
          </w:p>
        </w:tc>
        <w:tc>
          <w:tcPr>
            <w:tcW w:w="2345" w:type="dxa"/>
          </w:tcPr>
          <w:p w:rsidR="00995BE0" w:rsidRPr="00A453CB" w:rsidRDefault="00995BE0" w:rsidP="00985775">
            <w:pPr>
              <w:jc w:val="both"/>
            </w:pPr>
            <w:r w:rsidRPr="00A453CB">
              <w:rPr>
                <w:sz w:val="22"/>
                <w:szCs w:val="22"/>
              </w:rPr>
              <w:t>Prieš pradėdami dirbti ir kas treji metai</w:t>
            </w:r>
          </w:p>
        </w:tc>
      </w:tr>
      <w:tr w:rsidR="00995BE0" w:rsidRPr="00A453CB" w:rsidTr="00985775">
        <w:tc>
          <w:tcPr>
            <w:tcW w:w="3652" w:type="dxa"/>
          </w:tcPr>
          <w:p w:rsidR="00995BE0" w:rsidRPr="00A453CB" w:rsidRDefault="00995BE0" w:rsidP="00985775">
            <w:r w:rsidRPr="00A453CB">
              <w:rPr>
                <w:sz w:val="22"/>
                <w:szCs w:val="22"/>
              </w:rPr>
              <w:t xml:space="preserve">5. Formaliojo ir neformaliojo švietimo </w:t>
            </w:r>
            <w:r w:rsidRPr="00A453CB">
              <w:rPr>
                <w:sz w:val="22"/>
                <w:szCs w:val="22"/>
              </w:rPr>
              <w:lastRenderedPageBreak/>
              <w:t>bei ugdymo įstaigų (ikimokyklinio ugdymo, formaliojo ir neformaliojo švietimo, kvalifikacijos tobulinimo įstaigų, mokyklų, psichologinių ir pedagoginių tarnybų) darbuotojai</w:t>
            </w:r>
          </w:p>
          <w:p w:rsidR="00995BE0" w:rsidRPr="00A453CB" w:rsidRDefault="00995BE0" w:rsidP="00985775"/>
        </w:tc>
        <w:tc>
          <w:tcPr>
            <w:tcW w:w="6521" w:type="dxa"/>
          </w:tcPr>
          <w:p w:rsidR="00995BE0" w:rsidRPr="00A453CB" w:rsidRDefault="00995BE0" w:rsidP="00985775">
            <w:r w:rsidRPr="00A453CB">
              <w:rPr>
                <w:sz w:val="22"/>
                <w:szCs w:val="22"/>
              </w:rPr>
              <w:lastRenderedPageBreak/>
              <w:t xml:space="preserve">5.1. Švietimo ir ugdymo įstaigų teritorijos, patalpų priežiūros ir </w:t>
            </w:r>
            <w:r w:rsidRPr="00A453CB">
              <w:rPr>
                <w:sz w:val="22"/>
                <w:szCs w:val="22"/>
              </w:rPr>
              <w:lastRenderedPageBreak/>
              <w:t>naudojimo (vėdinimo, apšvietimo, šildymo, vandentiekio ir kanalizacijos, valymo ir dezinfekcijos), mokymo inventoriaus ir žaislų higienos reikalavimai</w:t>
            </w:r>
          </w:p>
          <w:p w:rsidR="00995BE0" w:rsidRPr="00A453CB" w:rsidRDefault="00995BE0" w:rsidP="00985775">
            <w:r w:rsidRPr="00A453CB">
              <w:rPr>
                <w:sz w:val="22"/>
                <w:szCs w:val="22"/>
              </w:rPr>
              <w:t>5.2. Ikimokyklinio amžiaus vaikų ir mokinių mitybos higiena (maisto priėmimas, gamyba, išdalijimas, indų, įrankių, inventoriaus plovimas, dezinfekcija ir kt.), sveikos mitybos rekomendacijos</w:t>
            </w:r>
          </w:p>
          <w:p w:rsidR="00995BE0" w:rsidRPr="00A453CB" w:rsidRDefault="00995BE0" w:rsidP="00985775">
            <w:r w:rsidRPr="00A453CB">
              <w:rPr>
                <w:sz w:val="22"/>
                <w:szCs w:val="22"/>
              </w:rPr>
              <w:t>5.3. Vaikų asmens higiena. Higienos reikalavimai, taikomi mokymo procesui</w:t>
            </w:r>
          </w:p>
          <w:p w:rsidR="00995BE0" w:rsidRPr="00A453CB" w:rsidRDefault="00995BE0" w:rsidP="00985775">
            <w:r w:rsidRPr="00A453CB">
              <w:rPr>
                <w:sz w:val="22"/>
                <w:szCs w:val="22"/>
              </w:rPr>
              <w:t>5.4. Užkrečiamųjų kvėpavimo sistemos ligų profilaktika</w:t>
            </w:r>
          </w:p>
          <w:p w:rsidR="00995BE0" w:rsidRPr="00A453CB" w:rsidRDefault="00995BE0" w:rsidP="00985775">
            <w:r w:rsidRPr="00A453CB">
              <w:rPr>
                <w:sz w:val="22"/>
                <w:szCs w:val="22"/>
              </w:rPr>
              <w:t>5.5. Užkrečiamųjų žarnyno ligų, apsinuodijimo maistu profilaktika</w:t>
            </w:r>
          </w:p>
          <w:p w:rsidR="00995BE0" w:rsidRPr="00A453CB" w:rsidRDefault="00995BE0" w:rsidP="00985775">
            <w:r w:rsidRPr="00A453CB">
              <w:rPr>
                <w:sz w:val="22"/>
                <w:szCs w:val="22"/>
              </w:rPr>
              <w:t>5.6. Užkrečiamųjų odos ligų profilaktika</w:t>
            </w:r>
          </w:p>
          <w:p w:rsidR="00995BE0" w:rsidRPr="00A453CB" w:rsidRDefault="00995BE0" w:rsidP="00985775">
            <w:r w:rsidRPr="00A453CB">
              <w:rPr>
                <w:sz w:val="22"/>
                <w:szCs w:val="22"/>
              </w:rPr>
              <w:t>5.7. Personalo asmens higienos reikalavimai, profilaktinių sveikatos tikrinimų, skiepų svarba</w:t>
            </w:r>
          </w:p>
          <w:p w:rsidR="00995BE0" w:rsidRPr="00A453CB" w:rsidRDefault="00995BE0" w:rsidP="00985775">
            <w:r w:rsidRPr="00A453CB">
              <w:rPr>
                <w:sz w:val="22"/>
                <w:szCs w:val="22"/>
              </w:rPr>
              <w:t>5.8. Lytiškai plintančių ligų ir ŽIV/AIDS, hepatito B ir hepatito C profilaktika</w:t>
            </w:r>
          </w:p>
          <w:p w:rsidR="00995BE0" w:rsidRPr="00A453CB" w:rsidRDefault="00995BE0" w:rsidP="00985775">
            <w:r w:rsidRPr="00A453CB">
              <w:rPr>
                <w:sz w:val="22"/>
                <w:szCs w:val="22"/>
              </w:rPr>
              <w:t>5.9. Rūkymo, alkoholio ir narkotikų žala žmogaus sveikatai, priklausomybių profilaktikos priemonės</w:t>
            </w:r>
          </w:p>
        </w:tc>
        <w:tc>
          <w:tcPr>
            <w:tcW w:w="1701" w:type="dxa"/>
          </w:tcPr>
          <w:p w:rsidR="00995BE0" w:rsidRPr="00A453CB" w:rsidRDefault="00995BE0" w:rsidP="00985775">
            <w:pPr>
              <w:jc w:val="center"/>
            </w:pPr>
            <w:r w:rsidRPr="00A453CB">
              <w:rPr>
                <w:sz w:val="22"/>
                <w:szCs w:val="22"/>
              </w:rPr>
              <w:lastRenderedPageBreak/>
              <w:t>6</w:t>
            </w:r>
          </w:p>
        </w:tc>
        <w:tc>
          <w:tcPr>
            <w:tcW w:w="2345" w:type="dxa"/>
          </w:tcPr>
          <w:p w:rsidR="00995BE0" w:rsidRPr="00A453CB" w:rsidRDefault="00995BE0" w:rsidP="00985775">
            <w:pPr>
              <w:jc w:val="both"/>
            </w:pPr>
            <w:r w:rsidRPr="00A453CB">
              <w:rPr>
                <w:sz w:val="22"/>
                <w:szCs w:val="22"/>
              </w:rPr>
              <w:t xml:space="preserve">Pirmaisiais darbo metais ir kas </w:t>
            </w:r>
            <w:r w:rsidRPr="00A453CB">
              <w:rPr>
                <w:sz w:val="22"/>
                <w:szCs w:val="22"/>
              </w:rPr>
              <w:lastRenderedPageBreak/>
              <w:t>penkeri metai</w:t>
            </w:r>
          </w:p>
        </w:tc>
      </w:tr>
      <w:tr w:rsidR="00995BE0" w:rsidRPr="00A453CB" w:rsidTr="00985775">
        <w:tc>
          <w:tcPr>
            <w:tcW w:w="3652" w:type="dxa"/>
          </w:tcPr>
          <w:p w:rsidR="00995BE0" w:rsidRPr="00A453CB" w:rsidRDefault="00995BE0" w:rsidP="00985775">
            <w:r w:rsidRPr="00A453CB">
              <w:rPr>
                <w:sz w:val="22"/>
                <w:szCs w:val="22"/>
              </w:rPr>
              <w:lastRenderedPageBreak/>
              <w:t>6. Darbuotojai, dirbantys galimos profesinės rizikos sąlygomis (kenksmingų veiksnių aplinkoje ir pavojingą darbą)</w:t>
            </w:r>
          </w:p>
          <w:p w:rsidR="00995BE0" w:rsidRPr="00A453CB" w:rsidRDefault="00995BE0" w:rsidP="00985775"/>
        </w:tc>
        <w:tc>
          <w:tcPr>
            <w:tcW w:w="6521" w:type="dxa"/>
          </w:tcPr>
          <w:p w:rsidR="00995BE0" w:rsidRPr="00A453CB" w:rsidRDefault="00995BE0" w:rsidP="00985775">
            <w:r w:rsidRPr="00A453CB">
              <w:rPr>
                <w:sz w:val="22"/>
                <w:szCs w:val="22"/>
              </w:rPr>
              <w:t>6.1. Cheminiai, fiziniai, biologiniai, ergonominiai (psichofiziologiniai) darbo aplinkos profesinės rizikos veiksniai</w:t>
            </w:r>
          </w:p>
          <w:p w:rsidR="00995BE0" w:rsidRPr="00A453CB" w:rsidRDefault="00995BE0" w:rsidP="00985775">
            <w:r w:rsidRPr="00A453CB">
              <w:rPr>
                <w:sz w:val="22"/>
                <w:szCs w:val="22"/>
              </w:rPr>
              <w:t>6.2. Vyraujantys profesinės rizikos veiksniai (veikiantys tam tikros profesijos darbuotojų grupes)</w:t>
            </w:r>
          </w:p>
          <w:p w:rsidR="00995BE0" w:rsidRPr="00A453CB" w:rsidRDefault="00995BE0" w:rsidP="00985775">
            <w:r w:rsidRPr="00A453CB">
              <w:rPr>
                <w:sz w:val="22"/>
                <w:szCs w:val="22"/>
              </w:rPr>
              <w:t>6.3. Leidžiamos (pagal galiojančias higienos normas) profesinės rizikos veiksnių vertės</w:t>
            </w:r>
          </w:p>
          <w:p w:rsidR="00995BE0" w:rsidRPr="00A453CB" w:rsidRDefault="00995BE0" w:rsidP="00985775">
            <w:r w:rsidRPr="00A453CB">
              <w:rPr>
                <w:sz w:val="22"/>
                <w:szCs w:val="22"/>
              </w:rPr>
              <w:t>6.4. Profesinės rizikos veiksnių poveikis darbuotojo sveikatai, profesinių ligų samprata</w:t>
            </w:r>
          </w:p>
          <w:p w:rsidR="00995BE0" w:rsidRPr="00A453CB" w:rsidRDefault="00995BE0" w:rsidP="00985775">
            <w:r w:rsidRPr="00A453CB">
              <w:rPr>
                <w:sz w:val="22"/>
                <w:szCs w:val="22"/>
              </w:rPr>
              <w:t>6.5. Bendrosios ir asmens profilaktikos priemonių naudojimo įgūdžių formavimas</w:t>
            </w:r>
          </w:p>
        </w:tc>
        <w:tc>
          <w:tcPr>
            <w:tcW w:w="1701" w:type="dxa"/>
          </w:tcPr>
          <w:p w:rsidR="00995BE0" w:rsidRPr="00A453CB" w:rsidRDefault="00995BE0" w:rsidP="00985775">
            <w:pPr>
              <w:jc w:val="center"/>
            </w:pPr>
            <w:r w:rsidRPr="00A453CB">
              <w:rPr>
                <w:sz w:val="22"/>
                <w:szCs w:val="22"/>
              </w:rPr>
              <w:t>6</w:t>
            </w:r>
          </w:p>
        </w:tc>
        <w:tc>
          <w:tcPr>
            <w:tcW w:w="2345" w:type="dxa"/>
          </w:tcPr>
          <w:p w:rsidR="00995BE0" w:rsidRPr="00A453CB" w:rsidRDefault="00995BE0" w:rsidP="00985775">
            <w:pPr>
              <w:jc w:val="both"/>
            </w:pPr>
            <w:r w:rsidRPr="00A453CB">
              <w:rPr>
                <w:sz w:val="22"/>
                <w:szCs w:val="22"/>
              </w:rPr>
              <w:t>Prieš pradėdami dirbti ir kas penkeri metai</w:t>
            </w:r>
          </w:p>
        </w:tc>
      </w:tr>
      <w:tr w:rsidR="00995BE0" w:rsidRPr="00A453CB" w:rsidTr="00985775">
        <w:tc>
          <w:tcPr>
            <w:tcW w:w="3652" w:type="dxa"/>
          </w:tcPr>
          <w:p w:rsidR="00995BE0" w:rsidRPr="00A453CB" w:rsidRDefault="00995BE0" w:rsidP="00985775">
            <w:r w:rsidRPr="00A453CB">
              <w:rPr>
                <w:sz w:val="22"/>
                <w:szCs w:val="22"/>
              </w:rPr>
              <w:t>7. Darbuotojai, kurių veikla susijusi su nuodingosiomis medžiagomis</w:t>
            </w:r>
          </w:p>
          <w:p w:rsidR="00995BE0" w:rsidRPr="00A453CB" w:rsidRDefault="00995BE0" w:rsidP="00985775"/>
        </w:tc>
        <w:tc>
          <w:tcPr>
            <w:tcW w:w="6521" w:type="dxa"/>
          </w:tcPr>
          <w:p w:rsidR="00995BE0" w:rsidRPr="00A453CB" w:rsidRDefault="00995BE0" w:rsidP="00985775">
            <w:r w:rsidRPr="00A453CB">
              <w:rPr>
                <w:sz w:val="22"/>
                <w:szCs w:val="22"/>
              </w:rPr>
              <w:t>7.1. Teisės aktai, reglamentuojantys sveikatos saugą dirbant su nuodingosiomis ir potencialiai nuodingomis medžiagomis</w:t>
            </w:r>
          </w:p>
          <w:p w:rsidR="00995BE0" w:rsidRPr="00A453CB" w:rsidRDefault="00995BE0" w:rsidP="00985775">
            <w:r w:rsidRPr="00A453CB">
              <w:rPr>
                <w:sz w:val="22"/>
                <w:szCs w:val="22"/>
              </w:rPr>
              <w:t>7.2. Nuodingųjų medžiagų klasifikacija, jų savybės, poveikis aplinkai ir žmogaus sveikatai</w:t>
            </w:r>
          </w:p>
          <w:p w:rsidR="00995BE0" w:rsidRPr="00A453CB" w:rsidRDefault="00995BE0" w:rsidP="00985775">
            <w:r w:rsidRPr="00A453CB">
              <w:rPr>
                <w:sz w:val="22"/>
                <w:szCs w:val="22"/>
              </w:rPr>
              <w:t xml:space="preserve">7.3. Rizikos veiksniai, veikiantys dirbančiuosius su nuodingosiomis medžiagomis, profilaktinių sveikatos </w:t>
            </w:r>
            <w:r w:rsidRPr="00A453CB">
              <w:rPr>
                <w:sz w:val="22"/>
                <w:szCs w:val="22"/>
              </w:rPr>
              <w:lastRenderedPageBreak/>
              <w:t>tikrinimų reikšmė lėtinių apsinuodijimų ir ligų profilaktikai</w:t>
            </w:r>
          </w:p>
          <w:p w:rsidR="00995BE0" w:rsidRPr="00A453CB" w:rsidRDefault="00995BE0" w:rsidP="00985775">
            <w:r w:rsidRPr="00A453CB">
              <w:rPr>
                <w:sz w:val="22"/>
                <w:szCs w:val="22"/>
              </w:rPr>
              <w:t>7.4. Prevencinės priemonės nuodingųjų medžiagų saugai užtikrinti</w:t>
            </w:r>
          </w:p>
          <w:p w:rsidR="00995BE0" w:rsidRPr="00A453CB" w:rsidRDefault="00995BE0" w:rsidP="00985775">
            <w:r w:rsidRPr="00A453CB">
              <w:rPr>
                <w:sz w:val="22"/>
                <w:szCs w:val="22"/>
              </w:rPr>
              <w:t>7.5. Asmens higienos ir saugaus darbo su nuodingosiomis medžiagomis įgūdžių formavimas</w:t>
            </w:r>
          </w:p>
        </w:tc>
        <w:tc>
          <w:tcPr>
            <w:tcW w:w="1701" w:type="dxa"/>
          </w:tcPr>
          <w:p w:rsidR="00995BE0" w:rsidRPr="00A453CB" w:rsidRDefault="00995BE0" w:rsidP="00985775">
            <w:pPr>
              <w:jc w:val="center"/>
            </w:pPr>
            <w:r w:rsidRPr="00A453CB">
              <w:rPr>
                <w:sz w:val="22"/>
                <w:szCs w:val="22"/>
              </w:rPr>
              <w:lastRenderedPageBreak/>
              <w:t>28</w:t>
            </w:r>
          </w:p>
        </w:tc>
        <w:tc>
          <w:tcPr>
            <w:tcW w:w="2345" w:type="dxa"/>
          </w:tcPr>
          <w:p w:rsidR="00995BE0" w:rsidRPr="00A453CB" w:rsidRDefault="00995BE0" w:rsidP="00985775">
            <w:pPr>
              <w:jc w:val="both"/>
            </w:pPr>
            <w:r w:rsidRPr="00A453CB">
              <w:rPr>
                <w:sz w:val="22"/>
                <w:szCs w:val="22"/>
              </w:rPr>
              <w:t>Prieš pradėdami dirbti ir kas penkeri metai</w:t>
            </w:r>
          </w:p>
        </w:tc>
      </w:tr>
      <w:tr w:rsidR="00995BE0" w:rsidRPr="00A453CB" w:rsidTr="00985775">
        <w:tc>
          <w:tcPr>
            <w:tcW w:w="3652" w:type="dxa"/>
          </w:tcPr>
          <w:p w:rsidR="00995BE0" w:rsidRPr="00A453CB" w:rsidRDefault="00995BE0" w:rsidP="00985775">
            <w:r w:rsidRPr="00A453CB">
              <w:rPr>
                <w:sz w:val="22"/>
                <w:szCs w:val="22"/>
              </w:rPr>
              <w:lastRenderedPageBreak/>
              <w:t>8. Darbuotojai, kurių veikla susijusi su medicininių atliekų tvarkymu sveikatos priežiūros įstaigose</w:t>
            </w:r>
          </w:p>
          <w:p w:rsidR="00995BE0" w:rsidRPr="00A453CB" w:rsidRDefault="00995BE0" w:rsidP="00985775"/>
        </w:tc>
        <w:tc>
          <w:tcPr>
            <w:tcW w:w="6521" w:type="dxa"/>
          </w:tcPr>
          <w:p w:rsidR="00995BE0" w:rsidRPr="00A453CB" w:rsidRDefault="00995BE0" w:rsidP="00985775">
            <w:r w:rsidRPr="00A453CB">
              <w:rPr>
                <w:sz w:val="22"/>
                <w:szCs w:val="22"/>
              </w:rPr>
              <w:t>8.1. Teisės aktai, reglamentuojantys medicininių atliekų tvarkymą</w:t>
            </w:r>
          </w:p>
          <w:p w:rsidR="00995BE0" w:rsidRPr="00A453CB" w:rsidRDefault="00995BE0" w:rsidP="00985775">
            <w:r w:rsidRPr="00A453CB">
              <w:rPr>
                <w:sz w:val="22"/>
                <w:szCs w:val="22"/>
              </w:rPr>
              <w:t>8.2. Medicininių atliekų tvarkymo sistema (atliekų klasifikacija, surinkimo ir šalinimo būdai)</w:t>
            </w:r>
          </w:p>
          <w:p w:rsidR="00995BE0" w:rsidRPr="00A453CB" w:rsidRDefault="00995BE0" w:rsidP="00985775">
            <w:r w:rsidRPr="00A453CB">
              <w:rPr>
                <w:sz w:val="22"/>
                <w:szCs w:val="22"/>
              </w:rPr>
              <w:t>8.3. Medicininių atliekų surinkimo, rūšiavimo, pakavimo, ženklinimo, saugojimo, kenksmingumo pašalinimo, apskaitos dokumentų pildymo įgūdžių formavimas</w:t>
            </w:r>
          </w:p>
          <w:p w:rsidR="00995BE0" w:rsidRPr="00A453CB" w:rsidRDefault="00995BE0" w:rsidP="00985775">
            <w:r w:rsidRPr="00A453CB">
              <w:rPr>
                <w:sz w:val="22"/>
                <w:szCs w:val="22"/>
              </w:rPr>
              <w:t>8.4. Darbuotojų sveikatos stebėjimas, kraujo infekcijų (hepatito B, hepatito C, ŽIV/AIDS ir kt.) profilaktika</w:t>
            </w:r>
          </w:p>
          <w:p w:rsidR="00995BE0" w:rsidRPr="00A453CB" w:rsidRDefault="00995BE0" w:rsidP="00985775">
            <w:r w:rsidRPr="00A453CB">
              <w:rPr>
                <w:sz w:val="22"/>
                <w:szCs w:val="22"/>
              </w:rPr>
              <w:t>8.5. Kolektyvinės ir asmeninės apsaugos priemonės, saugaus darbo įgūdžių formavimas</w:t>
            </w:r>
          </w:p>
        </w:tc>
        <w:tc>
          <w:tcPr>
            <w:tcW w:w="1701" w:type="dxa"/>
          </w:tcPr>
          <w:p w:rsidR="00995BE0" w:rsidRPr="00A453CB" w:rsidRDefault="00995BE0" w:rsidP="00985775">
            <w:pPr>
              <w:jc w:val="center"/>
            </w:pPr>
            <w:r w:rsidRPr="00A453CB">
              <w:rPr>
                <w:sz w:val="22"/>
                <w:szCs w:val="22"/>
              </w:rPr>
              <w:t>8</w:t>
            </w:r>
          </w:p>
        </w:tc>
        <w:tc>
          <w:tcPr>
            <w:tcW w:w="2345" w:type="dxa"/>
          </w:tcPr>
          <w:p w:rsidR="00995BE0" w:rsidRPr="00A453CB" w:rsidRDefault="00995BE0" w:rsidP="00985775">
            <w:pPr>
              <w:jc w:val="both"/>
            </w:pPr>
            <w:r w:rsidRPr="00A453CB">
              <w:rPr>
                <w:sz w:val="22"/>
                <w:szCs w:val="22"/>
              </w:rPr>
              <w:t>Prieš pradėdami dirbti</w:t>
            </w:r>
          </w:p>
        </w:tc>
      </w:tr>
    </w:tbl>
    <w:p w:rsidR="00995BE0" w:rsidRPr="001D71BB" w:rsidRDefault="00995BE0" w:rsidP="008E467F">
      <w:pPr>
        <w:spacing w:line="360" w:lineRule="auto"/>
        <w:rPr>
          <w:sz w:val="20"/>
        </w:rPr>
      </w:pPr>
    </w:p>
    <w:p w:rsidR="00995BE0" w:rsidRPr="00287C05" w:rsidRDefault="00995BE0" w:rsidP="008E467F">
      <w:pPr>
        <w:spacing w:line="360" w:lineRule="auto"/>
        <w:jc w:val="right"/>
        <w:rPr>
          <w:b/>
        </w:rPr>
      </w:pPr>
      <w:r w:rsidRPr="00287C05">
        <w:rPr>
          <w:b/>
        </w:rPr>
        <w:t>2 lentelė</w:t>
      </w:r>
    </w:p>
    <w:p w:rsidR="00995BE0" w:rsidRPr="001D71BB" w:rsidRDefault="00995BE0" w:rsidP="008E467F">
      <w:pPr>
        <w:jc w:val="center"/>
        <w:rPr>
          <w:b/>
          <w:sz w:val="20"/>
        </w:rPr>
      </w:pPr>
      <w:r w:rsidRPr="001D71BB">
        <w:rPr>
          <w:b/>
          <w:sz w:val="20"/>
        </w:rPr>
        <w:t>PRIVALOMOJO MOKYMO APIE ALKOHOLIO IR NARKOTIKŲ ŽALĄ ŽMOGAUS SVEIKATAI MOKYMO PROGRAMA</w:t>
      </w:r>
    </w:p>
    <w:p w:rsidR="00995BE0" w:rsidRPr="001D71BB" w:rsidRDefault="00995BE0" w:rsidP="008E467F">
      <w:pPr>
        <w:spacing w:line="360"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3449"/>
        <w:gridCol w:w="1732"/>
        <w:gridCol w:w="2023"/>
      </w:tblGrid>
      <w:tr w:rsidR="00995BE0" w:rsidRPr="00287C05" w:rsidTr="00985775">
        <w:trPr>
          <w:tblHeader/>
        </w:trPr>
        <w:tc>
          <w:tcPr>
            <w:tcW w:w="4428" w:type="dxa"/>
          </w:tcPr>
          <w:p w:rsidR="00995BE0" w:rsidRPr="00287C05" w:rsidRDefault="00995BE0" w:rsidP="00985775">
            <w:pPr>
              <w:jc w:val="center"/>
            </w:pPr>
            <w:r w:rsidRPr="00287C05">
              <w:rPr>
                <w:sz w:val="22"/>
                <w:szCs w:val="22"/>
              </w:rPr>
              <w:t>Asmenys, kuriems privalomas pirmosios pagalbos mokymas</w:t>
            </w:r>
          </w:p>
          <w:p w:rsidR="00995BE0" w:rsidRPr="00287C05" w:rsidRDefault="00995BE0" w:rsidP="00985775">
            <w:pPr>
              <w:jc w:val="center"/>
            </w:pPr>
          </w:p>
        </w:tc>
        <w:tc>
          <w:tcPr>
            <w:tcW w:w="5760" w:type="dxa"/>
          </w:tcPr>
          <w:p w:rsidR="00995BE0" w:rsidRPr="00287C05" w:rsidRDefault="00995BE0" w:rsidP="00985775">
            <w:pPr>
              <w:jc w:val="center"/>
            </w:pPr>
          </w:p>
          <w:p w:rsidR="00995BE0" w:rsidRPr="00287C05" w:rsidRDefault="00995BE0" w:rsidP="00985775">
            <w:pPr>
              <w:jc w:val="center"/>
            </w:pPr>
            <w:r w:rsidRPr="00287C05">
              <w:rPr>
                <w:sz w:val="22"/>
                <w:szCs w:val="22"/>
              </w:rPr>
              <w:t>Mokymo temos</w:t>
            </w:r>
          </w:p>
        </w:tc>
        <w:tc>
          <w:tcPr>
            <w:tcW w:w="1980" w:type="dxa"/>
          </w:tcPr>
          <w:p w:rsidR="00995BE0" w:rsidRPr="00287C05" w:rsidRDefault="00995BE0" w:rsidP="00985775">
            <w:pPr>
              <w:jc w:val="center"/>
            </w:pPr>
            <w:r w:rsidRPr="00287C05">
              <w:rPr>
                <w:sz w:val="22"/>
                <w:szCs w:val="22"/>
              </w:rPr>
              <w:t>Mokymo trukmė</w:t>
            </w:r>
          </w:p>
          <w:p w:rsidR="00995BE0" w:rsidRPr="00287C05" w:rsidRDefault="00995BE0" w:rsidP="00985775">
            <w:pPr>
              <w:jc w:val="center"/>
            </w:pPr>
            <w:r w:rsidRPr="00287C05">
              <w:rPr>
                <w:sz w:val="22"/>
                <w:szCs w:val="22"/>
              </w:rPr>
              <w:t>(akademinėmis valandomis)</w:t>
            </w:r>
          </w:p>
        </w:tc>
        <w:tc>
          <w:tcPr>
            <w:tcW w:w="2618" w:type="dxa"/>
          </w:tcPr>
          <w:p w:rsidR="00995BE0" w:rsidRPr="00287C05" w:rsidRDefault="00995BE0" w:rsidP="00985775">
            <w:pPr>
              <w:jc w:val="center"/>
            </w:pPr>
            <w:r w:rsidRPr="00287C05">
              <w:rPr>
                <w:sz w:val="22"/>
                <w:szCs w:val="22"/>
              </w:rPr>
              <w:t>Mokymo periodiškumas ir organizavimas*</w:t>
            </w:r>
          </w:p>
        </w:tc>
      </w:tr>
      <w:tr w:rsidR="00995BE0" w:rsidRPr="00287C05" w:rsidTr="00985775">
        <w:trPr>
          <w:tblHeader/>
        </w:trPr>
        <w:tc>
          <w:tcPr>
            <w:tcW w:w="4428" w:type="dxa"/>
          </w:tcPr>
          <w:p w:rsidR="00995BE0" w:rsidRPr="00287C05" w:rsidRDefault="00995BE0" w:rsidP="00985775">
            <w:pPr>
              <w:jc w:val="center"/>
            </w:pPr>
            <w:r w:rsidRPr="00287C05">
              <w:rPr>
                <w:sz w:val="22"/>
                <w:szCs w:val="22"/>
              </w:rPr>
              <w:t>1</w:t>
            </w:r>
          </w:p>
        </w:tc>
        <w:tc>
          <w:tcPr>
            <w:tcW w:w="5760" w:type="dxa"/>
          </w:tcPr>
          <w:p w:rsidR="00995BE0" w:rsidRPr="00287C05" w:rsidRDefault="00995BE0" w:rsidP="00985775">
            <w:pPr>
              <w:jc w:val="center"/>
            </w:pPr>
            <w:r w:rsidRPr="00287C05">
              <w:rPr>
                <w:sz w:val="22"/>
                <w:szCs w:val="22"/>
              </w:rPr>
              <w:t>2</w:t>
            </w:r>
          </w:p>
        </w:tc>
        <w:tc>
          <w:tcPr>
            <w:tcW w:w="1980" w:type="dxa"/>
          </w:tcPr>
          <w:p w:rsidR="00995BE0" w:rsidRPr="00287C05" w:rsidRDefault="00995BE0" w:rsidP="00985775">
            <w:pPr>
              <w:jc w:val="center"/>
            </w:pPr>
            <w:r w:rsidRPr="00287C05">
              <w:rPr>
                <w:sz w:val="22"/>
                <w:szCs w:val="22"/>
              </w:rPr>
              <w:t>3</w:t>
            </w:r>
          </w:p>
        </w:tc>
        <w:tc>
          <w:tcPr>
            <w:tcW w:w="2618" w:type="dxa"/>
          </w:tcPr>
          <w:p w:rsidR="00995BE0" w:rsidRPr="00287C05" w:rsidRDefault="00995BE0" w:rsidP="00985775">
            <w:pPr>
              <w:jc w:val="center"/>
            </w:pPr>
            <w:r w:rsidRPr="00287C05">
              <w:rPr>
                <w:sz w:val="22"/>
                <w:szCs w:val="22"/>
              </w:rPr>
              <w:t>4</w:t>
            </w:r>
          </w:p>
        </w:tc>
      </w:tr>
      <w:tr w:rsidR="00995BE0" w:rsidRPr="00287C05" w:rsidTr="00985775">
        <w:tc>
          <w:tcPr>
            <w:tcW w:w="4428" w:type="dxa"/>
          </w:tcPr>
          <w:p w:rsidR="00995BE0" w:rsidRPr="00287C05" w:rsidRDefault="00995BE0" w:rsidP="00985775">
            <w:r w:rsidRPr="00287C05">
              <w:rPr>
                <w:sz w:val="22"/>
                <w:szCs w:val="22"/>
              </w:rPr>
              <w:t xml:space="preserve">Asmenys, iš kurių pagal Lietuvos Respublikos įstatymus teisė vairuoti transporto priemonę, teisė skraidyti orlaivio įgulos nariu, atlikti orlaivių techninę priežiūrą, dirbti skrydžių vadovu, teisė medžioti arba žvejoti, teisė vairuoti upių ir mažuosius laivus atimta (gali būti atimta arba dar nėra pasibaigęs specialiosios teisės atėmimo laikas) dėl teisės pažeidimo padarymo esant neblaiviam arba apsvaigusiam nuo </w:t>
            </w:r>
            <w:r w:rsidRPr="00287C05">
              <w:rPr>
                <w:sz w:val="22"/>
                <w:szCs w:val="22"/>
              </w:rPr>
              <w:lastRenderedPageBreak/>
              <w:t>narkotikų, vaistų ar kitų svaigiųjų medžiagų</w:t>
            </w:r>
          </w:p>
          <w:p w:rsidR="00995BE0" w:rsidRPr="00287C05" w:rsidRDefault="00995BE0" w:rsidP="00985775"/>
          <w:p w:rsidR="00995BE0" w:rsidRPr="00287C05" w:rsidRDefault="00995BE0" w:rsidP="00985775"/>
        </w:tc>
        <w:tc>
          <w:tcPr>
            <w:tcW w:w="5760" w:type="dxa"/>
          </w:tcPr>
          <w:p w:rsidR="00995BE0" w:rsidRPr="00287C05" w:rsidRDefault="00995BE0" w:rsidP="00985775">
            <w:r w:rsidRPr="00287C05">
              <w:rPr>
                <w:sz w:val="22"/>
                <w:szCs w:val="22"/>
              </w:rPr>
              <w:lastRenderedPageBreak/>
              <w:t>1. Alkoholio vartojimo žala sveikatai, piktnaudžiavimo juo socialiniai ir teisiniai padariniai</w:t>
            </w:r>
          </w:p>
          <w:p w:rsidR="00995BE0" w:rsidRPr="00287C05" w:rsidRDefault="00995BE0" w:rsidP="00985775">
            <w:r w:rsidRPr="00287C05">
              <w:rPr>
                <w:sz w:val="22"/>
                <w:szCs w:val="22"/>
              </w:rPr>
              <w:t>2. Įstatymai ir kiti teisės aktai, reglamentuojantys alkoholio vartojimo kontrolę</w:t>
            </w:r>
          </w:p>
          <w:p w:rsidR="00995BE0" w:rsidRPr="00287C05" w:rsidRDefault="00995BE0" w:rsidP="00985775">
            <w:r w:rsidRPr="00287C05">
              <w:rPr>
                <w:sz w:val="22"/>
                <w:szCs w:val="22"/>
              </w:rPr>
              <w:t>3. Alkoholio, alkoholio surogatų, gamybos dervų cheminė sudėtis ir poveikis žmogaus sveikatai</w:t>
            </w:r>
          </w:p>
          <w:p w:rsidR="00995BE0" w:rsidRPr="00287C05" w:rsidRDefault="00995BE0" w:rsidP="00985775">
            <w:r w:rsidRPr="00287C05">
              <w:rPr>
                <w:sz w:val="22"/>
                <w:szCs w:val="22"/>
              </w:rPr>
              <w:t>4. Su alkoholio vartojimu ir alkoholizmu susiję neigiami socialiniai padariniai – įtaka vairuojant, nelaimingiems atsitikimams, darbinei veiklai, šeimai, aplinkiniams</w:t>
            </w:r>
          </w:p>
          <w:p w:rsidR="00995BE0" w:rsidRPr="00287C05" w:rsidRDefault="00995BE0" w:rsidP="00985775">
            <w:r w:rsidRPr="00287C05">
              <w:rPr>
                <w:sz w:val="22"/>
                <w:szCs w:val="22"/>
              </w:rPr>
              <w:t>5. Alkoholio vartojimas ir nusikalstamumas</w:t>
            </w:r>
          </w:p>
          <w:p w:rsidR="00995BE0" w:rsidRPr="00287C05" w:rsidRDefault="00995BE0" w:rsidP="00985775">
            <w:r w:rsidRPr="00287C05">
              <w:rPr>
                <w:sz w:val="22"/>
                <w:szCs w:val="22"/>
              </w:rPr>
              <w:lastRenderedPageBreak/>
              <w:t>6. Girtumo laipsniai, apsinuodijimas alkoholiu, alkoholinė koma, tolerancija alkoholiui, priklausomybė, alkoholio poveikis atskiriems organams ir organų sistemoms</w:t>
            </w:r>
          </w:p>
          <w:p w:rsidR="00995BE0" w:rsidRPr="00287C05" w:rsidRDefault="00995BE0" w:rsidP="00985775">
            <w:r w:rsidRPr="00287C05">
              <w:rPr>
                <w:sz w:val="22"/>
                <w:szCs w:val="22"/>
              </w:rPr>
              <w:t>7. Narkotinių, psichotropinių medžiagų ir kitų psichiką veikiančių medžiagų poveikis žmogui ir jo aplinkai</w:t>
            </w:r>
          </w:p>
          <w:p w:rsidR="00995BE0" w:rsidRPr="00287C05" w:rsidRDefault="00995BE0" w:rsidP="00985775">
            <w:r w:rsidRPr="00287C05">
              <w:rPr>
                <w:sz w:val="22"/>
                <w:szCs w:val="22"/>
              </w:rPr>
              <w:t>8. Socialiniai narkotikų vartojimo padariniai ir teisinė atsakomybė</w:t>
            </w:r>
          </w:p>
          <w:p w:rsidR="00995BE0" w:rsidRPr="00287C05" w:rsidRDefault="00995BE0" w:rsidP="00985775">
            <w:r w:rsidRPr="00287C05">
              <w:rPr>
                <w:sz w:val="22"/>
                <w:szCs w:val="22"/>
              </w:rPr>
              <w:t>9. Psichiką veikiančių (narkotinių) medžiagų vartojimo tendencijos, vartojimo požymiai, tolerancija, priklausomybė</w:t>
            </w:r>
          </w:p>
          <w:p w:rsidR="00995BE0" w:rsidRPr="00287C05" w:rsidRDefault="00995BE0" w:rsidP="00985775">
            <w:r w:rsidRPr="00287C05">
              <w:rPr>
                <w:sz w:val="22"/>
                <w:szCs w:val="22"/>
              </w:rPr>
              <w:t>10. Psichiką veikiančių medžiagų vartojimo įtaka elgsenai, psichikos ir fizinei sveikatai (ūmūs ir lėtiniai apsinuodijimai, psichozės, asmenybės sutrikimai, užkrečiamosios ligos, nelaimingi atsitikimai)</w:t>
            </w:r>
          </w:p>
          <w:p w:rsidR="00995BE0" w:rsidRPr="00287C05" w:rsidRDefault="00995BE0" w:rsidP="00985775">
            <w:r w:rsidRPr="00287C05">
              <w:rPr>
                <w:sz w:val="22"/>
                <w:szCs w:val="22"/>
              </w:rPr>
              <w:t>11. Psichiką veikiančių medžiagų vartojimo prevencija, psichologinė, medicinos, socialinė pagalba asmenims, vartojantiems žalingai psichiką veikiančias medžiagas</w:t>
            </w:r>
          </w:p>
          <w:p w:rsidR="00995BE0" w:rsidRPr="00287C05" w:rsidRDefault="00995BE0" w:rsidP="00985775">
            <w:r w:rsidRPr="00287C05">
              <w:rPr>
                <w:sz w:val="22"/>
                <w:szCs w:val="22"/>
              </w:rPr>
              <w:t>12. Stacionari ir ambulatorinė pagalba, anoniminė pagalba, savigalbos organizacijų veikla, socialinė pagalba ir reabilitacija</w:t>
            </w:r>
          </w:p>
          <w:p w:rsidR="00995BE0" w:rsidRPr="00287C05" w:rsidRDefault="00995BE0" w:rsidP="00985775">
            <w:r w:rsidRPr="00287C05">
              <w:rPr>
                <w:sz w:val="22"/>
                <w:szCs w:val="22"/>
              </w:rPr>
              <w:t>13. Pirmoji pagalba apsinuodijus alkoholiu, narkotinėmis medžiagomis ir kitomis psichiką veikiančiomis medžiagomis</w:t>
            </w:r>
          </w:p>
        </w:tc>
        <w:tc>
          <w:tcPr>
            <w:tcW w:w="1980" w:type="dxa"/>
          </w:tcPr>
          <w:p w:rsidR="00995BE0" w:rsidRPr="00287C05" w:rsidRDefault="00995BE0" w:rsidP="00985775">
            <w:pPr>
              <w:jc w:val="center"/>
            </w:pPr>
            <w:r w:rsidRPr="00287C05">
              <w:rPr>
                <w:sz w:val="22"/>
                <w:szCs w:val="22"/>
              </w:rPr>
              <w:lastRenderedPageBreak/>
              <w:t>4</w:t>
            </w:r>
          </w:p>
        </w:tc>
        <w:tc>
          <w:tcPr>
            <w:tcW w:w="2618" w:type="dxa"/>
          </w:tcPr>
          <w:p w:rsidR="00995BE0" w:rsidRPr="00287C05" w:rsidRDefault="00995BE0" w:rsidP="00985775">
            <w:r w:rsidRPr="00287C05">
              <w:rPr>
                <w:sz w:val="22"/>
                <w:szCs w:val="22"/>
              </w:rPr>
              <w:t>Pagal asmenų, padariusių teisės pažeidimą, kreipimąsi</w:t>
            </w:r>
          </w:p>
        </w:tc>
      </w:tr>
    </w:tbl>
    <w:p w:rsidR="00995BE0" w:rsidRPr="001D71BB" w:rsidRDefault="00995BE0" w:rsidP="008E467F">
      <w:pPr>
        <w:spacing w:line="360" w:lineRule="auto"/>
        <w:jc w:val="center"/>
        <w:rPr>
          <w:b/>
          <w:sz w:val="32"/>
          <w:szCs w:val="32"/>
        </w:rPr>
        <w:sectPr w:rsidR="00995BE0" w:rsidRPr="001D71BB" w:rsidSect="00B25099">
          <w:headerReference w:type="even" r:id="rId173"/>
          <w:headerReference w:type="default" r:id="rId174"/>
          <w:pgSz w:w="11906" w:h="16838"/>
          <w:pgMar w:top="1134" w:right="567" w:bottom="1134" w:left="1701" w:header="567" w:footer="567" w:gutter="0"/>
          <w:cols w:space="1296"/>
          <w:docGrid w:linePitch="360"/>
        </w:sectPr>
      </w:pPr>
    </w:p>
    <w:p w:rsidR="00995BE0" w:rsidRPr="00287C05" w:rsidRDefault="00995BE0" w:rsidP="008E467F">
      <w:pPr>
        <w:spacing w:line="360" w:lineRule="auto"/>
        <w:jc w:val="right"/>
        <w:rPr>
          <w:b/>
        </w:rPr>
      </w:pPr>
      <w:r w:rsidRPr="00287C05">
        <w:rPr>
          <w:b/>
        </w:rPr>
        <w:lastRenderedPageBreak/>
        <w:t xml:space="preserve">5 </w:t>
      </w:r>
      <w:r>
        <w:rPr>
          <w:b/>
        </w:rPr>
        <w:t>p</w:t>
      </w:r>
      <w:r w:rsidRPr="00287C05">
        <w:rPr>
          <w:b/>
        </w:rPr>
        <w:t>riedas</w:t>
      </w:r>
    </w:p>
    <w:p w:rsidR="00995BE0" w:rsidRPr="001D71BB" w:rsidRDefault="00995BE0" w:rsidP="008E467F">
      <w:pPr>
        <w:jc w:val="both"/>
        <w:rPr>
          <w:u w:val="single"/>
        </w:rPr>
      </w:pPr>
      <w:r w:rsidRPr="001D71BB">
        <w:t>Privalomųjų higieninių įgūdžių ir pirmosios pagalbos mokymo kursų, įkainiai 1 asmeniui (patvirtinti Šiaulių miesto savivaldybės tarybos 2009 m. balandžio 30 d. sprendimu T-148).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5"/>
        <w:gridCol w:w="3067"/>
        <w:gridCol w:w="4394"/>
        <w:gridCol w:w="1808"/>
      </w:tblGrid>
      <w:tr w:rsidR="00995BE0" w:rsidRPr="001D71BB" w:rsidTr="00985775">
        <w:tc>
          <w:tcPr>
            <w:tcW w:w="585" w:type="dxa"/>
            <w:tcBorders>
              <w:right w:val="single" w:sz="4" w:space="0" w:color="auto"/>
            </w:tcBorders>
          </w:tcPr>
          <w:p w:rsidR="00995BE0" w:rsidRPr="00287C05" w:rsidRDefault="00995BE0" w:rsidP="00985775">
            <w:pPr>
              <w:jc w:val="center"/>
              <w:rPr>
                <w:b/>
              </w:rPr>
            </w:pPr>
            <w:r w:rsidRPr="00287C05">
              <w:rPr>
                <w:b/>
                <w:sz w:val="22"/>
                <w:szCs w:val="22"/>
              </w:rPr>
              <w:t>El. Nr.</w:t>
            </w:r>
          </w:p>
        </w:tc>
        <w:tc>
          <w:tcPr>
            <w:tcW w:w="3067" w:type="dxa"/>
            <w:tcBorders>
              <w:left w:val="single" w:sz="4" w:space="0" w:color="auto"/>
            </w:tcBorders>
          </w:tcPr>
          <w:p w:rsidR="00995BE0" w:rsidRPr="00287C05" w:rsidRDefault="00995BE0" w:rsidP="00985775">
            <w:pPr>
              <w:jc w:val="center"/>
              <w:rPr>
                <w:b/>
              </w:rPr>
            </w:pPr>
            <w:r w:rsidRPr="00287C05">
              <w:rPr>
                <w:b/>
                <w:sz w:val="22"/>
                <w:szCs w:val="22"/>
              </w:rPr>
              <w:t>Paslaugos pavadinimas</w:t>
            </w:r>
          </w:p>
        </w:tc>
        <w:tc>
          <w:tcPr>
            <w:tcW w:w="4394" w:type="dxa"/>
          </w:tcPr>
          <w:p w:rsidR="00995BE0" w:rsidRPr="00287C05" w:rsidRDefault="00995BE0" w:rsidP="00985775">
            <w:pPr>
              <w:jc w:val="center"/>
              <w:rPr>
                <w:b/>
              </w:rPr>
            </w:pPr>
            <w:r w:rsidRPr="00287C05">
              <w:rPr>
                <w:b/>
                <w:sz w:val="22"/>
                <w:szCs w:val="22"/>
              </w:rPr>
              <w:t>Veiklos srities pavadinimas</w:t>
            </w:r>
          </w:p>
        </w:tc>
        <w:tc>
          <w:tcPr>
            <w:tcW w:w="1808" w:type="dxa"/>
          </w:tcPr>
          <w:p w:rsidR="00995BE0" w:rsidRPr="00287C05" w:rsidRDefault="00995BE0" w:rsidP="00985775">
            <w:pPr>
              <w:jc w:val="center"/>
              <w:rPr>
                <w:b/>
              </w:rPr>
            </w:pPr>
            <w:r w:rsidRPr="00287C05">
              <w:rPr>
                <w:b/>
                <w:sz w:val="22"/>
                <w:szCs w:val="22"/>
              </w:rPr>
              <w:t>Kaina vienam žmogui (Lt)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1.</w:t>
            </w:r>
          </w:p>
        </w:tc>
        <w:tc>
          <w:tcPr>
            <w:tcW w:w="3067" w:type="dxa"/>
            <w:tcBorders>
              <w:left w:val="single" w:sz="4" w:space="0" w:color="auto"/>
            </w:tcBorders>
          </w:tcPr>
          <w:p w:rsidR="00995BE0" w:rsidRPr="00287C05" w:rsidRDefault="00995BE0" w:rsidP="00985775">
            <w:r w:rsidRPr="00287C05">
              <w:rPr>
                <w:sz w:val="22"/>
                <w:szCs w:val="22"/>
              </w:rPr>
              <w:t xml:space="preserve">Privalomasis higienos įgūdžių mokymas, </w:t>
            </w:r>
            <w:r w:rsidRPr="00287C05">
              <w:rPr>
                <w:b/>
                <w:sz w:val="22"/>
                <w:szCs w:val="22"/>
              </w:rPr>
              <w:t>6 val</w:t>
            </w:r>
            <w:r w:rsidRPr="00287C05">
              <w:rPr>
                <w:sz w:val="22"/>
                <w:szCs w:val="22"/>
              </w:rPr>
              <w:t>. programa</w:t>
            </w:r>
          </w:p>
        </w:tc>
        <w:tc>
          <w:tcPr>
            <w:tcW w:w="4394" w:type="dxa"/>
          </w:tcPr>
          <w:p w:rsidR="00995BE0" w:rsidRPr="00287C05" w:rsidRDefault="00995BE0" w:rsidP="00985775">
            <w:pPr>
              <w:jc w:val="both"/>
            </w:pPr>
            <w:r w:rsidRPr="00287C05">
              <w:rPr>
                <w:sz w:val="22"/>
                <w:szCs w:val="22"/>
              </w:rPr>
              <w:t>Maisto objektų darbuotojai; apgyvendinimo paslaugas teikiantys darbuotojai, pirčių, saunų, baseinų, kirpyklų, soliariumų, kosmetologijos kabinetų ir kt. ne maitinimo paslaugas teikiantys darbuotojai</w:t>
            </w:r>
            <w:r w:rsidRPr="00287C05">
              <w:rPr>
                <w:b/>
                <w:sz w:val="22"/>
                <w:szCs w:val="22"/>
              </w:rPr>
              <w:t xml:space="preserve">; </w:t>
            </w:r>
            <w:r w:rsidRPr="00287C05">
              <w:rPr>
                <w:sz w:val="22"/>
                <w:szCs w:val="22"/>
              </w:rPr>
              <w:t>socialinės sferos</w:t>
            </w:r>
            <w:r w:rsidRPr="00287C05">
              <w:rPr>
                <w:b/>
                <w:sz w:val="22"/>
                <w:szCs w:val="22"/>
              </w:rPr>
              <w:t xml:space="preserve"> </w:t>
            </w:r>
            <w:r w:rsidRPr="00287C05">
              <w:rPr>
                <w:sz w:val="22"/>
                <w:szCs w:val="22"/>
              </w:rPr>
              <w:t>darbuotojai</w:t>
            </w:r>
            <w:r w:rsidRPr="00287C05">
              <w:rPr>
                <w:b/>
                <w:sz w:val="22"/>
                <w:szCs w:val="22"/>
              </w:rPr>
              <w:t xml:space="preserve">; </w:t>
            </w:r>
            <w:r w:rsidRPr="00287C05">
              <w:rPr>
                <w:sz w:val="22"/>
                <w:szCs w:val="22"/>
              </w:rPr>
              <w:t>formaliojo ir neformaliojo</w:t>
            </w:r>
            <w:r w:rsidRPr="00287C05">
              <w:rPr>
                <w:b/>
                <w:sz w:val="22"/>
                <w:szCs w:val="22"/>
              </w:rPr>
              <w:t xml:space="preserve"> </w:t>
            </w:r>
            <w:r w:rsidRPr="00287C05">
              <w:rPr>
                <w:sz w:val="22"/>
                <w:szCs w:val="22"/>
              </w:rPr>
              <w:t>švietimo, ikimokyklinių įstaigų darbuotojai; dirbantys profesinės rizikos</w:t>
            </w:r>
            <w:r w:rsidRPr="00287C05">
              <w:rPr>
                <w:b/>
                <w:sz w:val="22"/>
                <w:szCs w:val="22"/>
              </w:rPr>
              <w:t xml:space="preserve"> </w:t>
            </w:r>
            <w:r w:rsidRPr="00287C05">
              <w:rPr>
                <w:sz w:val="22"/>
                <w:szCs w:val="22"/>
              </w:rPr>
              <w:t>sąlygomis</w:t>
            </w:r>
            <w:r w:rsidRPr="00287C05">
              <w:rPr>
                <w:b/>
                <w:sz w:val="22"/>
                <w:szCs w:val="22"/>
              </w:rPr>
              <w:t xml:space="preserve">; </w:t>
            </w:r>
            <w:r w:rsidRPr="00287C05">
              <w:rPr>
                <w:sz w:val="22"/>
                <w:szCs w:val="22"/>
              </w:rPr>
              <w:t>areštinių ir laisvės atėmimo vietų darbuotojai</w:t>
            </w:r>
            <w:r w:rsidRPr="00287C05">
              <w:rPr>
                <w:b/>
                <w:sz w:val="22"/>
                <w:szCs w:val="22"/>
              </w:rPr>
              <w:t xml:space="preserve">; </w:t>
            </w:r>
            <w:r w:rsidRPr="00287C05">
              <w:rPr>
                <w:sz w:val="22"/>
                <w:szCs w:val="22"/>
              </w:rPr>
              <w:t xml:space="preserve">vandens tiekimo įmonių darbuotojai. </w:t>
            </w:r>
          </w:p>
        </w:tc>
        <w:tc>
          <w:tcPr>
            <w:tcW w:w="1808" w:type="dxa"/>
          </w:tcPr>
          <w:p w:rsidR="00995BE0" w:rsidRPr="00287C05" w:rsidRDefault="00995BE0" w:rsidP="00985775">
            <w:pPr>
              <w:jc w:val="center"/>
            </w:pPr>
            <w:r w:rsidRPr="00287C05">
              <w:rPr>
                <w:b/>
                <w:sz w:val="22"/>
                <w:szCs w:val="22"/>
              </w:rPr>
              <w:t>12,40 Lt</w:t>
            </w:r>
            <w:r w:rsidRPr="00287C05">
              <w:rPr>
                <w:sz w:val="22"/>
                <w:szCs w:val="22"/>
              </w:rPr>
              <w: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2.</w:t>
            </w:r>
          </w:p>
        </w:tc>
        <w:tc>
          <w:tcPr>
            <w:tcW w:w="3067" w:type="dxa"/>
            <w:tcBorders>
              <w:left w:val="single" w:sz="4" w:space="0" w:color="auto"/>
            </w:tcBorders>
          </w:tcPr>
          <w:p w:rsidR="00995BE0" w:rsidRPr="00287C05" w:rsidRDefault="00995BE0" w:rsidP="00985775">
            <w:r w:rsidRPr="00287C05">
              <w:rPr>
                <w:sz w:val="22"/>
                <w:szCs w:val="22"/>
              </w:rPr>
              <w:t xml:space="preserve">Privalomasis higienos įgūdžių mokymas, </w:t>
            </w:r>
            <w:r w:rsidRPr="00287C05">
              <w:rPr>
                <w:b/>
                <w:sz w:val="22"/>
                <w:szCs w:val="22"/>
              </w:rPr>
              <w:t xml:space="preserve">8 val. </w:t>
            </w:r>
            <w:r w:rsidRPr="00287C05">
              <w:rPr>
                <w:sz w:val="22"/>
                <w:szCs w:val="22"/>
              </w:rPr>
              <w:t>programa</w:t>
            </w:r>
          </w:p>
        </w:tc>
        <w:tc>
          <w:tcPr>
            <w:tcW w:w="4394" w:type="dxa"/>
          </w:tcPr>
          <w:p w:rsidR="00995BE0" w:rsidRPr="00287C05" w:rsidRDefault="00995BE0" w:rsidP="00985775">
            <w:pPr>
              <w:jc w:val="both"/>
              <w:rPr>
                <w:b/>
              </w:rPr>
            </w:pPr>
            <w:r w:rsidRPr="00287C05">
              <w:rPr>
                <w:sz w:val="22"/>
                <w:szCs w:val="22"/>
              </w:rPr>
              <w:t>Darbuotojai, kurių veikla susijusi su medicininių atliekų tvarkymu</w:t>
            </w:r>
          </w:p>
          <w:p w:rsidR="00995BE0" w:rsidRPr="00287C05" w:rsidRDefault="00995BE0" w:rsidP="00985775">
            <w:pPr>
              <w:jc w:val="both"/>
            </w:pPr>
          </w:p>
        </w:tc>
        <w:tc>
          <w:tcPr>
            <w:tcW w:w="1808" w:type="dxa"/>
          </w:tcPr>
          <w:p w:rsidR="00995BE0" w:rsidRPr="00287C05" w:rsidRDefault="00995BE0" w:rsidP="00985775">
            <w:pPr>
              <w:jc w:val="center"/>
            </w:pPr>
            <w:r w:rsidRPr="00287C05">
              <w:rPr>
                <w:b/>
                <w:sz w:val="22"/>
                <w:szCs w:val="22"/>
              </w:rPr>
              <w:t>16,50 Lt</w:t>
            </w:r>
            <w:r w:rsidRPr="00287C05">
              <w:rPr>
                <w:sz w:val="22"/>
                <w:szCs w:val="22"/>
              </w:rPr>
              <w: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3.</w:t>
            </w:r>
          </w:p>
        </w:tc>
        <w:tc>
          <w:tcPr>
            <w:tcW w:w="3067" w:type="dxa"/>
            <w:tcBorders>
              <w:left w:val="single" w:sz="4" w:space="0" w:color="auto"/>
            </w:tcBorders>
          </w:tcPr>
          <w:p w:rsidR="00995BE0" w:rsidRPr="00287C05" w:rsidRDefault="00995BE0" w:rsidP="00985775">
            <w:r w:rsidRPr="00287C05">
              <w:rPr>
                <w:sz w:val="22"/>
                <w:szCs w:val="22"/>
              </w:rPr>
              <w:t xml:space="preserve">Privalomasis higienos įgūdžių mokymas, </w:t>
            </w:r>
            <w:r w:rsidRPr="00287C05">
              <w:rPr>
                <w:b/>
                <w:sz w:val="22"/>
                <w:szCs w:val="22"/>
              </w:rPr>
              <w:t>28 val</w:t>
            </w:r>
            <w:r w:rsidRPr="00287C05">
              <w:rPr>
                <w:sz w:val="22"/>
                <w:szCs w:val="22"/>
              </w:rPr>
              <w:t>. programa</w:t>
            </w:r>
          </w:p>
        </w:tc>
        <w:tc>
          <w:tcPr>
            <w:tcW w:w="4394" w:type="dxa"/>
          </w:tcPr>
          <w:p w:rsidR="00995BE0" w:rsidRPr="00287C05" w:rsidRDefault="00995BE0" w:rsidP="00985775">
            <w:pPr>
              <w:jc w:val="both"/>
              <w:rPr>
                <w:b/>
              </w:rPr>
            </w:pPr>
            <w:r w:rsidRPr="00287C05">
              <w:rPr>
                <w:sz w:val="22"/>
                <w:szCs w:val="22"/>
              </w:rPr>
              <w:t>Darbuotojai, kurių veikla susijusi su nuodingomis medžiagomis</w:t>
            </w:r>
          </w:p>
          <w:p w:rsidR="00995BE0" w:rsidRPr="00287C05" w:rsidRDefault="00995BE0" w:rsidP="00985775">
            <w:pPr>
              <w:jc w:val="both"/>
            </w:pPr>
          </w:p>
        </w:tc>
        <w:tc>
          <w:tcPr>
            <w:tcW w:w="1808" w:type="dxa"/>
          </w:tcPr>
          <w:p w:rsidR="00995BE0" w:rsidRPr="00287C05" w:rsidRDefault="00995BE0" w:rsidP="00985775">
            <w:pPr>
              <w:jc w:val="center"/>
              <w:rPr>
                <w:b/>
              </w:rPr>
            </w:pPr>
            <w:r w:rsidRPr="00287C05">
              <w:rPr>
                <w:b/>
                <w:sz w:val="22"/>
                <w:szCs w:val="22"/>
              </w:rPr>
              <w:t>44,80 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4.</w:t>
            </w:r>
          </w:p>
        </w:tc>
        <w:tc>
          <w:tcPr>
            <w:tcW w:w="3067" w:type="dxa"/>
            <w:tcBorders>
              <w:left w:val="single" w:sz="4" w:space="0" w:color="auto"/>
            </w:tcBorders>
          </w:tcPr>
          <w:p w:rsidR="00995BE0" w:rsidRPr="00287C05" w:rsidRDefault="00995BE0" w:rsidP="00985775">
            <w:r w:rsidRPr="00287C05">
              <w:rPr>
                <w:sz w:val="22"/>
                <w:szCs w:val="22"/>
              </w:rPr>
              <w:t>Privalomasis pirmosios pagalbos mokymas</w:t>
            </w:r>
            <w:r w:rsidRPr="00287C05">
              <w:rPr>
                <w:b/>
                <w:sz w:val="22"/>
                <w:szCs w:val="22"/>
              </w:rPr>
              <w:t xml:space="preserve">, 6 val. </w:t>
            </w:r>
            <w:r w:rsidRPr="00287C05">
              <w:rPr>
                <w:sz w:val="22"/>
                <w:szCs w:val="22"/>
              </w:rPr>
              <w:t>programa</w:t>
            </w:r>
          </w:p>
        </w:tc>
        <w:tc>
          <w:tcPr>
            <w:tcW w:w="4394" w:type="dxa"/>
          </w:tcPr>
          <w:p w:rsidR="00995BE0" w:rsidRPr="00287C05" w:rsidRDefault="00995BE0" w:rsidP="00985775">
            <w:pPr>
              <w:jc w:val="both"/>
            </w:pPr>
            <w:r w:rsidRPr="00287C05">
              <w:rPr>
                <w:sz w:val="22"/>
                <w:szCs w:val="22"/>
              </w:rPr>
              <w:t>Dirbantieji profesinės rizikos sąlygomis, vairuotojai (C, D, E kategorija), kartojantys kursą kas 3 metai</w:t>
            </w:r>
          </w:p>
        </w:tc>
        <w:tc>
          <w:tcPr>
            <w:tcW w:w="1808" w:type="dxa"/>
          </w:tcPr>
          <w:p w:rsidR="00995BE0" w:rsidRPr="00287C05" w:rsidRDefault="00995BE0" w:rsidP="00985775">
            <w:pPr>
              <w:jc w:val="center"/>
            </w:pPr>
            <w:r w:rsidRPr="00287C05">
              <w:rPr>
                <w:b/>
                <w:sz w:val="22"/>
                <w:szCs w:val="22"/>
              </w:rPr>
              <w:t>13,40</w:t>
            </w:r>
            <w:r w:rsidRPr="00287C05">
              <w:rPr>
                <w:sz w:val="22"/>
                <w:szCs w:val="22"/>
              </w:rPr>
              <w:t xml:space="preserve"> </w:t>
            </w:r>
            <w:r w:rsidRPr="00287C05">
              <w:rPr>
                <w:b/>
                <w:sz w:val="22"/>
                <w:szCs w:val="22"/>
              </w:rPr>
              <w:t>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5.</w:t>
            </w:r>
          </w:p>
        </w:tc>
        <w:tc>
          <w:tcPr>
            <w:tcW w:w="3067" w:type="dxa"/>
            <w:tcBorders>
              <w:left w:val="single" w:sz="4" w:space="0" w:color="auto"/>
            </w:tcBorders>
          </w:tcPr>
          <w:p w:rsidR="00995BE0" w:rsidRPr="00287C05" w:rsidRDefault="00995BE0" w:rsidP="00985775">
            <w:r w:rsidRPr="00287C05">
              <w:rPr>
                <w:sz w:val="22"/>
                <w:szCs w:val="22"/>
              </w:rPr>
              <w:t xml:space="preserve">Privalomasis pirmosios pagalbos mokymas, </w:t>
            </w:r>
            <w:r w:rsidRPr="00287C05">
              <w:rPr>
                <w:b/>
                <w:sz w:val="22"/>
                <w:szCs w:val="22"/>
              </w:rPr>
              <w:t xml:space="preserve">8 val. </w:t>
            </w:r>
            <w:r w:rsidRPr="00287C05">
              <w:rPr>
                <w:sz w:val="22"/>
                <w:szCs w:val="22"/>
              </w:rPr>
              <w:t>programa</w:t>
            </w:r>
          </w:p>
        </w:tc>
        <w:tc>
          <w:tcPr>
            <w:tcW w:w="4394" w:type="dxa"/>
          </w:tcPr>
          <w:p w:rsidR="00995BE0" w:rsidRPr="00287C05" w:rsidRDefault="00995BE0" w:rsidP="00985775">
            <w:r w:rsidRPr="00287C05">
              <w:rPr>
                <w:sz w:val="22"/>
                <w:szCs w:val="22"/>
              </w:rPr>
              <w:t>Apgyvendinimo paslaugas teikiantys darbuotojai; pirčių, saunų, baseinų, kirpyklų, soliariumų, kosmetologijos kabinetų ir kt. ne maitinimo paslaugas teikiantys darbuotojai</w:t>
            </w:r>
            <w:r w:rsidRPr="00287C05">
              <w:rPr>
                <w:b/>
                <w:sz w:val="22"/>
                <w:szCs w:val="22"/>
              </w:rPr>
              <w:t xml:space="preserve">; </w:t>
            </w:r>
            <w:r w:rsidRPr="00287C05">
              <w:rPr>
                <w:sz w:val="22"/>
                <w:szCs w:val="22"/>
              </w:rPr>
              <w:t>socialinės sferos</w:t>
            </w:r>
            <w:r w:rsidRPr="00287C05">
              <w:rPr>
                <w:b/>
                <w:sz w:val="22"/>
                <w:szCs w:val="22"/>
              </w:rPr>
              <w:t xml:space="preserve"> </w:t>
            </w:r>
            <w:r w:rsidRPr="00287C05">
              <w:rPr>
                <w:sz w:val="22"/>
                <w:szCs w:val="22"/>
              </w:rPr>
              <w:t>darbuotojai</w:t>
            </w:r>
            <w:r w:rsidRPr="00287C05">
              <w:rPr>
                <w:b/>
                <w:sz w:val="22"/>
                <w:szCs w:val="22"/>
              </w:rPr>
              <w:t xml:space="preserve">; </w:t>
            </w:r>
            <w:r w:rsidRPr="00287C05">
              <w:rPr>
                <w:sz w:val="22"/>
                <w:szCs w:val="22"/>
              </w:rPr>
              <w:t>formaliojo ir neformaliojo</w:t>
            </w:r>
            <w:r w:rsidRPr="00287C05">
              <w:rPr>
                <w:b/>
                <w:sz w:val="22"/>
                <w:szCs w:val="22"/>
              </w:rPr>
              <w:t xml:space="preserve"> </w:t>
            </w:r>
            <w:r w:rsidRPr="00287C05">
              <w:rPr>
                <w:sz w:val="22"/>
                <w:szCs w:val="22"/>
              </w:rPr>
              <w:t>švietimo, ikimokyklinių įstaigų darbuotojai</w:t>
            </w:r>
          </w:p>
        </w:tc>
        <w:tc>
          <w:tcPr>
            <w:tcW w:w="1808" w:type="dxa"/>
          </w:tcPr>
          <w:p w:rsidR="00995BE0" w:rsidRPr="00287C05" w:rsidRDefault="00995BE0" w:rsidP="00985775">
            <w:pPr>
              <w:jc w:val="center"/>
              <w:rPr>
                <w:b/>
              </w:rPr>
            </w:pPr>
            <w:r w:rsidRPr="00287C05">
              <w:rPr>
                <w:b/>
                <w:sz w:val="22"/>
                <w:szCs w:val="22"/>
              </w:rPr>
              <w:t>17,90 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6.</w:t>
            </w:r>
          </w:p>
        </w:tc>
        <w:tc>
          <w:tcPr>
            <w:tcW w:w="3067" w:type="dxa"/>
            <w:tcBorders>
              <w:left w:val="single" w:sz="4" w:space="0" w:color="auto"/>
            </w:tcBorders>
          </w:tcPr>
          <w:p w:rsidR="00995BE0" w:rsidRPr="00287C05" w:rsidRDefault="00995BE0" w:rsidP="00985775">
            <w:r w:rsidRPr="00287C05">
              <w:rPr>
                <w:sz w:val="22"/>
                <w:szCs w:val="22"/>
              </w:rPr>
              <w:t xml:space="preserve">Privalomasis pirmosios pagalbos mokymas, </w:t>
            </w:r>
            <w:r w:rsidRPr="00287C05">
              <w:rPr>
                <w:b/>
                <w:sz w:val="22"/>
                <w:szCs w:val="22"/>
              </w:rPr>
              <w:t xml:space="preserve">12 val. </w:t>
            </w:r>
            <w:r w:rsidRPr="00287C05">
              <w:rPr>
                <w:sz w:val="22"/>
                <w:szCs w:val="22"/>
              </w:rPr>
              <w:t>programa</w:t>
            </w:r>
          </w:p>
        </w:tc>
        <w:tc>
          <w:tcPr>
            <w:tcW w:w="4394" w:type="dxa"/>
          </w:tcPr>
          <w:p w:rsidR="00995BE0" w:rsidRPr="00287C05" w:rsidRDefault="00995BE0" w:rsidP="00985775">
            <w:r w:rsidRPr="00287C05">
              <w:rPr>
                <w:sz w:val="22"/>
                <w:szCs w:val="22"/>
              </w:rPr>
              <w:t>Vairuotojai</w:t>
            </w:r>
            <w:r w:rsidRPr="00287C05">
              <w:rPr>
                <w:b/>
                <w:sz w:val="22"/>
                <w:szCs w:val="22"/>
              </w:rPr>
              <w:t xml:space="preserve"> (</w:t>
            </w:r>
            <w:r w:rsidRPr="00287C05">
              <w:rPr>
                <w:sz w:val="22"/>
                <w:szCs w:val="22"/>
              </w:rPr>
              <w:t>bet kuri kategorija, išklausant pirmą kartą)</w:t>
            </w:r>
          </w:p>
        </w:tc>
        <w:tc>
          <w:tcPr>
            <w:tcW w:w="1808" w:type="dxa"/>
          </w:tcPr>
          <w:p w:rsidR="00995BE0" w:rsidRPr="00287C05" w:rsidRDefault="00995BE0" w:rsidP="00985775">
            <w:pPr>
              <w:jc w:val="center"/>
              <w:rPr>
                <w:b/>
              </w:rPr>
            </w:pPr>
            <w:r w:rsidRPr="00287C05">
              <w:rPr>
                <w:b/>
                <w:sz w:val="22"/>
                <w:szCs w:val="22"/>
              </w:rPr>
              <w:t>19,40 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7.</w:t>
            </w:r>
          </w:p>
        </w:tc>
        <w:tc>
          <w:tcPr>
            <w:tcW w:w="3067" w:type="dxa"/>
            <w:tcBorders>
              <w:left w:val="single" w:sz="4" w:space="0" w:color="auto"/>
            </w:tcBorders>
          </w:tcPr>
          <w:p w:rsidR="00995BE0" w:rsidRPr="00287C05" w:rsidRDefault="00995BE0" w:rsidP="00985775">
            <w:r w:rsidRPr="00287C05">
              <w:rPr>
                <w:sz w:val="22"/>
                <w:szCs w:val="22"/>
              </w:rPr>
              <w:t xml:space="preserve">Privalomasis pirmosios pagalbos mokymas, </w:t>
            </w:r>
            <w:r w:rsidRPr="00287C05">
              <w:rPr>
                <w:b/>
                <w:sz w:val="22"/>
                <w:szCs w:val="22"/>
              </w:rPr>
              <w:t xml:space="preserve">18 val. </w:t>
            </w:r>
            <w:r w:rsidRPr="00287C05">
              <w:rPr>
                <w:sz w:val="22"/>
                <w:szCs w:val="22"/>
              </w:rPr>
              <w:t>programa</w:t>
            </w:r>
          </w:p>
        </w:tc>
        <w:tc>
          <w:tcPr>
            <w:tcW w:w="4394" w:type="dxa"/>
          </w:tcPr>
          <w:p w:rsidR="00995BE0" w:rsidRPr="00287C05" w:rsidRDefault="00995BE0" w:rsidP="00985775">
            <w:r w:rsidRPr="00287C05">
              <w:rPr>
                <w:sz w:val="22"/>
                <w:szCs w:val="22"/>
              </w:rPr>
              <w:t>Areštinių ir laisvės atėmimo vietų darbuotojai; asmenys, kurių veikla susijusi su ginklais; kariai; stiuardesės; keleivinių geležinkelio vagonų palydovai</w:t>
            </w:r>
          </w:p>
        </w:tc>
        <w:tc>
          <w:tcPr>
            <w:tcW w:w="1808" w:type="dxa"/>
          </w:tcPr>
          <w:p w:rsidR="00995BE0" w:rsidRPr="00287C05" w:rsidRDefault="00995BE0" w:rsidP="00985775">
            <w:pPr>
              <w:jc w:val="center"/>
              <w:rPr>
                <w:b/>
              </w:rPr>
            </w:pPr>
            <w:r w:rsidRPr="00287C05">
              <w:rPr>
                <w:b/>
                <w:sz w:val="22"/>
                <w:szCs w:val="22"/>
              </w:rPr>
              <w:t>27,10 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8.</w:t>
            </w:r>
          </w:p>
        </w:tc>
        <w:tc>
          <w:tcPr>
            <w:tcW w:w="7461" w:type="dxa"/>
            <w:gridSpan w:val="2"/>
            <w:tcBorders>
              <w:left w:val="single" w:sz="4" w:space="0" w:color="auto"/>
            </w:tcBorders>
          </w:tcPr>
          <w:p w:rsidR="00995BE0" w:rsidRPr="00287C05" w:rsidRDefault="00995BE0" w:rsidP="00985775">
            <w:pPr>
              <w:rPr>
                <w:b/>
              </w:rPr>
            </w:pPr>
            <w:r w:rsidRPr="00287C05">
              <w:rPr>
                <w:sz w:val="22"/>
                <w:szCs w:val="22"/>
              </w:rPr>
              <w:t>Pasirengusiųjų savarankiškai atestavimas</w:t>
            </w:r>
          </w:p>
        </w:tc>
        <w:tc>
          <w:tcPr>
            <w:tcW w:w="1808" w:type="dxa"/>
          </w:tcPr>
          <w:p w:rsidR="00995BE0" w:rsidRPr="00287C05" w:rsidRDefault="00995BE0" w:rsidP="00985775">
            <w:pPr>
              <w:jc w:val="center"/>
              <w:rPr>
                <w:b/>
              </w:rPr>
            </w:pPr>
            <w:r w:rsidRPr="00287C05">
              <w:rPr>
                <w:b/>
                <w:sz w:val="22"/>
                <w:szCs w:val="22"/>
              </w:rPr>
              <w:t>7,40 Lt</w:t>
            </w:r>
          </w:p>
        </w:tc>
      </w:tr>
      <w:tr w:rsidR="00995BE0" w:rsidRPr="001D71BB" w:rsidTr="00985775">
        <w:tc>
          <w:tcPr>
            <w:tcW w:w="585" w:type="dxa"/>
            <w:tcBorders>
              <w:right w:val="single" w:sz="4" w:space="0" w:color="auto"/>
            </w:tcBorders>
          </w:tcPr>
          <w:p w:rsidR="00995BE0" w:rsidRPr="00287C05" w:rsidRDefault="00995BE0" w:rsidP="00985775">
            <w:r w:rsidRPr="00287C05">
              <w:rPr>
                <w:sz w:val="22"/>
                <w:szCs w:val="22"/>
              </w:rPr>
              <w:t>9.</w:t>
            </w:r>
          </w:p>
        </w:tc>
        <w:tc>
          <w:tcPr>
            <w:tcW w:w="7461" w:type="dxa"/>
            <w:gridSpan w:val="2"/>
            <w:tcBorders>
              <w:left w:val="single" w:sz="4" w:space="0" w:color="auto"/>
            </w:tcBorders>
          </w:tcPr>
          <w:p w:rsidR="00995BE0" w:rsidRPr="00287C05" w:rsidRDefault="00995BE0" w:rsidP="00985775">
            <w:pPr>
              <w:rPr>
                <w:b/>
              </w:rPr>
            </w:pPr>
            <w:r w:rsidRPr="00287C05">
              <w:rPr>
                <w:sz w:val="22"/>
                <w:szCs w:val="22"/>
              </w:rPr>
              <w:t>Mokymas apie alkoholio ir narkotikų žalą žmogaus sveikatai, 4 val. programa</w:t>
            </w:r>
          </w:p>
        </w:tc>
        <w:tc>
          <w:tcPr>
            <w:tcW w:w="1808" w:type="dxa"/>
          </w:tcPr>
          <w:p w:rsidR="00995BE0" w:rsidRPr="00287C05" w:rsidRDefault="00995BE0" w:rsidP="00985775">
            <w:pPr>
              <w:jc w:val="center"/>
              <w:rPr>
                <w:b/>
              </w:rPr>
            </w:pPr>
            <w:r w:rsidRPr="00287C05">
              <w:rPr>
                <w:b/>
                <w:sz w:val="22"/>
                <w:szCs w:val="22"/>
              </w:rPr>
              <w:t>72,00 Lt</w:t>
            </w:r>
          </w:p>
        </w:tc>
      </w:tr>
    </w:tbl>
    <w:p w:rsidR="00995BE0" w:rsidRPr="001D71BB"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jc w:val="right"/>
        <w:rPr>
          <w:b/>
        </w:rPr>
      </w:pPr>
    </w:p>
    <w:p w:rsidR="00995BE0" w:rsidRDefault="00995BE0" w:rsidP="008E467F">
      <w:pPr>
        <w:tabs>
          <w:tab w:val="left" w:pos="2310"/>
        </w:tabs>
        <w:spacing w:line="360" w:lineRule="auto"/>
        <w:jc w:val="right"/>
        <w:rPr>
          <w:b/>
        </w:rPr>
      </w:pPr>
    </w:p>
    <w:p w:rsidR="00995BE0" w:rsidRPr="00287C05" w:rsidRDefault="00995BE0" w:rsidP="008E467F">
      <w:pPr>
        <w:tabs>
          <w:tab w:val="left" w:pos="2310"/>
        </w:tabs>
        <w:spacing w:line="360" w:lineRule="auto"/>
        <w:jc w:val="right"/>
        <w:rPr>
          <w:b/>
        </w:rPr>
      </w:pPr>
      <w:r w:rsidRPr="00287C05">
        <w:rPr>
          <w:b/>
        </w:rPr>
        <w:lastRenderedPageBreak/>
        <w:t>6 priedas</w:t>
      </w:r>
    </w:p>
    <w:p w:rsidR="00995BE0" w:rsidRPr="00EF3085" w:rsidRDefault="00995BE0" w:rsidP="008E467F">
      <w:pPr>
        <w:jc w:val="center"/>
        <w:rPr>
          <w:b/>
          <w:sz w:val="22"/>
          <w:szCs w:val="22"/>
        </w:rPr>
      </w:pPr>
      <w:bookmarkStart w:id="132" w:name="_Toc285659306"/>
      <w:bookmarkStart w:id="133" w:name="_Toc285660867"/>
      <w:bookmarkStart w:id="134" w:name="_Toc286342096"/>
      <w:bookmarkStart w:id="135" w:name="_Toc286781169"/>
      <w:bookmarkStart w:id="136" w:name="_Toc286781896"/>
      <w:bookmarkStart w:id="137" w:name="_Toc287013635"/>
      <w:bookmarkStart w:id="138" w:name="_Toc288140997"/>
      <w:r w:rsidRPr="00EF3085">
        <w:rPr>
          <w:b/>
          <w:sz w:val="22"/>
          <w:szCs w:val="22"/>
        </w:rPr>
        <w:t>Nelaimingi atsitikimai keliuose kai kuriuose Europos šalyse ir ES 2001-2008 m. bei pokytis (proc.)</w:t>
      </w:r>
      <w:bookmarkEnd w:id="132"/>
      <w:bookmarkEnd w:id="133"/>
      <w:bookmarkEnd w:id="134"/>
      <w:bookmarkEnd w:id="135"/>
      <w:bookmarkEnd w:id="136"/>
      <w:bookmarkEnd w:id="137"/>
      <w:bookmarkEnd w:id="138"/>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851"/>
        <w:gridCol w:w="850"/>
        <w:gridCol w:w="850"/>
        <w:gridCol w:w="709"/>
        <w:gridCol w:w="851"/>
        <w:gridCol w:w="849"/>
        <w:gridCol w:w="709"/>
        <w:gridCol w:w="708"/>
        <w:gridCol w:w="1419"/>
      </w:tblGrid>
      <w:tr w:rsidR="00995BE0" w:rsidRPr="001D71BB" w:rsidTr="00985775">
        <w:tc>
          <w:tcPr>
            <w:tcW w:w="1668" w:type="dxa"/>
          </w:tcPr>
          <w:p w:rsidR="00995BE0" w:rsidRPr="001D71BB" w:rsidRDefault="00995BE0" w:rsidP="00985775">
            <w:pPr>
              <w:ind w:right="-108"/>
              <w:rPr>
                <w:b/>
                <w:lang w:eastAsia="ar-SA"/>
              </w:rPr>
            </w:pPr>
            <w:r w:rsidRPr="001D71BB">
              <w:rPr>
                <w:b/>
                <w:sz w:val="22"/>
                <w:szCs w:val="22"/>
                <w:lang w:eastAsia="ar-SA"/>
              </w:rPr>
              <w:t>ŠALYS</w:t>
            </w:r>
          </w:p>
        </w:tc>
        <w:tc>
          <w:tcPr>
            <w:tcW w:w="851" w:type="dxa"/>
          </w:tcPr>
          <w:p w:rsidR="00995BE0" w:rsidRPr="001D71BB" w:rsidRDefault="00995BE0" w:rsidP="00985775">
            <w:pPr>
              <w:rPr>
                <w:b/>
                <w:lang w:eastAsia="ar-SA"/>
              </w:rPr>
            </w:pPr>
            <w:r w:rsidRPr="001D71BB">
              <w:rPr>
                <w:b/>
                <w:bCs/>
                <w:sz w:val="22"/>
                <w:szCs w:val="22"/>
              </w:rPr>
              <w:t>2001</w:t>
            </w:r>
          </w:p>
        </w:tc>
        <w:tc>
          <w:tcPr>
            <w:tcW w:w="850" w:type="dxa"/>
          </w:tcPr>
          <w:p w:rsidR="00995BE0" w:rsidRPr="001D71BB" w:rsidRDefault="00995BE0" w:rsidP="00985775">
            <w:pPr>
              <w:autoSpaceDE w:val="0"/>
              <w:autoSpaceDN w:val="0"/>
              <w:adjustRightInd w:val="0"/>
              <w:rPr>
                <w:b/>
                <w:bCs/>
              </w:rPr>
            </w:pPr>
            <w:r w:rsidRPr="001D71BB">
              <w:rPr>
                <w:b/>
                <w:bCs/>
                <w:sz w:val="22"/>
                <w:szCs w:val="22"/>
              </w:rPr>
              <w:t xml:space="preserve">2002    </w:t>
            </w:r>
          </w:p>
          <w:p w:rsidR="00995BE0" w:rsidRPr="001D71BB" w:rsidRDefault="00995BE0" w:rsidP="00985775">
            <w:pPr>
              <w:rPr>
                <w:b/>
                <w:lang w:eastAsia="ar-SA"/>
              </w:rPr>
            </w:pPr>
          </w:p>
        </w:tc>
        <w:tc>
          <w:tcPr>
            <w:tcW w:w="850" w:type="dxa"/>
          </w:tcPr>
          <w:p w:rsidR="00995BE0" w:rsidRPr="001D71BB" w:rsidRDefault="00995BE0" w:rsidP="00985775">
            <w:pPr>
              <w:rPr>
                <w:b/>
                <w:lang w:eastAsia="ar-SA"/>
              </w:rPr>
            </w:pPr>
            <w:r w:rsidRPr="001D71BB">
              <w:rPr>
                <w:b/>
                <w:bCs/>
                <w:sz w:val="22"/>
                <w:szCs w:val="22"/>
              </w:rPr>
              <w:t>2003</w:t>
            </w:r>
          </w:p>
        </w:tc>
        <w:tc>
          <w:tcPr>
            <w:tcW w:w="709" w:type="dxa"/>
          </w:tcPr>
          <w:p w:rsidR="00995BE0" w:rsidRPr="001D71BB" w:rsidRDefault="00995BE0" w:rsidP="00985775">
            <w:pPr>
              <w:rPr>
                <w:b/>
                <w:lang w:eastAsia="ar-SA"/>
              </w:rPr>
            </w:pPr>
            <w:r w:rsidRPr="001D71BB">
              <w:rPr>
                <w:b/>
                <w:bCs/>
                <w:sz w:val="22"/>
                <w:szCs w:val="22"/>
              </w:rPr>
              <w:t>2004</w:t>
            </w:r>
          </w:p>
        </w:tc>
        <w:tc>
          <w:tcPr>
            <w:tcW w:w="851" w:type="dxa"/>
          </w:tcPr>
          <w:p w:rsidR="00995BE0" w:rsidRPr="001D71BB" w:rsidRDefault="00995BE0" w:rsidP="00985775">
            <w:pPr>
              <w:rPr>
                <w:b/>
                <w:lang w:eastAsia="ar-SA"/>
              </w:rPr>
            </w:pPr>
            <w:r w:rsidRPr="001D71BB">
              <w:rPr>
                <w:b/>
                <w:bCs/>
                <w:sz w:val="22"/>
                <w:szCs w:val="22"/>
              </w:rPr>
              <w:t>2005</w:t>
            </w:r>
          </w:p>
        </w:tc>
        <w:tc>
          <w:tcPr>
            <w:tcW w:w="849" w:type="dxa"/>
          </w:tcPr>
          <w:p w:rsidR="00995BE0" w:rsidRPr="001D71BB" w:rsidRDefault="00995BE0" w:rsidP="00985775">
            <w:pPr>
              <w:rPr>
                <w:b/>
                <w:lang w:eastAsia="ar-SA"/>
              </w:rPr>
            </w:pPr>
            <w:r w:rsidRPr="001D71BB">
              <w:rPr>
                <w:b/>
                <w:bCs/>
                <w:sz w:val="22"/>
                <w:szCs w:val="22"/>
              </w:rPr>
              <w:t>2006</w:t>
            </w:r>
          </w:p>
        </w:tc>
        <w:tc>
          <w:tcPr>
            <w:tcW w:w="709" w:type="dxa"/>
          </w:tcPr>
          <w:p w:rsidR="00995BE0" w:rsidRPr="001D71BB" w:rsidRDefault="00995BE0" w:rsidP="00985775">
            <w:pPr>
              <w:rPr>
                <w:b/>
                <w:lang w:eastAsia="ar-SA"/>
              </w:rPr>
            </w:pPr>
            <w:r w:rsidRPr="001D71BB">
              <w:rPr>
                <w:b/>
                <w:bCs/>
                <w:sz w:val="22"/>
                <w:szCs w:val="22"/>
              </w:rPr>
              <w:t>2007</w:t>
            </w:r>
          </w:p>
        </w:tc>
        <w:tc>
          <w:tcPr>
            <w:tcW w:w="708" w:type="dxa"/>
          </w:tcPr>
          <w:p w:rsidR="00995BE0" w:rsidRPr="001D71BB" w:rsidRDefault="00995BE0" w:rsidP="00985775">
            <w:pPr>
              <w:ind w:hanging="44"/>
              <w:rPr>
                <w:b/>
                <w:lang w:eastAsia="ar-SA"/>
              </w:rPr>
            </w:pPr>
            <w:r w:rsidRPr="001D71BB">
              <w:rPr>
                <w:b/>
                <w:bCs/>
                <w:sz w:val="22"/>
                <w:szCs w:val="22"/>
              </w:rPr>
              <w:t>2008</w:t>
            </w:r>
          </w:p>
        </w:tc>
        <w:tc>
          <w:tcPr>
            <w:tcW w:w="1419" w:type="dxa"/>
          </w:tcPr>
          <w:p w:rsidR="00995BE0" w:rsidRPr="001D71BB" w:rsidRDefault="00995BE0" w:rsidP="00985775">
            <w:pPr>
              <w:ind w:right="-110"/>
              <w:rPr>
                <w:b/>
                <w:lang w:eastAsia="ar-SA"/>
              </w:rPr>
            </w:pPr>
            <w:r w:rsidRPr="001D71BB">
              <w:rPr>
                <w:b/>
                <w:sz w:val="22"/>
                <w:szCs w:val="22"/>
                <w:lang w:eastAsia="ar-SA"/>
              </w:rPr>
              <w:t>2001-2008 m. pokytis (proc.)</w:t>
            </w:r>
          </w:p>
        </w:tc>
      </w:tr>
      <w:tr w:rsidR="00995BE0" w:rsidRPr="001D71BB" w:rsidTr="00985775">
        <w:tc>
          <w:tcPr>
            <w:tcW w:w="1668" w:type="dxa"/>
          </w:tcPr>
          <w:p w:rsidR="00995BE0" w:rsidRPr="001D71BB" w:rsidRDefault="00995BE0" w:rsidP="00985775">
            <w:pPr>
              <w:rPr>
                <w:b/>
                <w:lang w:eastAsia="ar-SA"/>
              </w:rPr>
            </w:pPr>
            <w:r w:rsidRPr="001D71BB">
              <w:rPr>
                <w:b/>
                <w:bCs/>
                <w:sz w:val="22"/>
                <w:szCs w:val="22"/>
              </w:rPr>
              <w:t>Belgija</w:t>
            </w:r>
          </w:p>
        </w:tc>
        <w:tc>
          <w:tcPr>
            <w:tcW w:w="851" w:type="dxa"/>
          </w:tcPr>
          <w:p w:rsidR="00995BE0" w:rsidRPr="001D71BB" w:rsidRDefault="00995BE0" w:rsidP="00985775">
            <w:pPr>
              <w:rPr>
                <w:lang w:eastAsia="ar-SA"/>
              </w:rPr>
            </w:pPr>
            <w:r w:rsidRPr="001D71BB">
              <w:rPr>
                <w:sz w:val="22"/>
                <w:szCs w:val="22"/>
              </w:rPr>
              <w:t>1.486</w:t>
            </w:r>
          </w:p>
        </w:tc>
        <w:tc>
          <w:tcPr>
            <w:tcW w:w="850" w:type="dxa"/>
          </w:tcPr>
          <w:p w:rsidR="00995BE0" w:rsidRPr="001D71BB" w:rsidRDefault="00995BE0" w:rsidP="00985775">
            <w:pPr>
              <w:rPr>
                <w:lang w:eastAsia="ar-SA"/>
              </w:rPr>
            </w:pPr>
            <w:r w:rsidRPr="001D71BB">
              <w:rPr>
                <w:sz w:val="22"/>
                <w:szCs w:val="22"/>
              </w:rPr>
              <w:t>1.306</w:t>
            </w:r>
          </w:p>
        </w:tc>
        <w:tc>
          <w:tcPr>
            <w:tcW w:w="850" w:type="dxa"/>
          </w:tcPr>
          <w:p w:rsidR="00995BE0" w:rsidRPr="001D71BB" w:rsidRDefault="00995BE0" w:rsidP="00985775">
            <w:pPr>
              <w:rPr>
                <w:lang w:eastAsia="ar-SA"/>
              </w:rPr>
            </w:pPr>
            <w:r w:rsidRPr="001D71BB">
              <w:rPr>
                <w:sz w:val="22"/>
                <w:szCs w:val="22"/>
              </w:rPr>
              <w:t>1.214</w:t>
            </w:r>
          </w:p>
        </w:tc>
        <w:tc>
          <w:tcPr>
            <w:tcW w:w="709" w:type="dxa"/>
          </w:tcPr>
          <w:p w:rsidR="00995BE0" w:rsidRPr="001D71BB" w:rsidRDefault="00995BE0" w:rsidP="00985775">
            <w:pPr>
              <w:ind w:right="-108"/>
              <w:rPr>
                <w:lang w:eastAsia="ar-SA"/>
              </w:rPr>
            </w:pPr>
            <w:r w:rsidRPr="001D71BB">
              <w:rPr>
                <w:sz w:val="22"/>
                <w:szCs w:val="22"/>
              </w:rPr>
              <w:t>1.162</w:t>
            </w:r>
          </w:p>
        </w:tc>
        <w:tc>
          <w:tcPr>
            <w:tcW w:w="851" w:type="dxa"/>
          </w:tcPr>
          <w:p w:rsidR="00995BE0" w:rsidRPr="001D71BB" w:rsidRDefault="00995BE0" w:rsidP="00985775">
            <w:pPr>
              <w:rPr>
                <w:lang w:eastAsia="ar-SA"/>
              </w:rPr>
            </w:pPr>
            <w:r w:rsidRPr="001D71BB">
              <w:rPr>
                <w:sz w:val="22"/>
                <w:szCs w:val="22"/>
              </w:rPr>
              <w:t>1.089</w:t>
            </w:r>
          </w:p>
        </w:tc>
        <w:tc>
          <w:tcPr>
            <w:tcW w:w="849" w:type="dxa"/>
          </w:tcPr>
          <w:p w:rsidR="00995BE0" w:rsidRPr="001D71BB" w:rsidRDefault="00995BE0" w:rsidP="00985775">
            <w:pPr>
              <w:rPr>
                <w:lang w:eastAsia="ar-SA"/>
              </w:rPr>
            </w:pPr>
            <w:r w:rsidRPr="001D71BB">
              <w:rPr>
                <w:sz w:val="22"/>
                <w:szCs w:val="22"/>
              </w:rPr>
              <w:t>1.069</w:t>
            </w:r>
          </w:p>
        </w:tc>
        <w:tc>
          <w:tcPr>
            <w:tcW w:w="709" w:type="dxa"/>
          </w:tcPr>
          <w:p w:rsidR="00995BE0" w:rsidRPr="001D71BB" w:rsidRDefault="00995BE0" w:rsidP="00985775">
            <w:pPr>
              <w:ind w:right="-108"/>
              <w:rPr>
                <w:lang w:eastAsia="ar-SA"/>
              </w:rPr>
            </w:pPr>
            <w:r w:rsidRPr="001D71BB">
              <w:rPr>
                <w:sz w:val="22"/>
                <w:szCs w:val="22"/>
              </w:rPr>
              <w:t>1.071</w:t>
            </w:r>
          </w:p>
        </w:tc>
        <w:tc>
          <w:tcPr>
            <w:tcW w:w="708" w:type="dxa"/>
          </w:tcPr>
          <w:p w:rsidR="00995BE0" w:rsidRPr="001D71BB" w:rsidRDefault="00995BE0" w:rsidP="00985775">
            <w:pPr>
              <w:rPr>
                <w:lang w:eastAsia="ar-SA"/>
              </w:rPr>
            </w:pPr>
            <w:r w:rsidRPr="001D71BB">
              <w:rPr>
                <w:sz w:val="22"/>
                <w:szCs w:val="22"/>
              </w:rPr>
              <w:t>944</w:t>
            </w:r>
          </w:p>
        </w:tc>
        <w:tc>
          <w:tcPr>
            <w:tcW w:w="1419" w:type="dxa"/>
          </w:tcPr>
          <w:p w:rsidR="00995BE0" w:rsidRPr="001D71BB" w:rsidRDefault="00995BE0" w:rsidP="00985775">
            <w:pPr>
              <w:rPr>
                <w:lang w:eastAsia="ar-SA"/>
              </w:rPr>
            </w:pPr>
            <w:r w:rsidRPr="001D71BB">
              <w:rPr>
                <w:sz w:val="22"/>
                <w:szCs w:val="22"/>
              </w:rPr>
              <w:t>-36</w:t>
            </w:r>
          </w:p>
        </w:tc>
      </w:tr>
      <w:tr w:rsidR="00995BE0" w:rsidRPr="001D71BB" w:rsidTr="00985775">
        <w:tc>
          <w:tcPr>
            <w:tcW w:w="1668" w:type="dxa"/>
          </w:tcPr>
          <w:p w:rsidR="00995BE0" w:rsidRPr="001D71BB" w:rsidRDefault="00995BE0" w:rsidP="00985775">
            <w:pPr>
              <w:rPr>
                <w:b/>
                <w:lang w:eastAsia="ar-SA"/>
              </w:rPr>
            </w:pPr>
            <w:r w:rsidRPr="001D71BB">
              <w:rPr>
                <w:b/>
                <w:bCs/>
                <w:sz w:val="22"/>
                <w:szCs w:val="22"/>
              </w:rPr>
              <w:t>Bulgarija</w:t>
            </w:r>
          </w:p>
        </w:tc>
        <w:tc>
          <w:tcPr>
            <w:tcW w:w="851" w:type="dxa"/>
          </w:tcPr>
          <w:p w:rsidR="00995BE0" w:rsidRPr="001D71BB" w:rsidRDefault="00995BE0" w:rsidP="00985775">
            <w:pPr>
              <w:rPr>
                <w:lang w:eastAsia="ar-SA"/>
              </w:rPr>
            </w:pPr>
            <w:r w:rsidRPr="001D71BB">
              <w:rPr>
                <w:sz w:val="22"/>
                <w:szCs w:val="22"/>
              </w:rPr>
              <w:t>1.011</w:t>
            </w:r>
          </w:p>
        </w:tc>
        <w:tc>
          <w:tcPr>
            <w:tcW w:w="850" w:type="dxa"/>
          </w:tcPr>
          <w:p w:rsidR="00995BE0" w:rsidRPr="001D71BB" w:rsidRDefault="00995BE0" w:rsidP="00985775">
            <w:pPr>
              <w:rPr>
                <w:lang w:eastAsia="ar-SA"/>
              </w:rPr>
            </w:pPr>
            <w:r w:rsidRPr="001D71BB">
              <w:rPr>
                <w:sz w:val="22"/>
                <w:szCs w:val="22"/>
              </w:rPr>
              <w:t>959</w:t>
            </w:r>
          </w:p>
        </w:tc>
        <w:tc>
          <w:tcPr>
            <w:tcW w:w="850" w:type="dxa"/>
          </w:tcPr>
          <w:p w:rsidR="00995BE0" w:rsidRPr="001D71BB" w:rsidRDefault="00995BE0" w:rsidP="00985775">
            <w:pPr>
              <w:rPr>
                <w:lang w:eastAsia="ar-SA"/>
              </w:rPr>
            </w:pPr>
            <w:r w:rsidRPr="001D71BB">
              <w:rPr>
                <w:sz w:val="22"/>
                <w:szCs w:val="22"/>
              </w:rPr>
              <w:t>960</w:t>
            </w:r>
          </w:p>
        </w:tc>
        <w:tc>
          <w:tcPr>
            <w:tcW w:w="709" w:type="dxa"/>
          </w:tcPr>
          <w:p w:rsidR="00995BE0" w:rsidRPr="001D71BB" w:rsidRDefault="00995BE0" w:rsidP="00985775">
            <w:pPr>
              <w:rPr>
                <w:lang w:eastAsia="ar-SA"/>
              </w:rPr>
            </w:pPr>
            <w:r w:rsidRPr="001D71BB">
              <w:rPr>
                <w:sz w:val="22"/>
                <w:szCs w:val="22"/>
              </w:rPr>
              <w:t>943</w:t>
            </w:r>
          </w:p>
        </w:tc>
        <w:tc>
          <w:tcPr>
            <w:tcW w:w="851" w:type="dxa"/>
          </w:tcPr>
          <w:p w:rsidR="00995BE0" w:rsidRPr="001D71BB" w:rsidRDefault="00995BE0" w:rsidP="00985775">
            <w:pPr>
              <w:rPr>
                <w:lang w:eastAsia="ar-SA"/>
              </w:rPr>
            </w:pPr>
            <w:r w:rsidRPr="001D71BB">
              <w:rPr>
                <w:sz w:val="22"/>
                <w:szCs w:val="22"/>
              </w:rPr>
              <w:t>957</w:t>
            </w:r>
          </w:p>
        </w:tc>
        <w:tc>
          <w:tcPr>
            <w:tcW w:w="849" w:type="dxa"/>
          </w:tcPr>
          <w:p w:rsidR="00995BE0" w:rsidRPr="001D71BB" w:rsidRDefault="00995BE0" w:rsidP="00985775">
            <w:pPr>
              <w:rPr>
                <w:lang w:eastAsia="ar-SA"/>
              </w:rPr>
            </w:pPr>
            <w:r w:rsidRPr="001D71BB">
              <w:rPr>
                <w:sz w:val="22"/>
                <w:szCs w:val="22"/>
              </w:rPr>
              <w:t>1.043</w:t>
            </w:r>
          </w:p>
        </w:tc>
        <w:tc>
          <w:tcPr>
            <w:tcW w:w="709" w:type="dxa"/>
          </w:tcPr>
          <w:p w:rsidR="00995BE0" w:rsidRPr="001D71BB" w:rsidRDefault="00995BE0" w:rsidP="00985775">
            <w:pPr>
              <w:rPr>
                <w:lang w:eastAsia="ar-SA"/>
              </w:rPr>
            </w:pPr>
            <w:r w:rsidRPr="001D71BB">
              <w:rPr>
                <w:sz w:val="22"/>
                <w:szCs w:val="22"/>
              </w:rPr>
              <w:t>1.006</w:t>
            </w:r>
          </w:p>
        </w:tc>
        <w:tc>
          <w:tcPr>
            <w:tcW w:w="708" w:type="dxa"/>
          </w:tcPr>
          <w:p w:rsidR="00995BE0" w:rsidRPr="001D71BB" w:rsidRDefault="00995BE0" w:rsidP="00985775">
            <w:pPr>
              <w:ind w:right="-108"/>
              <w:rPr>
                <w:lang w:eastAsia="ar-SA"/>
              </w:rPr>
            </w:pPr>
            <w:r w:rsidRPr="001D71BB">
              <w:rPr>
                <w:sz w:val="22"/>
                <w:szCs w:val="22"/>
              </w:rPr>
              <w:t>1.061</w:t>
            </w:r>
          </w:p>
        </w:tc>
        <w:tc>
          <w:tcPr>
            <w:tcW w:w="1419" w:type="dxa"/>
          </w:tcPr>
          <w:p w:rsidR="00995BE0" w:rsidRPr="001D71BB" w:rsidRDefault="00995BE0" w:rsidP="00985775">
            <w:pPr>
              <w:rPr>
                <w:lang w:eastAsia="ar-SA"/>
              </w:rPr>
            </w:pPr>
            <w:r w:rsidRPr="001D71BB">
              <w:rPr>
                <w:sz w:val="22"/>
                <w:szCs w:val="22"/>
              </w:rPr>
              <w:t>5</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Čekija</w:t>
            </w:r>
          </w:p>
        </w:tc>
        <w:tc>
          <w:tcPr>
            <w:tcW w:w="851" w:type="dxa"/>
          </w:tcPr>
          <w:p w:rsidR="00995BE0" w:rsidRPr="001D71BB" w:rsidRDefault="00995BE0" w:rsidP="00985775">
            <w:pPr>
              <w:rPr>
                <w:lang w:eastAsia="ar-SA"/>
              </w:rPr>
            </w:pPr>
            <w:r w:rsidRPr="001D71BB">
              <w:rPr>
                <w:sz w:val="22"/>
                <w:szCs w:val="22"/>
              </w:rPr>
              <w:t>1.334</w:t>
            </w:r>
          </w:p>
        </w:tc>
        <w:tc>
          <w:tcPr>
            <w:tcW w:w="850" w:type="dxa"/>
          </w:tcPr>
          <w:p w:rsidR="00995BE0" w:rsidRPr="001D71BB" w:rsidRDefault="00995BE0" w:rsidP="00985775">
            <w:pPr>
              <w:rPr>
                <w:lang w:eastAsia="ar-SA"/>
              </w:rPr>
            </w:pPr>
            <w:r w:rsidRPr="001D71BB">
              <w:rPr>
                <w:sz w:val="22"/>
                <w:szCs w:val="22"/>
              </w:rPr>
              <w:t>1.431</w:t>
            </w:r>
          </w:p>
        </w:tc>
        <w:tc>
          <w:tcPr>
            <w:tcW w:w="850" w:type="dxa"/>
          </w:tcPr>
          <w:p w:rsidR="00995BE0" w:rsidRPr="001D71BB" w:rsidRDefault="00995BE0" w:rsidP="00985775">
            <w:pPr>
              <w:rPr>
                <w:lang w:eastAsia="ar-SA"/>
              </w:rPr>
            </w:pPr>
            <w:r w:rsidRPr="001D71BB">
              <w:rPr>
                <w:sz w:val="22"/>
                <w:szCs w:val="22"/>
              </w:rPr>
              <w:t>1.447</w:t>
            </w:r>
          </w:p>
        </w:tc>
        <w:tc>
          <w:tcPr>
            <w:tcW w:w="709" w:type="dxa"/>
          </w:tcPr>
          <w:p w:rsidR="00995BE0" w:rsidRPr="001D71BB" w:rsidRDefault="00995BE0" w:rsidP="00985775">
            <w:pPr>
              <w:ind w:right="-108"/>
              <w:rPr>
                <w:lang w:eastAsia="ar-SA"/>
              </w:rPr>
            </w:pPr>
            <w:r w:rsidRPr="001D71BB">
              <w:rPr>
                <w:sz w:val="22"/>
                <w:szCs w:val="22"/>
              </w:rPr>
              <w:t>1.382</w:t>
            </w:r>
          </w:p>
        </w:tc>
        <w:tc>
          <w:tcPr>
            <w:tcW w:w="851" w:type="dxa"/>
          </w:tcPr>
          <w:p w:rsidR="00995BE0" w:rsidRPr="001D71BB" w:rsidRDefault="00995BE0" w:rsidP="00985775">
            <w:pPr>
              <w:rPr>
                <w:lang w:eastAsia="ar-SA"/>
              </w:rPr>
            </w:pPr>
            <w:r w:rsidRPr="001D71BB">
              <w:rPr>
                <w:sz w:val="22"/>
                <w:szCs w:val="22"/>
              </w:rPr>
              <w:t>1.286</w:t>
            </w:r>
          </w:p>
        </w:tc>
        <w:tc>
          <w:tcPr>
            <w:tcW w:w="849" w:type="dxa"/>
          </w:tcPr>
          <w:p w:rsidR="00995BE0" w:rsidRPr="001D71BB" w:rsidRDefault="00995BE0" w:rsidP="00985775">
            <w:pPr>
              <w:rPr>
                <w:lang w:eastAsia="ar-SA"/>
              </w:rPr>
            </w:pPr>
            <w:r w:rsidRPr="001D71BB">
              <w:rPr>
                <w:sz w:val="22"/>
                <w:szCs w:val="22"/>
              </w:rPr>
              <w:t>1.063</w:t>
            </w:r>
          </w:p>
        </w:tc>
        <w:tc>
          <w:tcPr>
            <w:tcW w:w="709" w:type="dxa"/>
          </w:tcPr>
          <w:p w:rsidR="00995BE0" w:rsidRPr="001D71BB" w:rsidRDefault="00995BE0" w:rsidP="00985775">
            <w:pPr>
              <w:ind w:right="-108"/>
              <w:rPr>
                <w:lang w:eastAsia="ar-SA"/>
              </w:rPr>
            </w:pPr>
            <w:r w:rsidRPr="001D71BB">
              <w:rPr>
                <w:sz w:val="22"/>
                <w:szCs w:val="22"/>
              </w:rPr>
              <w:t>1.221</w:t>
            </w:r>
          </w:p>
        </w:tc>
        <w:tc>
          <w:tcPr>
            <w:tcW w:w="708" w:type="dxa"/>
          </w:tcPr>
          <w:p w:rsidR="00995BE0" w:rsidRPr="001D71BB" w:rsidRDefault="00995BE0" w:rsidP="00985775">
            <w:pPr>
              <w:ind w:right="-108"/>
              <w:rPr>
                <w:lang w:eastAsia="ar-SA"/>
              </w:rPr>
            </w:pPr>
            <w:r w:rsidRPr="001D71BB">
              <w:rPr>
                <w:sz w:val="22"/>
                <w:szCs w:val="22"/>
              </w:rPr>
              <w:t>1.076</w:t>
            </w:r>
          </w:p>
        </w:tc>
        <w:tc>
          <w:tcPr>
            <w:tcW w:w="1419" w:type="dxa"/>
          </w:tcPr>
          <w:p w:rsidR="00995BE0" w:rsidRPr="001D71BB" w:rsidRDefault="00995BE0" w:rsidP="00985775">
            <w:pPr>
              <w:rPr>
                <w:lang w:eastAsia="ar-SA"/>
              </w:rPr>
            </w:pPr>
            <w:r w:rsidRPr="001D71BB">
              <w:rPr>
                <w:sz w:val="22"/>
                <w:szCs w:val="22"/>
              </w:rPr>
              <w:t>-19</w:t>
            </w:r>
          </w:p>
        </w:tc>
      </w:tr>
      <w:tr w:rsidR="00995BE0" w:rsidRPr="001D71BB" w:rsidTr="00985775">
        <w:tc>
          <w:tcPr>
            <w:tcW w:w="1668" w:type="dxa"/>
          </w:tcPr>
          <w:p w:rsidR="00995BE0" w:rsidRPr="001D71BB" w:rsidRDefault="00995BE0" w:rsidP="00985775">
            <w:pPr>
              <w:rPr>
                <w:b/>
                <w:lang w:eastAsia="ar-SA"/>
              </w:rPr>
            </w:pPr>
            <w:r w:rsidRPr="001D71BB">
              <w:rPr>
                <w:b/>
                <w:bCs/>
                <w:sz w:val="22"/>
                <w:szCs w:val="22"/>
              </w:rPr>
              <w:t>Danija</w:t>
            </w:r>
          </w:p>
        </w:tc>
        <w:tc>
          <w:tcPr>
            <w:tcW w:w="851" w:type="dxa"/>
          </w:tcPr>
          <w:p w:rsidR="00995BE0" w:rsidRPr="001D71BB" w:rsidRDefault="00995BE0" w:rsidP="00985775">
            <w:pPr>
              <w:rPr>
                <w:lang w:eastAsia="ar-SA"/>
              </w:rPr>
            </w:pPr>
            <w:r w:rsidRPr="001D71BB">
              <w:rPr>
                <w:sz w:val="22"/>
                <w:szCs w:val="22"/>
              </w:rPr>
              <w:t>431</w:t>
            </w:r>
          </w:p>
        </w:tc>
        <w:tc>
          <w:tcPr>
            <w:tcW w:w="850" w:type="dxa"/>
          </w:tcPr>
          <w:p w:rsidR="00995BE0" w:rsidRPr="001D71BB" w:rsidRDefault="00995BE0" w:rsidP="00985775">
            <w:pPr>
              <w:rPr>
                <w:lang w:eastAsia="ar-SA"/>
              </w:rPr>
            </w:pPr>
            <w:r w:rsidRPr="001D71BB">
              <w:rPr>
                <w:sz w:val="22"/>
                <w:szCs w:val="22"/>
              </w:rPr>
              <w:t>463</w:t>
            </w:r>
          </w:p>
        </w:tc>
        <w:tc>
          <w:tcPr>
            <w:tcW w:w="850" w:type="dxa"/>
          </w:tcPr>
          <w:p w:rsidR="00995BE0" w:rsidRPr="001D71BB" w:rsidRDefault="00995BE0" w:rsidP="00985775">
            <w:pPr>
              <w:rPr>
                <w:lang w:eastAsia="ar-SA"/>
              </w:rPr>
            </w:pPr>
            <w:r w:rsidRPr="001D71BB">
              <w:rPr>
                <w:sz w:val="22"/>
                <w:szCs w:val="22"/>
              </w:rPr>
              <w:t>432</w:t>
            </w:r>
          </w:p>
        </w:tc>
        <w:tc>
          <w:tcPr>
            <w:tcW w:w="709" w:type="dxa"/>
          </w:tcPr>
          <w:p w:rsidR="00995BE0" w:rsidRPr="001D71BB" w:rsidRDefault="00995BE0" w:rsidP="00985775">
            <w:pPr>
              <w:rPr>
                <w:lang w:eastAsia="ar-SA"/>
              </w:rPr>
            </w:pPr>
            <w:r w:rsidRPr="001D71BB">
              <w:rPr>
                <w:sz w:val="22"/>
                <w:szCs w:val="22"/>
              </w:rPr>
              <w:t>369</w:t>
            </w:r>
          </w:p>
        </w:tc>
        <w:tc>
          <w:tcPr>
            <w:tcW w:w="851" w:type="dxa"/>
          </w:tcPr>
          <w:p w:rsidR="00995BE0" w:rsidRPr="001D71BB" w:rsidRDefault="00995BE0" w:rsidP="00985775">
            <w:pPr>
              <w:rPr>
                <w:lang w:eastAsia="ar-SA"/>
              </w:rPr>
            </w:pPr>
            <w:r w:rsidRPr="001D71BB">
              <w:rPr>
                <w:sz w:val="22"/>
                <w:szCs w:val="22"/>
              </w:rPr>
              <w:t>331</w:t>
            </w:r>
          </w:p>
        </w:tc>
        <w:tc>
          <w:tcPr>
            <w:tcW w:w="849" w:type="dxa"/>
          </w:tcPr>
          <w:p w:rsidR="00995BE0" w:rsidRPr="001D71BB" w:rsidRDefault="00995BE0" w:rsidP="00985775">
            <w:pPr>
              <w:rPr>
                <w:lang w:eastAsia="ar-SA"/>
              </w:rPr>
            </w:pPr>
            <w:r w:rsidRPr="001D71BB">
              <w:rPr>
                <w:sz w:val="22"/>
                <w:szCs w:val="22"/>
              </w:rPr>
              <w:t>306</w:t>
            </w:r>
          </w:p>
        </w:tc>
        <w:tc>
          <w:tcPr>
            <w:tcW w:w="709" w:type="dxa"/>
          </w:tcPr>
          <w:p w:rsidR="00995BE0" w:rsidRPr="001D71BB" w:rsidRDefault="00995BE0" w:rsidP="00985775">
            <w:pPr>
              <w:rPr>
                <w:lang w:eastAsia="ar-SA"/>
              </w:rPr>
            </w:pPr>
            <w:r w:rsidRPr="001D71BB">
              <w:rPr>
                <w:sz w:val="22"/>
                <w:szCs w:val="22"/>
              </w:rPr>
              <w:t>406</w:t>
            </w:r>
          </w:p>
        </w:tc>
        <w:tc>
          <w:tcPr>
            <w:tcW w:w="708" w:type="dxa"/>
          </w:tcPr>
          <w:p w:rsidR="00995BE0" w:rsidRPr="001D71BB" w:rsidRDefault="00995BE0" w:rsidP="00985775">
            <w:pPr>
              <w:rPr>
                <w:lang w:eastAsia="ar-SA"/>
              </w:rPr>
            </w:pPr>
            <w:r w:rsidRPr="001D71BB">
              <w:rPr>
                <w:sz w:val="22"/>
                <w:szCs w:val="22"/>
              </w:rPr>
              <w:t>406</w:t>
            </w:r>
          </w:p>
        </w:tc>
        <w:tc>
          <w:tcPr>
            <w:tcW w:w="1419" w:type="dxa"/>
          </w:tcPr>
          <w:p w:rsidR="00995BE0" w:rsidRPr="001D71BB" w:rsidRDefault="00995BE0" w:rsidP="00985775">
            <w:pPr>
              <w:rPr>
                <w:lang w:eastAsia="ar-SA"/>
              </w:rPr>
            </w:pPr>
            <w:r w:rsidRPr="001D71BB">
              <w:rPr>
                <w:sz w:val="22"/>
                <w:szCs w:val="22"/>
              </w:rPr>
              <w:t>-6</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Vokietija</w:t>
            </w:r>
          </w:p>
        </w:tc>
        <w:tc>
          <w:tcPr>
            <w:tcW w:w="851" w:type="dxa"/>
          </w:tcPr>
          <w:p w:rsidR="00995BE0" w:rsidRPr="001D71BB" w:rsidRDefault="00995BE0" w:rsidP="00985775">
            <w:pPr>
              <w:rPr>
                <w:lang w:eastAsia="ar-SA"/>
              </w:rPr>
            </w:pPr>
            <w:r w:rsidRPr="001D71BB">
              <w:rPr>
                <w:sz w:val="22"/>
                <w:szCs w:val="22"/>
              </w:rPr>
              <w:t>6.977</w:t>
            </w:r>
          </w:p>
        </w:tc>
        <w:tc>
          <w:tcPr>
            <w:tcW w:w="850" w:type="dxa"/>
          </w:tcPr>
          <w:p w:rsidR="00995BE0" w:rsidRPr="001D71BB" w:rsidRDefault="00995BE0" w:rsidP="00985775">
            <w:pPr>
              <w:rPr>
                <w:lang w:eastAsia="ar-SA"/>
              </w:rPr>
            </w:pPr>
            <w:r w:rsidRPr="001D71BB">
              <w:rPr>
                <w:sz w:val="22"/>
                <w:szCs w:val="22"/>
              </w:rPr>
              <w:t>6.842</w:t>
            </w:r>
          </w:p>
        </w:tc>
        <w:tc>
          <w:tcPr>
            <w:tcW w:w="850" w:type="dxa"/>
          </w:tcPr>
          <w:p w:rsidR="00995BE0" w:rsidRPr="001D71BB" w:rsidRDefault="00995BE0" w:rsidP="00985775">
            <w:pPr>
              <w:rPr>
                <w:lang w:eastAsia="ar-SA"/>
              </w:rPr>
            </w:pPr>
            <w:r w:rsidRPr="001D71BB">
              <w:rPr>
                <w:sz w:val="22"/>
                <w:szCs w:val="22"/>
              </w:rPr>
              <w:t>6.613</w:t>
            </w:r>
          </w:p>
        </w:tc>
        <w:tc>
          <w:tcPr>
            <w:tcW w:w="709" w:type="dxa"/>
          </w:tcPr>
          <w:p w:rsidR="00995BE0" w:rsidRPr="001D71BB" w:rsidRDefault="00995BE0" w:rsidP="00985775">
            <w:pPr>
              <w:rPr>
                <w:lang w:eastAsia="ar-SA"/>
              </w:rPr>
            </w:pPr>
            <w:r w:rsidRPr="001D71BB">
              <w:rPr>
                <w:sz w:val="22"/>
                <w:szCs w:val="22"/>
              </w:rPr>
              <w:t>5.842</w:t>
            </w:r>
          </w:p>
        </w:tc>
        <w:tc>
          <w:tcPr>
            <w:tcW w:w="851" w:type="dxa"/>
          </w:tcPr>
          <w:p w:rsidR="00995BE0" w:rsidRPr="001D71BB" w:rsidRDefault="00995BE0" w:rsidP="00985775">
            <w:pPr>
              <w:rPr>
                <w:lang w:eastAsia="ar-SA"/>
              </w:rPr>
            </w:pPr>
            <w:r w:rsidRPr="001D71BB">
              <w:rPr>
                <w:sz w:val="22"/>
                <w:szCs w:val="22"/>
              </w:rPr>
              <w:t>5.361</w:t>
            </w:r>
          </w:p>
        </w:tc>
        <w:tc>
          <w:tcPr>
            <w:tcW w:w="849" w:type="dxa"/>
          </w:tcPr>
          <w:p w:rsidR="00995BE0" w:rsidRPr="001D71BB" w:rsidRDefault="00995BE0" w:rsidP="00985775">
            <w:pPr>
              <w:rPr>
                <w:lang w:eastAsia="ar-SA"/>
              </w:rPr>
            </w:pPr>
            <w:r w:rsidRPr="001D71BB">
              <w:rPr>
                <w:sz w:val="22"/>
                <w:szCs w:val="22"/>
              </w:rPr>
              <w:t>5.091</w:t>
            </w:r>
          </w:p>
        </w:tc>
        <w:tc>
          <w:tcPr>
            <w:tcW w:w="709" w:type="dxa"/>
          </w:tcPr>
          <w:p w:rsidR="00995BE0" w:rsidRPr="001D71BB" w:rsidRDefault="00995BE0" w:rsidP="00985775">
            <w:pPr>
              <w:ind w:right="-108"/>
              <w:rPr>
                <w:lang w:eastAsia="ar-SA"/>
              </w:rPr>
            </w:pPr>
            <w:r w:rsidRPr="001D71BB">
              <w:rPr>
                <w:sz w:val="22"/>
                <w:szCs w:val="22"/>
              </w:rPr>
              <w:t>5.056</w:t>
            </w:r>
          </w:p>
        </w:tc>
        <w:tc>
          <w:tcPr>
            <w:tcW w:w="708" w:type="dxa"/>
          </w:tcPr>
          <w:p w:rsidR="00995BE0" w:rsidRPr="001D71BB" w:rsidRDefault="00995BE0" w:rsidP="00985775">
            <w:pPr>
              <w:ind w:right="-108"/>
              <w:rPr>
                <w:lang w:eastAsia="ar-SA"/>
              </w:rPr>
            </w:pPr>
            <w:r w:rsidRPr="001D71BB">
              <w:rPr>
                <w:sz w:val="22"/>
                <w:szCs w:val="22"/>
              </w:rPr>
              <w:t>4.477</w:t>
            </w:r>
          </w:p>
        </w:tc>
        <w:tc>
          <w:tcPr>
            <w:tcW w:w="1419" w:type="dxa"/>
          </w:tcPr>
          <w:p w:rsidR="00995BE0" w:rsidRPr="001D71BB" w:rsidRDefault="00995BE0" w:rsidP="00985775">
            <w:pPr>
              <w:rPr>
                <w:lang w:eastAsia="ar-SA"/>
              </w:rPr>
            </w:pPr>
            <w:r w:rsidRPr="001D71BB">
              <w:rPr>
                <w:sz w:val="22"/>
                <w:szCs w:val="22"/>
              </w:rPr>
              <w:t>-36</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Estija</w:t>
            </w:r>
          </w:p>
        </w:tc>
        <w:tc>
          <w:tcPr>
            <w:tcW w:w="851" w:type="dxa"/>
          </w:tcPr>
          <w:p w:rsidR="00995BE0" w:rsidRPr="001D71BB" w:rsidRDefault="00995BE0" w:rsidP="00985775">
            <w:pPr>
              <w:rPr>
                <w:lang w:eastAsia="ar-SA"/>
              </w:rPr>
            </w:pPr>
            <w:r w:rsidRPr="001D71BB">
              <w:rPr>
                <w:sz w:val="22"/>
                <w:szCs w:val="22"/>
              </w:rPr>
              <w:t>199</w:t>
            </w:r>
          </w:p>
        </w:tc>
        <w:tc>
          <w:tcPr>
            <w:tcW w:w="850" w:type="dxa"/>
          </w:tcPr>
          <w:p w:rsidR="00995BE0" w:rsidRPr="001D71BB" w:rsidRDefault="00995BE0" w:rsidP="00985775">
            <w:pPr>
              <w:rPr>
                <w:lang w:eastAsia="ar-SA"/>
              </w:rPr>
            </w:pPr>
            <w:r w:rsidRPr="001D71BB">
              <w:rPr>
                <w:sz w:val="22"/>
                <w:szCs w:val="22"/>
              </w:rPr>
              <w:t>223</w:t>
            </w:r>
          </w:p>
        </w:tc>
        <w:tc>
          <w:tcPr>
            <w:tcW w:w="850" w:type="dxa"/>
          </w:tcPr>
          <w:p w:rsidR="00995BE0" w:rsidRPr="001D71BB" w:rsidRDefault="00995BE0" w:rsidP="00985775">
            <w:pPr>
              <w:rPr>
                <w:lang w:eastAsia="ar-SA"/>
              </w:rPr>
            </w:pPr>
            <w:r w:rsidRPr="001D71BB">
              <w:rPr>
                <w:sz w:val="22"/>
                <w:szCs w:val="22"/>
              </w:rPr>
              <w:t>164</w:t>
            </w:r>
          </w:p>
        </w:tc>
        <w:tc>
          <w:tcPr>
            <w:tcW w:w="709" w:type="dxa"/>
          </w:tcPr>
          <w:p w:rsidR="00995BE0" w:rsidRPr="001D71BB" w:rsidRDefault="00995BE0" w:rsidP="00985775">
            <w:pPr>
              <w:rPr>
                <w:lang w:eastAsia="ar-SA"/>
              </w:rPr>
            </w:pPr>
            <w:r w:rsidRPr="001D71BB">
              <w:rPr>
                <w:sz w:val="22"/>
                <w:szCs w:val="22"/>
              </w:rPr>
              <w:t>170</w:t>
            </w:r>
          </w:p>
        </w:tc>
        <w:tc>
          <w:tcPr>
            <w:tcW w:w="851" w:type="dxa"/>
          </w:tcPr>
          <w:p w:rsidR="00995BE0" w:rsidRPr="001D71BB" w:rsidRDefault="00995BE0" w:rsidP="00985775">
            <w:pPr>
              <w:rPr>
                <w:lang w:eastAsia="ar-SA"/>
              </w:rPr>
            </w:pPr>
            <w:r w:rsidRPr="001D71BB">
              <w:rPr>
                <w:sz w:val="22"/>
                <w:szCs w:val="22"/>
              </w:rPr>
              <w:t>169</w:t>
            </w:r>
          </w:p>
        </w:tc>
        <w:tc>
          <w:tcPr>
            <w:tcW w:w="849" w:type="dxa"/>
          </w:tcPr>
          <w:p w:rsidR="00995BE0" w:rsidRPr="001D71BB" w:rsidRDefault="00995BE0" w:rsidP="00985775">
            <w:pPr>
              <w:rPr>
                <w:lang w:eastAsia="ar-SA"/>
              </w:rPr>
            </w:pPr>
            <w:r w:rsidRPr="001D71BB">
              <w:rPr>
                <w:sz w:val="22"/>
                <w:szCs w:val="22"/>
              </w:rPr>
              <w:t>204</w:t>
            </w:r>
          </w:p>
        </w:tc>
        <w:tc>
          <w:tcPr>
            <w:tcW w:w="709" w:type="dxa"/>
          </w:tcPr>
          <w:p w:rsidR="00995BE0" w:rsidRPr="001D71BB" w:rsidRDefault="00995BE0" w:rsidP="00985775">
            <w:pPr>
              <w:rPr>
                <w:lang w:eastAsia="ar-SA"/>
              </w:rPr>
            </w:pPr>
            <w:r w:rsidRPr="001D71BB">
              <w:rPr>
                <w:sz w:val="22"/>
                <w:szCs w:val="22"/>
              </w:rPr>
              <w:t>196</w:t>
            </w:r>
          </w:p>
        </w:tc>
        <w:tc>
          <w:tcPr>
            <w:tcW w:w="708" w:type="dxa"/>
          </w:tcPr>
          <w:p w:rsidR="00995BE0" w:rsidRPr="001D71BB" w:rsidRDefault="00995BE0" w:rsidP="00985775">
            <w:pPr>
              <w:rPr>
                <w:lang w:eastAsia="ar-SA"/>
              </w:rPr>
            </w:pPr>
            <w:r w:rsidRPr="001D71BB">
              <w:rPr>
                <w:sz w:val="22"/>
                <w:szCs w:val="22"/>
              </w:rPr>
              <w:t>132</w:t>
            </w:r>
          </w:p>
        </w:tc>
        <w:tc>
          <w:tcPr>
            <w:tcW w:w="1419" w:type="dxa"/>
          </w:tcPr>
          <w:p w:rsidR="00995BE0" w:rsidRPr="001D71BB" w:rsidRDefault="00995BE0" w:rsidP="00985775">
            <w:pPr>
              <w:rPr>
                <w:lang w:eastAsia="ar-SA"/>
              </w:rPr>
            </w:pPr>
            <w:r w:rsidRPr="001D71BB">
              <w:rPr>
                <w:sz w:val="22"/>
                <w:szCs w:val="22"/>
              </w:rPr>
              <w:t>-34</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Airija</w:t>
            </w:r>
          </w:p>
        </w:tc>
        <w:tc>
          <w:tcPr>
            <w:tcW w:w="851" w:type="dxa"/>
          </w:tcPr>
          <w:p w:rsidR="00995BE0" w:rsidRPr="001D71BB" w:rsidRDefault="00995BE0" w:rsidP="00985775">
            <w:pPr>
              <w:rPr>
                <w:lang w:eastAsia="ar-SA"/>
              </w:rPr>
            </w:pPr>
            <w:r w:rsidRPr="001D71BB">
              <w:rPr>
                <w:sz w:val="22"/>
                <w:szCs w:val="22"/>
              </w:rPr>
              <w:t>412</w:t>
            </w:r>
          </w:p>
        </w:tc>
        <w:tc>
          <w:tcPr>
            <w:tcW w:w="850" w:type="dxa"/>
          </w:tcPr>
          <w:p w:rsidR="00995BE0" w:rsidRPr="001D71BB" w:rsidRDefault="00995BE0" w:rsidP="00985775">
            <w:pPr>
              <w:rPr>
                <w:lang w:eastAsia="ar-SA"/>
              </w:rPr>
            </w:pPr>
            <w:r w:rsidRPr="001D71BB">
              <w:rPr>
                <w:sz w:val="22"/>
                <w:szCs w:val="22"/>
              </w:rPr>
              <w:t>376</w:t>
            </w:r>
          </w:p>
        </w:tc>
        <w:tc>
          <w:tcPr>
            <w:tcW w:w="850" w:type="dxa"/>
          </w:tcPr>
          <w:p w:rsidR="00995BE0" w:rsidRPr="001D71BB" w:rsidRDefault="00995BE0" w:rsidP="00985775">
            <w:pPr>
              <w:rPr>
                <w:lang w:eastAsia="ar-SA"/>
              </w:rPr>
            </w:pPr>
            <w:r w:rsidRPr="001D71BB">
              <w:rPr>
                <w:sz w:val="22"/>
                <w:szCs w:val="22"/>
              </w:rPr>
              <w:t>337</w:t>
            </w:r>
          </w:p>
        </w:tc>
        <w:tc>
          <w:tcPr>
            <w:tcW w:w="709" w:type="dxa"/>
          </w:tcPr>
          <w:p w:rsidR="00995BE0" w:rsidRPr="001D71BB" w:rsidRDefault="00995BE0" w:rsidP="00985775">
            <w:pPr>
              <w:rPr>
                <w:lang w:eastAsia="ar-SA"/>
              </w:rPr>
            </w:pPr>
            <w:r w:rsidRPr="001D71BB">
              <w:rPr>
                <w:sz w:val="22"/>
                <w:szCs w:val="22"/>
              </w:rPr>
              <w:t>374</w:t>
            </w:r>
          </w:p>
        </w:tc>
        <w:tc>
          <w:tcPr>
            <w:tcW w:w="851" w:type="dxa"/>
          </w:tcPr>
          <w:p w:rsidR="00995BE0" w:rsidRPr="001D71BB" w:rsidRDefault="00995BE0" w:rsidP="00985775">
            <w:pPr>
              <w:rPr>
                <w:lang w:eastAsia="ar-SA"/>
              </w:rPr>
            </w:pPr>
            <w:r w:rsidRPr="001D71BB">
              <w:rPr>
                <w:sz w:val="22"/>
                <w:szCs w:val="22"/>
              </w:rPr>
              <w:t>396</w:t>
            </w:r>
          </w:p>
        </w:tc>
        <w:tc>
          <w:tcPr>
            <w:tcW w:w="849" w:type="dxa"/>
          </w:tcPr>
          <w:p w:rsidR="00995BE0" w:rsidRPr="001D71BB" w:rsidRDefault="00995BE0" w:rsidP="00985775">
            <w:pPr>
              <w:rPr>
                <w:lang w:eastAsia="ar-SA"/>
              </w:rPr>
            </w:pPr>
            <w:r w:rsidRPr="001D71BB">
              <w:rPr>
                <w:sz w:val="22"/>
                <w:szCs w:val="22"/>
              </w:rPr>
              <w:t>365</w:t>
            </w:r>
          </w:p>
        </w:tc>
        <w:tc>
          <w:tcPr>
            <w:tcW w:w="709" w:type="dxa"/>
          </w:tcPr>
          <w:p w:rsidR="00995BE0" w:rsidRPr="001D71BB" w:rsidRDefault="00995BE0" w:rsidP="00985775">
            <w:pPr>
              <w:rPr>
                <w:lang w:eastAsia="ar-SA"/>
              </w:rPr>
            </w:pPr>
            <w:r w:rsidRPr="001D71BB">
              <w:rPr>
                <w:sz w:val="22"/>
                <w:szCs w:val="22"/>
              </w:rPr>
              <w:t>338</w:t>
            </w:r>
          </w:p>
        </w:tc>
        <w:tc>
          <w:tcPr>
            <w:tcW w:w="708" w:type="dxa"/>
          </w:tcPr>
          <w:p w:rsidR="00995BE0" w:rsidRPr="001D71BB" w:rsidRDefault="00995BE0" w:rsidP="00985775">
            <w:pPr>
              <w:rPr>
                <w:lang w:eastAsia="ar-SA"/>
              </w:rPr>
            </w:pPr>
            <w:r w:rsidRPr="001D71BB">
              <w:rPr>
                <w:sz w:val="22"/>
                <w:szCs w:val="22"/>
              </w:rPr>
              <w:t>279</w:t>
            </w:r>
          </w:p>
        </w:tc>
        <w:tc>
          <w:tcPr>
            <w:tcW w:w="1419" w:type="dxa"/>
          </w:tcPr>
          <w:p w:rsidR="00995BE0" w:rsidRPr="001D71BB" w:rsidRDefault="00995BE0" w:rsidP="00985775">
            <w:pPr>
              <w:rPr>
                <w:lang w:eastAsia="ar-SA"/>
              </w:rPr>
            </w:pPr>
            <w:r w:rsidRPr="001D71BB">
              <w:rPr>
                <w:sz w:val="22"/>
                <w:szCs w:val="22"/>
              </w:rPr>
              <w:t>-32</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Ispanija</w:t>
            </w:r>
          </w:p>
        </w:tc>
        <w:tc>
          <w:tcPr>
            <w:tcW w:w="851" w:type="dxa"/>
          </w:tcPr>
          <w:p w:rsidR="00995BE0" w:rsidRPr="001D71BB" w:rsidRDefault="00995BE0" w:rsidP="00985775">
            <w:pPr>
              <w:rPr>
                <w:lang w:eastAsia="ar-SA"/>
              </w:rPr>
            </w:pPr>
            <w:r w:rsidRPr="001D71BB">
              <w:rPr>
                <w:sz w:val="22"/>
                <w:szCs w:val="22"/>
              </w:rPr>
              <w:t>5.517</w:t>
            </w:r>
          </w:p>
        </w:tc>
        <w:tc>
          <w:tcPr>
            <w:tcW w:w="850" w:type="dxa"/>
          </w:tcPr>
          <w:p w:rsidR="00995BE0" w:rsidRPr="001D71BB" w:rsidRDefault="00995BE0" w:rsidP="00985775">
            <w:pPr>
              <w:rPr>
                <w:lang w:eastAsia="ar-SA"/>
              </w:rPr>
            </w:pPr>
            <w:r w:rsidRPr="001D71BB">
              <w:rPr>
                <w:sz w:val="22"/>
                <w:szCs w:val="22"/>
              </w:rPr>
              <w:t>5.347</w:t>
            </w:r>
          </w:p>
        </w:tc>
        <w:tc>
          <w:tcPr>
            <w:tcW w:w="850" w:type="dxa"/>
          </w:tcPr>
          <w:p w:rsidR="00995BE0" w:rsidRPr="001D71BB" w:rsidRDefault="00995BE0" w:rsidP="00985775">
            <w:pPr>
              <w:rPr>
                <w:lang w:eastAsia="ar-SA"/>
              </w:rPr>
            </w:pPr>
            <w:r w:rsidRPr="001D71BB">
              <w:rPr>
                <w:sz w:val="22"/>
                <w:szCs w:val="22"/>
              </w:rPr>
              <w:t>5.400</w:t>
            </w:r>
          </w:p>
        </w:tc>
        <w:tc>
          <w:tcPr>
            <w:tcW w:w="709" w:type="dxa"/>
          </w:tcPr>
          <w:p w:rsidR="00995BE0" w:rsidRPr="001D71BB" w:rsidRDefault="00995BE0" w:rsidP="00985775">
            <w:pPr>
              <w:ind w:right="-108"/>
              <w:rPr>
                <w:lang w:eastAsia="ar-SA"/>
              </w:rPr>
            </w:pPr>
            <w:r w:rsidRPr="001D71BB">
              <w:rPr>
                <w:sz w:val="22"/>
                <w:szCs w:val="22"/>
              </w:rPr>
              <w:t>4.749</w:t>
            </w:r>
          </w:p>
        </w:tc>
        <w:tc>
          <w:tcPr>
            <w:tcW w:w="851" w:type="dxa"/>
          </w:tcPr>
          <w:p w:rsidR="00995BE0" w:rsidRPr="001D71BB" w:rsidRDefault="00995BE0" w:rsidP="00985775">
            <w:pPr>
              <w:rPr>
                <w:lang w:eastAsia="ar-SA"/>
              </w:rPr>
            </w:pPr>
            <w:r w:rsidRPr="001D71BB">
              <w:rPr>
                <w:sz w:val="22"/>
                <w:szCs w:val="22"/>
              </w:rPr>
              <w:t>4.442</w:t>
            </w:r>
          </w:p>
        </w:tc>
        <w:tc>
          <w:tcPr>
            <w:tcW w:w="849" w:type="dxa"/>
          </w:tcPr>
          <w:p w:rsidR="00995BE0" w:rsidRPr="001D71BB" w:rsidRDefault="00995BE0" w:rsidP="00985775">
            <w:pPr>
              <w:rPr>
                <w:lang w:eastAsia="ar-SA"/>
              </w:rPr>
            </w:pPr>
            <w:r w:rsidRPr="001D71BB">
              <w:rPr>
                <w:sz w:val="22"/>
                <w:szCs w:val="22"/>
              </w:rPr>
              <w:t>4.104</w:t>
            </w:r>
          </w:p>
        </w:tc>
        <w:tc>
          <w:tcPr>
            <w:tcW w:w="709" w:type="dxa"/>
          </w:tcPr>
          <w:p w:rsidR="00995BE0" w:rsidRPr="001D71BB" w:rsidRDefault="00995BE0" w:rsidP="00985775">
            <w:pPr>
              <w:ind w:right="-108"/>
              <w:rPr>
                <w:lang w:eastAsia="ar-SA"/>
              </w:rPr>
            </w:pPr>
            <w:r w:rsidRPr="001D71BB">
              <w:rPr>
                <w:sz w:val="22"/>
                <w:szCs w:val="22"/>
              </w:rPr>
              <w:t>3.823</w:t>
            </w:r>
          </w:p>
        </w:tc>
        <w:tc>
          <w:tcPr>
            <w:tcW w:w="708" w:type="dxa"/>
          </w:tcPr>
          <w:p w:rsidR="00995BE0" w:rsidRPr="001D71BB" w:rsidRDefault="00995BE0" w:rsidP="00985775">
            <w:pPr>
              <w:rPr>
                <w:lang w:eastAsia="ar-SA"/>
              </w:rPr>
            </w:pPr>
            <w:r w:rsidRPr="001D71BB">
              <w:rPr>
                <w:sz w:val="22"/>
                <w:szCs w:val="22"/>
              </w:rPr>
              <w:t>3.10</w:t>
            </w:r>
          </w:p>
        </w:tc>
        <w:tc>
          <w:tcPr>
            <w:tcW w:w="1419" w:type="dxa"/>
          </w:tcPr>
          <w:p w:rsidR="00995BE0" w:rsidRPr="001D71BB" w:rsidRDefault="00995BE0" w:rsidP="00985775">
            <w:pPr>
              <w:rPr>
                <w:lang w:eastAsia="ar-SA"/>
              </w:rPr>
            </w:pPr>
            <w:r w:rsidRPr="001D71BB">
              <w:rPr>
                <w:sz w:val="22"/>
                <w:szCs w:val="22"/>
              </w:rPr>
              <w:t>-44</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Prancūzija</w:t>
            </w:r>
          </w:p>
        </w:tc>
        <w:tc>
          <w:tcPr>
            <w:tcW w:w="851" w:type="dxa"/>
          </w:tcPr>
          <w:p w:rsidR="00995BE0" w:rsidRPr="001D71BB" w:rsidRDefault="00995BE0" w:rsidP="00985775">
            <w:pPr>
              <w:rPr>
                <w:lang w:eastAsia="ar-SA"/>
              </w:rPr>
            </w:pPr>
            <w:r w:rsidRPr="001D71BB">
              <w:rPr>
                <w:sz w:val="22"/>
                <w:szCs w:val="22"/>
              </w:rPr>
              <w:t>8.162</w:t>
            </w:r>
          </w:p>
        </w:tc>
        <w:tc>
          <w:tcPr>
            <w:tcW w:w="850" w:type="dxa"/>
          </w:tcPr>
          <w:p w:rsidR="00995BE0" w:rsidRPr="001D71BB" w:rsidRDefault="00995BE0" w:rsidP="00985775">
            <w:pPr>
              <w:rPr>
                <w:lang w:eastAsia="ar-SA"/>
              </w:rPr>
            </w:pPr>
            <w:r w:rsidRPr="001D71BB">
              <w:rPr>
                <w:sz w:val="22"/>
                <w:szCs w:val="22"/>
              </w:rPr>
              <w:t>7.655</w:t>
            </w:r>
          </w:p>
        </w:tc>
        <w:tc>
          <w:tcPr>
            <w:tcW w:w="850" w:type="dxa"/>
          </w:tcPr>
          <w:p w:rsidR="00995BE0" w:rsidRPr="001D71BB" w:rsidRDefault="00995BE0" w:rsidP="00985775">
            <w:pPr>
              <w:rPr>
                <w:lang w:eastAsia="ar-SA"/>
              </w:rPr>
            </w:pPr>
            <w:r w:rsidRPr="001D71BB">
              <w:rPr>
                <w:sz w:val="22"/>
                <w:szCs w:val="22"/>
              </w:rPr>
              <w:t>6.058</w:t>
            </w:r>
          </w:p>
        </w:tc>
        <w:tc>
          <w:tcPr>
            <w:tcW w:w="709" w:type="dxa"/>
          </w:tcPr>
          <w:p w:rsidR="00995BE0" w:rsidRPr="001D71BB" w:rsidRDefault="00995BE0" w:rsidP="00985775">
            <w:pPr>
              <w:ind w:right="-108"/>
              <w:rPr>
                <w:lang w:eastAsia="ar-SA"/>
              </w:rPr>
            </w:pPr>
            <w:r w:rsidRPr="001D71BB">
              <w:rPr>
                <w:sz w:val="22"/>
                <w:szCs w:val="22"/>
              </w:rPr>
              <w:t>5.530</w:t>
            </w:r>
          </w:p>
        </w:tc>
        <w:tc>
          <w:tcPr>
            <w:tcW w:w="851" w:type="dxa"/>
          </w:tcPr>
          <w:p w:rsidR="00995BE0" w:rsidRPr="001D71BB" w:rsidRDefault="00995BE0" w:rsidP="00985775">
            <w:pPr>
              <w:rPr>
                <w:lang w:eastAsia="ar-SA"/>
              </w:rPr>
            </w:pPr>
            <w:r w:rsidRPr="001D71BB">
              <w:rPr>
                <w:sz w:val="22"/>
                <w:szCs w:val="22"/>
              </w:rPr>
              <w:t>5.318</w:t>
            </w:r>
          </w:p>
        </w:tc>
        <w:tc>
          <w:tcPr>
            <w:tcW w:w="849" w:type="dxa"/>
          </w:tcPr>
          <w:p w:rsidR="00995BE0" w:rsidRPr="001D71BB" w:rsidRDefault="00995BE0" w:rsidP="00985775">
            <w:pPr>
              <w:rPr>
                <w:lang w:eastAsia="ar-SA"/>
              </w:rPr>
            </w:pPr>
            <w:r w:rsidRPr="001D71BB">
              <w:rPr>
                <w:sz w:val="22"/>
                <w:szCs w:val="22"/>
              </w:rPr>
              <w:t>4.709</w:t>
            </w:r>
          </w:p>
        </w:tc>
        <w:tc>
          <w:tcPr>
            <w:tcW w:w="709" w:type="dxa"/>
          </w:tcPr>
          <w:p w:rsidR="00995BE0" w:rsidRPr="001D71BB" w:rsidRDefault="00995BE0" w:rsidP="00985775">
            <w:pPr>
              <w:rPr>
                <w:lang w:eastAsia="ar-SA"/>
              </w:rPr>
            </w:pPr>
            <w:r w:rsidRPr="001D71BB">
              <w:rPr>
                <w:sz w:val="22"/>
                <w:szCs w:val="22"/>
              </w:rPr>
              <w:t>4.62</w:t>
            </w:r>
          </w:p>
        </w:tc>
        <w:tc>
          <w:tcPr>
            <w:tcW w:w="708" w:type="dxa"/>
          </w:tcPr>
          <w:p w:rsidR="00995BE0" w:rsidRPr="001D71BB" w:rsidRDefault="00995BE0" w:rsidP="00985775">
            <w:pPr>
              <w:ind w:right="-108"/>
              <w:rPr>
                <w:lang w:eastAsia="ar-SA"/>
              </w:rPr>
            </w:pPr>
            <w:r w:rsidRPr="001D71BB">
              <w:rPr>
                <w:sz w:val="22"/>
                <w:szCs w:val="22"/>
              </w:rPr>
              <w:t>4.275</w:t>
            </w:r>
          </w:p>
        </w:tc>
        <w:tc>
          <w:tcPr>
            <w:tcW w:w="1419" w:type="dxa"/>
          </w:tcPr>
          <w:p w:rsidR="00995BE0" w:rsidRPr="001D71BB" w:rsidRDefault="00995BE0" w:rsidP="00985775">
            <w:pPr>
              <w:rPr>
                <w:lang w:eastAsia="ar-SA"/>
              </w:rPr>
            </w:pPr>
            <w:r w:rsidRPr="001D71BB">
              <w:rPr>
                <w:sz w:val="22"/>
                <w:szCs w:val="22"/>
              </w:rPr>
              <w:t>-48</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Italija</w:t>
            </w:r>
          </w:p>
        </w:tc>
        <w:tc>
          <w:tcPr>
            <w:tcW w:w="851" w:type="dxa"/>
          </w:tcPr>
          <w:p w:rsidR="00995BE0" w:rsidRPr="001D71BB" w:rsidRDefault="00995BE0" w:rsidP="00985775">
            <w:r w:rsidRPr="001D71BB">
              <w:rPr>
                <w:sz w:val="22"/>
                <w:szCs w:val="22"/>
              </w:rPr>
              <w:t>7.096</w:t>
            </w:r>
          </w:p>
        </w:tc>
        <w:tc>
          <w:tcPr>
            <w:tcW w:w="850" w:type="dxa"/>
          </w:tcPr>
          <w:p w:rsidR="00995BE0" w:rsidRPr="001D71BB" w:rsidRDefault="00995BE0" w:rsidP="00985775">
            <w:r w:rsidRPr="001D71BB">
              <w:rPr>
                <w:sz w:val="22"/>
                <w:szCs w:val="22"/>
              </w:rPr>
              <w:t>6.980</w:t>
            </w:r>
          </w:p>
        </w:tc>
        <w:tc>
          <w:tcPr>
            <w:tcW w:w="850" w:type="dxa"/>
          </w:tcPr>
          <w:p w:rsidR="00995BE0" w:rsidRPr="001D71BB" w:rsidRDefault="00995BE0" w:rsidP="00985775">
            <w:r w:rsidRPr="001D71BB">
              <w:rPr>
                <w:sz w:val="22"/>
                <w:szCs w:val="22"/>
              </w:rPr>
              <w:t>6.563</w:t>
            </w:r>
          </w:p>
        </w:tc>
        <w:tc>
          <w:tcPr>
            <w:tcW w:w="709" w:type="dxa"/>
          </w:tcPr>
          <w:p w:rsidR="00995BE0" w:rsidRPr="001D71BB" w:rsidRDefault="00995BE0" w:rsidP="00985775">
            <w:pPr>
              <w:ind w:right="-108"/>
            </w:pPr>
            <w:r w:rsidRPr="001D71BB">
              <w:rPr>
                <w:sz w:val="22"/>
                <w:szCs w:val="22"/>
              </w:rPr>
              <w:t>6.122</w:t>
            </w:r>
          </w:p>
        </w:tc>
        <w:tc>
          <w:tcPr>
            <w:tcW w:w="851" w:type="dxa"/>
          </w:tcPr>
          <w:p w:rsidR="00995BE0" w:rsidRPr="001D71BB" w:rsidRDefault="00995BE0" w:rsidP="00985775">
            <w:r w:rsidRPr="001D71BB">
              <w:rPr>
                <w:sz w:val="22"/>
                <w:szCs w:val="22"/>
              </w:rPr>
              <w:t>5.818</w:t>
            </w:r>
          </w:p>
        </w:tc>
        <w:tc>
          <w:tcPr>
            <w:tcW w:w="849" w:type="dxa"/>
          </w:tcPr>
          <w:p w:rsidR="00995BE0" w:rsidRPr="001D71BB" w:rsidRDefault="00995BE0" w:rsidP="00985775">
            <w:r w:rsidRPr="001D71BB">
              <w:rPr>
                <w:sz w:val="22"/>
                <w:szCs w:val="22"/>
              </w:rPr>
              <w:t>5.669</w:t>
            </w:r>
          </w:p>
        </w:tc>
        <w:tc>
          <w:tcPr>
            <w:tcW w:w="709" w:type="dxa"/>
          </w:tcPr>
          <w:p w:rsidR="00995BE0" w:rsidRPr="001D71BB" w:rsidRDefault="00995BE0" w:rsidP="00985775">
            <w:pPr>
              <w:ind w:right="-108"/>
            </w:pPr>
            <w:r w:rsidRPr="001D71BB">
              <w:rPr>
                <w:sz w:val="22"/>
                <w:szCs w:val="22"/>
              </w:rPr>
              <w:t>5.131</w:t>
            </w:r>
          </w:p>
        </w:tc>
        <w:tc>
          <w:tcPr>
            <w:tcW w:w="708" w:type="dxa"/>
          </w:tcPr>
          <w:p w:rsidR="00995BE0" w:rsidRPr="001D71BB" w:rsidRDefault="00995BE0" w:rsidP="00985775">
            <w:pPr>
              <w:ind w:right="-108"/>
            </w:pPr>
            <w:r w:rsidRPr="001D71BB">
              <w:rPr>
                <w:sz w:val="22"/>
                <w:szCs w:val="22"/>
              </w:rPr>
              <w:t>4.731</w:t>
            </w:r>
          </w:p>
        </w:tc>
        <w:tc>
          <w:tcPr>
            <w:tcW w:w="1419" w:type="dxa"/>
          </w:tcPr>
          <w:p w:rsidR="00995BE0" w:rsidRPr="001D71BB" w:rsidRDefault="00995BE0" w:rsidP="00985775">
            <w:r w:rsidRPr="001D71BB">
              <w:rPr>
                <w:sz w:val="22"/>
                <w:szCs w:val="22"/>
              </w:rPr>
              <w:t>-33</w:t>
            </w:r>
          </w:p>
        </w:tc>
      </w:tr>
      <w:tr w:rsidR="00995BE0" w:rsidRPr="001D71BB" w:rsidTr="00985775">
        <w:tc>
          <w:tcPr>
            <w:tcW w:w="1668" w:type="dxa"/>
          </w:tcPr>
          <w:p w:rsidR="00995BE0" w:rsidRPr="001D71BB" w:rsidRDefault="00995BE0" w:rsidP="00985775">
            <w:pPr>
              <w:rPr>
                <w:b/>
                <w:lang w:eastAsia="ar-SA"/>
              </w:rPr>
            </w:pPr>
            <w:r w:rsidRPr="001D71BB">
              <w:rPr>
                <w:b/>
                <w:sz w:val="22"/>
                <w:szCs w:val="22"/>
                <w:lang w:eastAsia="ar-SA"/>
              </w:rPr>
              <w:t>Latvija</w:t>
            </w:r>
          </w:p>
        </w:tc>
        <w:tc>
          <w:tcPr>
            <w:tcW w:w="851" w:type="dxa"/>
          </w:tcPr>
          <w:p w:rsidR="00995BE0" w:rsidRPr="001D71BB" w:rsidRDefault="00995BE0" w:rsidP="00985775">
            <w:r w:rsidRPr="001D71BB">
              <w:rPr>
                <w:sz w:val="22"/>
                <w:szCs w:val="22"/>
              </w:rPr>
              <w:t>558</w:t>
            </w:r>
          </w:p>
        </w:tc>
        <w:tc>
          <w:tcPr>
            <w:tcW w:w="850" w:type="dxa"/>
          </w:tcPr>
          <w:p w:rsidR="00995BE0" w:rsidRPr="001D71BB" w:rsidRDefault="00995BE0" w:rsidP="00985775">
            <w:r w:rsidRPr="001D71BB">
              <w:rPr>
                <w:sz w:val="22"/>
                <w:szCs w:val="22"/>
              </w:rPr>
              <w:t>559</w:t>
            </w:r>
          </w:p>
        </w:tc>
        <w:tc>
          <w:tcPr>
            <w:tcW w:w="850" w:type="dxa"/>
          </w:tcPr>
          <w:p w:rsidR="00995BE0" w:rsidRPr="001D71BB" w:rsidRDefault="00995BE0" w:rsidP="00985775">
            <w:r w:rsidRPr="001D71BB">
              <w:rPr>
                <w:sz w:val="22"/>
                <w:szCs w:val="22"/>
              </w:rPr>
              <w:t>532</w:t>
            </w:r>
          </w:p>
        </w:tc>
        <w:tc>
          <w:tcPr>
            <w:tcW w:w="709" w:type="dxa"/>
          </w:tcPr>
          <w:p w:rsidR="00995BE0" w:rsidRPr="001D71BB" w:rsidRDefault="00995BE0" w:rsidP="00985775">
            <w:r w:rsidRPr="001D71BB">
              <w:rPr>
                <w:sz w:val="22"/>
                <w:szCs w:val="22"/>
              </w:rPr>
              <w:t>516</w:t>
            </w:r>
          </w:p>
        </w:tc>
        <w:tc>
          <w:tcPr>
            <w:tcW w:w="851" w:type="dxa"/>
          </w:tcPr>
          <w:p w:rsidR="00995BE0" w:rsidRPr="001D71BB" w:rsidRDefault="00995BE0" w:rsidP="00985775">
            <w:r w:rsidRPr="001D71BB">
              <w:rPr>
                <w:sz w:val="22"/>
                <w:szCs w:val="22"/>
              </w:rPr>
              <w:t>442</w:t>
            </w:r>
          </w:p>
        </w:tc>
        <w:tc>
          <w:tcPr>
            <w:tcW w:w="849" w:type="dxa"/>
          </w:tcPr>
          <w:p w:rsidR="00995BE0" w:rsidRPr="001D71BB" w:rsidRDefault="00995BE0" w:rsidP="00985775">
            <w:r w:rsidRPr="001D71BB">
              <w:rPr>
                <w:sz w:val="22"/>
                <w:szCs w:val="22"/>
              </w:rPr>
              <w:t>407</w:t>
            </w:r>
          </w:p>
        </w:tc>
        <w:tc>
          <w:tcPr>
            <w:tcW w:w="709" w:type="dxa"/>
          </w:tcPr>
          <w:p w:rsidR="00995BE0" w:rsidRPr="001D71BB" w:rsidRDefault="00995BE0" w:rsidP="00985775">
            <w:r w:rsidRPr="001D71BB">
              <w:rPr>
                <w:sz w:val="22"/>
                <w:szCs w:val="22"/>
              </w:rPr>
              <w:t>419</w:t>
            </w:r>
          </w:p>
        </w:tc>
        <w:tc>
          <w:tcPr>
            <w:tcW w:w="708" w:type="dxa"/>
          </w:tcPr>
          <w:p w:rsidR="00995BE0" w:rsidRPr="001D71BB" w:rsidRDefault="00995BE0" w:rsidP="00985775">
            <w:r w:rsidRPr="001D71BB">
              <w:rPr>
                <w:sz w:val="22"/>
                <w:szCs w:val="22"/>
              </w:rPr>
              <w:t>316</w:t>
            </w:r>
          </w:p>
        </w:tc>
        <w:tc>
          <w:tcPr>
            <w:tcW w:w="1419" w:type="dxa"/>
          </w:tcPr>
          <w:p w:rsidR="00995BE0" w:rsidRPr="001D71BB" w:rsidRDefault="00995BE0" w:rsidP="00985775">
            <w:r w:rsidRPr="001D71BB">
              <w:rPr>
                <w:sz w:val="22"/>
                <w:szCs w:val="22"/>
              </w:rPr>
              <w:t>-43</w:t>
            </w:r>
          </w:p>
        </w:tc>
      </w:tr>
      <w:tr w:rsidR="00995BE0" w:rsidRPr="001D71BB" w:rsidTr="00985775">
        <w:tc>
          <w:tcPr>
            <w:tcW w:w="1668" w:type="dxa"/>
          </w:tcPr>
          <w:p w:rsidR="00995BE0" w:rsidRPr="001D71BB" w:rsidRDefault="00995BE0" w:rsidP="00985775">
            <w:pPr>
              <w:rPr>
                <w:b/>
                <w:lang w:eastAsia="ar-SA"/>
              </w:rPr>
            </w:pPr>
            <w:r w:rsidRPr="001D71BB">
              <w:rPr>
                <w:b/>
                <w:bCs/>
                <w:sz w:val="22"/>
                <w:szCs w:val="22"/>
              </w:rPr>
              <w:t>Lietuva</w:t>
            </w:r>
          </w:p>
        </w:tc>
        <w:tc>
          <w:tcPr>
            <w:tcW w:w="851" w:type="dxa"/>
          </w:tcPr>
          <w:p w:rsidR="00995BE0" w:rsidRPr="001D71BB" w:rsidRDefault="00995BE0" w:rsidP="00985775">
            <w:r w:rsidRPr="001D71BB">
              <w:rPr>
                <w:sz w:val="22"/>
                <w:szCs w:val="22"/>
              </w:rPr>
              <w:t>706</w:t>
            </w:r>
          </w:p>
        </w:tc>
        <w:tc>
          <w:tcPr>
            <w:tcW w:w="850" w:type="dxa"/>
          </w:tcPr>
          <w:p w:rsidR="00995BE0" w:rsidRPr="001D71BB" w:rsidRDefault="00995BE0" w:rsidP="00985775">
            <w:r w:rsidRPr="001D71BB">
              <w:rPr>
                <w:sz w:val="22"/>
                <w:szCs w:val="22"/>
              </w:rPr>
              <w:t>697</w:t>
            </w:r>
          </w:p>
        </w:tc>
        <w:tc>
          <w:tcPr>
            <w:tcW w:w="850" w:type="dxa"/>
          </w:tcPr>
          <w:p w:rsidR="00995BE0" w:rsidRPr="001D71BB" w:rsidRDefault="00995BE0" w:rsidP="00985775">
            <w:r w:rsidRPr="001D71BB">
              <w:rPr>
                <w:sz w:val="22"/>
                <w:szCs w:val="22"/>
              </w:rPr>
              <w:t>709</w:t>
            </w:r>
          </w:p>
        </w:tc>
        <w:tc>
          <w:tcPr>
            <w:tcW w:w="709" w:type="dxa"/>
          </w:tcPr>
          <w:p w:rsidR="00995BE0" w:rsidRPr="001D71BB" w:rsidRDefault="00995BE0" w:rsidP="00985775">
            <w:r w:rsidRPr="001D71BB">
              <w:rPr>
                <w:sz w:val="22"/>
                <w:szCs w:val="22"/>
              </w:rPr>
              <w:t>752</w:t>
            </w:r>
          </w:p>
        </w:tc>
        <w:tc>
          <w:tcPr>
            <w:tcW w:w="851" w:type="dxa"/>
          </w:tcPr>
          <w:p w:rsidR="00995BE0" w:rsidRPr="001D71BB" w:rsidRDefault="00995BE0" w:rsidP="00985775">
            <w:r w:rsidRPr="001D71BB">
              <w:rPr>
                <w:sz w:val="22"/>
                <w:szCs w:val="22"/>
              </w:rPr>
              <w:t>773</w:t>
            </w:r>
          </w:p>
        </w:tc>
        <w:tc>
          <w:tcPr>
            <w:tcW w:w="849" w:type="dxa"/>
          </w:tcPr>
          <w:p w:rsidR="00995BE0" w:rsidRPr="001D71BB" w:rsidRDefault="00995BE0" w:rsidP="00985775">
            <w:r w:rsidRPr="001D71BB">
              <w:rPr>
                <w:sz w:val="22"/>
                <w:szCs w:val="22"/>
              </w:rPr>
              <w:t>759</w:t>
            </w:r>
          </w:p>
        </w:tc>
        <w:tc>
          <w:tcPr>
            <w:tcW w:w="709" w:type="dxa"/>
          </w:tcPr>
          <w:p w:rsidR="00995BE0" w:rsidRPr="001D71BB" w:rsidRDefault="00995BE0" w:rsidP="00985775">
            <w:r w:rsidRPr="001D71BB">
              <w:rPr>
                <w:sz w:val="22"/>
                <w:szCs w:val="22"/>
              </w:rPr>
              <w:t>739</w:t>
            </w:r>
          </w:p>
        </w:tc>
        <w:tc>
          <w:tcPr>
            <w:tcW w:w="708" w:type="dxa"/>
          </w:tcPr>
          <w:p w:rsidR="00995BE0" w:rsidRPr="001D71BB" w:rsidRDefault="00995BE0" w:rsidP="00985775">
            <w:r w:rsidRPr="001D71BB">
              <w:rPr>
                <w:sz w:val="22"/>
                <w:szCs w:val="22"/>
              </w:rPr>
              <w:t>498</w:t>
            </w:r>
          </w:p>
        </w:tc>
        <w:tc>
          <w:tcPr>
            <w:tcW w:w="1419" w:type="dxa"/>
          </w:tcPr>
          <w:p w:rsidR="00995BE0" w:rsidRPr="001D71BB" w:rsidRDefault="00995BE0" w:rsidP="00985775">
            <w:r w:rsidRPr="001D71BB">
              <w:rPr>
                <w:sz w:val="22"/>
                <w:szCs w:val="22"/>
              </w:rPr>
              <w:t>-29</w:t>
            </w:r>
          </w:p>
        </w:tc>
      </w:tr>
      <w:tr w:rsidR="00995BE0" w:rsidRPr="001D71BB" w:rsidTr="00985775">
        <w:tc>
          <w:tcPr>
            <w:tcW w:w="1668" w:type="dxa"/>
          </w:tcPr>
          <w:p w:rsidR="00995BE0" w:rsidRPr="001D71BB" w:rsidRDefault="00995BE0" w:rsidP="00985775">
            <w:pPr>
              <w:ind w:right="-108"/>
              <w:rPr>
                <w:b/>
                <w:bCs/>
              </w:rPr>
            </w:pPr>
            <w:r w:rsidRPr="001D71BB">
              <w:rPr>
                <w:b/>
                <w:bCs/>
                <w:sz w:val="22"/>
                <w:szCs w:val="22"/>
              </w:rPr>
              <w:t>Liuksemburgas</w:t>
            </w:r>
          </w:p>
        </w:tc>
        <w:tc>
          <w:tcPr>
            <w:tcW w:w="851" w:type="dxa"/>
          </w:tcPr>
          <w:p w:rsidR="00995BE0" w:rsidRPr="001D71BB" w:rsidRDefault="00995BE0" w:rsidP="00985775">
            <w:r w:rsidRPr="001D71BB">
              <w:rPr>
                <w:sz w:val="22"/>
                <w:szCs w:val="22"/>
              </w:rPr>
              <w:t>70</w:t>
            </w:r>
          </w:p>
        </w:tc>
        <w:tc>
          <w:tcPr>
            <w:tcW w:w="850" w:type="dxa"/>
          </w:tcPr>
          <w:p w:rsidR="00995BE0" w:rsidRPr="001D71BB" w:rsidRDefault="00995BE0" w:rsidP="00985775">
            <w:r w:rsidRPr="001D71BB">
              <w:rPr>
                <w:sz w:val="22"/>
                <w:szCs w:val="22"/>
              </w:rPr>
              <w:t>62</w:t>
            </w:r>
          </w:p>
        </w:tc>
        <w:tc>
          <w:tcPr>
            <w:tcW w:w="850" w:type="dxa"/>
          </w:tcPr>
          <w:p w:rsidR="00995BE0" w:rsidRPr="001D71BB" w:rsidRDefault="00995BE0" w:rsidP="00985775">
            <w:r w:rsidRPr="001D71BB">
              <w:rPr>
                <w:sz w:val="22"/>
                <w:szCs w:val="22"/>
              </w:rPr>
              <w:t>53</w:t>
            </w:r>
          </w:p>
        </w:tc>
        <w:tc>
          <w:tcPr>
            <w:tcW w:w="709" w:type="dxa"/>
          </w:tcPr>
          <w:p w:rsidR="00995BE0" w:rsidRPr="001D71BB" w:rsidRDefault="00995BE0" w:rsidP="00985775">
            <w:r w:rsidRPr="001D71BB">
              <w:rPr>
                <w:sz w:val="22"/>
                <w:szCs w:val="22"/>
              </w:rPr>
              <w:t>49</w:t>
            </w:r>
          </w:p>
        </w:tc>
        <w:tc>
          <w:tcPr>
            <w:tcW w:w="851" w:type="dxa"/>
          </w:tcPr>
          <w:p w:rsidR="00995BE0" w:rsidRPr="001D71BB" w:rsidRDefault="00995BE0" w:rsidP="00985775">
            <w:r w:rsidRPr="001D71BB">
              <w:rPr>
                <w:sz w:val="22"/>
                <w:szCs w:val="22"/>
              </w:rPr>
              <w:t>46</w:t>
            </w:r>
          </w:p>
        </w:tc>
        <w:tc>
          <w:tcPr>
            <w:tcW w:w="849" w:type="dxa"/>
          </w:tcPr>
          <w:p w:rsidR="00995BE0" w:rsidRPr="001D71BB" w:rsidRDefault="00995BE0" w:rsidP="00985775">
            <w:r w:rsidRPr="001D71BB">
              <w:rPr>
                <w:sz w:val="22"/>
                <w:szCs w:val="22"/>
              </w:rPr>
              <w:t xml:space="preserve">36  </w:t>
            </w:r>
          </w:p>
        </w:tc>
        <w:tc>
          <w:tcPr>
            <w:tcW w:w="709" w:type="dxa"/>
          </w:tcPr>
          <w:p w:rsidR="00995BE0" w:rsidRPr="001D71BB" w:rsidRDefault="00995BE0" w:rsidP="00985775">
            <w:r w:rsidRPr="001D71BB">
              <w:rPr>
                <w:sz w:val="22"/>
                <w:szCs w:val="22"/>
              </w:rPr>
              <w:t>43</w:t>
            </w:r>
          </w:p>
        </w:tc>
        <w:tc>
          <w:tcPr>
            <w:tcW w:w="708" w:type="dxa"/>
          </w:tcPr>
          <w:p w:rsidR="00995BE0" w:rsidRPr="001D71BB" w:rsidRDefault="00995BE0" w:rsidP="00985775">
            <w:r w:rsidRPr="001D71BB">
              <w:rPr>
                <w:sz w:val="22"/>
                <w:szCs w:val="22"/>
              </w:rPr>
              <w:t>35</w:t>
            </w:r>
          </w:p>
        </w:tc>
        <w:tc>
          <w:tcPr>
            <w:tcW w:w="1419" w:type="dxa"/>
          </w:tcPr>
          <w:p w:rsidR="00995BE0" w:rsidRPr="001D71BB" w:rsidRDefault="00995BE0" w:rsidP="00985775">
            <w:r w:rsidRPr="001D71BB">
              <w:rPr>
                <w:sz w:val="22"/>
                <w:szCs w:val="22"/>
              </w:rPr>
              <w:t>-50</w:t>
            </w:r>
          </w:p>
        </w:tc>
      </w:tr>
      <w:tr w:rsidR="00995BE0" w:rsidRPr="001D71BB" w:rsidTr="00985775">
        <w:tc>
          <w:tcPr>
            <w:tcW w:w="1668" w:type="dxa"/>
          </w:tcPr>
          <w:p w:rsidR="00995BE0" w:rsidRPr="001D71BB" w:rsidRDefault="00995BE0" w:rsidP="00985775">
            <w:pPr>
              <w:rPr>
                <w:b/>
                <w:bCs/>
              </w:rPr>
            </w:pPr>
            <w:r w:rsidRPr="001D71BB">
              <w:rPr>
                <w:b/>
                <w:bCs/>
                <w:sz w:val="22"/>
                <w:szCs w:val="22"/>
              </w:rPr>
              <w:t>Nyderlandai</w:t>
            </w:r>
          </w:p>
        </w:tc>
        <w:tc>
          <w:tcPr>
            <w:tcW w:w="851" w:type="dxa"/>
          </w:tcPr>
          <w:p w:rsidR="00995BE0" w:rsidRPr="001D71BB" w:rsidRDefault="00995BE0" w:rsidP="00985775">
            <w:r w:rsidRPr="001D71BB">
              <w:rPr>
                <w:sz w:val="22"/>
                <w:szCs w:val="22"/>
              </w:rPr>
              <w:t>993</w:t>
            </w:r>
          </w:p>
        </w:tc>
        <w:tc>
          <w:tcPr>
            <w:tcW w:w="850" w:type="dxa"/>
          </w:tcPr>
          <w:p w:rsidR="00995BE0" w:rsidRPr="001D71BB" w:rsidRDefault="00995BE0" w:rsidP="00985775">
            <w:r w:rsidRPr="001D71BB">
              <w:rPr>
                <w:sz w:val="22"/>
                <w:szCs w:val="22"/>
              </w:rPr>
              <w:t>987</w:t>
            </w:r>
          </w:p>
        </w:tc>
        <w:tc>
          <w:tcPr>
            <w:tcW w:w="850" w:type="dxa"/>
          </w:tcPr>
          <w:p w:rsidR="00995BE0" w:rsidRPr="001D71BB" w:rsidRDefault="00995BE0" w:rsidP="00985775">
            <w:r w:rsidRPr="001D71BB">
              <w:rPr>
                <w:sz w:val="22"/>
                <w:szCs w:val="22"/>
              </w:rPr>
              <w:t>1.028</w:t>
            </w:r>
          </w:p>
        </w:tc>
        <w:tc>
          <w:tcPr>
            <w:tcW w:w="709" w:type="dxa"/>
          </w:tcPr>
          <w:p w:rsidR="00995BE0" w:rsidRPr="001D71BB" w:rsidRDefault="00995BE0" w:rsidP="00985775">
            <w:r w:rsidRPr="001D71BB">
              <w:rPr>
                <w:sz w:val="22"/>
                <w:szCs w:val="22"/>
              </w:rPr>
              <w:t>804</w:t>
            </w:r>
          </w:p>
        </w:tc>
        <w:tc>
          <w:tcPr>
            <w:tcW w:w="851" w:type="dxa"/>
          </w:tcPr>
          <w:p w:rsidR="00995BE0" w:rsidRPr="001D71BB" w:rsidRDefault="00995BE0" w:rsidP="00985775">
            <w:r w:rsidRPr="001D71BB">
              <w:rPr>
                <w:sz w:val="22"/>
                <w:szCs w:val="22"/>
              </w:rPr>
              <w:t>750</w:t>
            </w:r>
          </w:p>
        </w:tc>
        <w:tc>
          <w:tcPr>
            <w:tcW w:w="849" w:type="dxa"/>
          </w:tcPr>
          <w:p w:rsidR="00995BE0" w:rsidRPr="001D71BB" w:rsidRDefault="00995BE0" w:rsidP="00985775">
            <w:r w:rsidRPr="001D71BB">
              <w:rPr>
                <w:sz w:val="22"/>
                <w:szCs w:val="22"/>
              </w:rPr>
              <w:t>730</w:t>
            </w:r>
          </w:p>
        </w:tc>
        <w:tc>
          <w:tcPr>
            <w:tcW w:w="709" w:type="dxa"/>
          </w:tcPr>
          <w:p w:rsidR="00995BE0" w:rsidRPr="001D71BB" w:rsidRDefault="00995BE0" w:rsidP="00985775">
            <w:r w:rsidRPr="001D71BB">
              <w:rPr>
                <w:sz w:val="22"/>
                <w:szCs w:val="22"/>
              </w:rPr>
              <w:t>709</w:t>
            </w:r>
          </w:p>
        </w:tc>
        <w:tc>
          <w:tcPr>
            <w:tcW w:w="708" w:type="dxa"/>
          </w:tcPr>
          <w:p w:rsidR="00995BE0" w:rsidRPr="001D71BB" w:rsidRDefault="00995BE0" w:rsidP="00985775">
            <w:r w:rsidRPr="001D71BB">
              <w:rPr>
                <w:sz w:val="22"/>
                <w:szCs w:val="22"/>
              </w:rPr>
              <w:t>677</w:t>
            </w:r>
          </w:p>
        </w:tc>
        <w:tc>
          <w:tcPr>
            <w:tcW w:w="1419" w:type="dxa"/>
          </w:tcPr>
          <w:p w:rsidR="00995BE0" w:rsidRPr="001D71BB" w:rsidRDefault="00995BE0" w:rsidP="00985775">
            <w:r w:rsidRPr="001D71BB">
              <w:rPr>
                <w:sz w:val="22"/>
                <w:szCs w:val="22"/>
              </w:rPr>
              <w:t>-32</w:t>
            </w:r>
          </w:p>
        </w:tc>
      </w:tr>
      <w:tr w:rsidR="00995BE0" w:rsidRPr="001D71BB" w:rsidTr="00985775">
        <w:tc>
          <w:tcPr>
            <w:tcW w:w="1668" w:type="dxa"/>
          </w:tcPr>
          <w:p w:rsidR="00995BE0" w:rsidRPr="001D71BB" w:rsidRDefault="00995BE0" w:rsidP="00985775">
            <w:pPr>
              <w:rPr>
                <w:b/>
                <w:bCs/>
              </w:rPr>
            </w:pPr>
            <w:r w:rsidRPr="001D71BB">
              <w:rPr>
                <w:b/>
                <w:bCs/>
                <w:sz w:val="22"/>
                <w:szCs w:val="22"/>
              </w:rPr>
              <w:t>Austrija</w:t>
            </w:r>
          </w:p>
        </w:tc>
        <w:tc>
          <w:tcPr>
            <w:tcW w:w="851" w:type="dxa"/>
          </w:tcPr>
          <w:p w:rsidR="00995BE0" w:rsidRPr="001D71BB" w:rsidRDefault="00995BE0" w:rsidP="00985775">
            <w:r w:rsidRPr="001D71BB">
              <w:rPr>
                <w:sz w:val="22"/>
                <w:szCs w:val="22"/>
              </w:rPr>
              <w:t>958</w:t>
            </w:r>
          </w:p>
        </w:tc>
        <w:tc>
          <w:tcPr>
            <w:tcW w:w="850" w:type="dxa"/>
          </w:tcPr>
          <w:p w:rsidR="00995BE0" w:rsidRPr="001D71BB" w:rsidRDefault="00995BE0" w:rsidP="00985775">
            <w:r w:rsidRPr="001D71BB">
              <w:rPr>
                <w:sz w:val="22"/>
                <w:szCs w:val="22"/>
              </w:rPr>
              <w:t>956</w:t>
            </w:r>
          </w:p>
        </w:tc>
        <w:tc>
          <w:tcPr>
            <w:tcW w:w="850" w:type="dxa"/>
          </w:tcPr>
          <w:p w:rsidR="00995BE0" w:rsidRPr="001D71BB" w:rsidRDefault="00995BE0" w:rsidP="00985775">
            <w:r w:rsidRPr="001D71BB">
              <w:rPr>
                <w:sz w:val="22"/>
                <w:szCs w:val="22"/>
              </w:rPr>
              <w:t>931</w:t>
            </w:r>
          </w:p>
        </w:tc>
        <w:tc>
          <w:tcPr>
            <w:tcW w:w="709" w:type="dxa"/>
          </w:tcPr>
          <w:p w:rsidR="00995BE0" w:rsidRPr="001D71BB" w:rsidRDefault="00995BE0" w:rsidP="00985775">
            <w:r w:rsidRPr="001D71BB">
              <w:rPr>
                <w:sz w:val="22"/>
                <w:szCs w:val="22"/>
              </w:rPr>
              <w:t>878</w:t>
            </w:r>
          </w:p>
        </w:tc>
        <w:tc>
          <w:tcPr>
            <w:tcW w:w="851" w:type="dxa"/>
          </w:tcPr>
          <w:p w:rsidR="00995BE0" w:rsidRPr="001D71BB" w:rsidRDefault="00995BE0" w:rsidP="00985775">
            <w:r w:rsidRPr="001D71BB">
              <w:rPr>
                <w:sz w:val="22"/>
                <w:szCs w:val="22"/>
              </w:rPr>
              <w:t>768</w:t>
            </w:r>
          </w:p>
        </w:tc>
        <w:tc>
          <w:tcPr>
            <w:tcW w:w="849" w:type="dxa"/>
          </w:tcPr>
          <w:p w:rsidR="00995BE0" w:rsidRPr="001D71BB" w:rsidRDefault="00995BE0" w:rsidP="00985775">
            <w:r w:rsidRPr="001D71BB">
              <w:rPr>
                <w:sz w:val="22"/>
                <w:szCs w:val="22"/>
              </w:rPr>
              <w:t>730</w:t>
            </w:r>
          </w:p>
        </w:tc>
        <w:tc>
          <w:tcPr>
            <w:tcW w:w="709" w:type="dxa"/>
          </w:tcPr>
          <w:p w:rsidR="00995BE0" w:rsidRPr="001D71BB" w:rsidRDefault="00995BE0" w:rsidP="00985775">
            <w:r w:rsidRPr="001D71BB">
              <w:rPr>
                <w:sz w:val="22"/>
                <w:szCs w:val="22"/>
              </w:rPr>
              <w:t>691</w:t>
            </w:r>
          </w:p>
        </w:tc>
        <w:tc>
          <w:tcPr>
            <w:tcW w:w="708" w:type="dxa"/>
          </w:tcPr>
          <w:p w:rsidR="00995BE0" w:rsidRPr="001D71BB" w:rsidRDefault="00995BE0" w:rsidP="00985775">
            <w:r w:rsidRPr="001D71BB">
              <w:rPr>
                <w:sz w:val="22"/>
                <w:szCs w:val="22"/>
              </w:rPr>
              <w:t>679</w:t>
            </w:r>
          </w:p>
        </w:tc>
        <w:tc>
          <w:tcPr>
            <w:tcW w:w="1419" w:type="dxa"/>
          </w:tcPr>
          <w:p w:rsidR="00995BE0" w:rsidRPr="001D71BB" w:rsidRDefault="00995BE0" w:rsidP="00985775">
            <w:r w:rsidRPr="001D71BB">
              <w:rPr>
                <w:sz w:val="22"/>
                <w:szCs w:val="22"/>
              </w:rPr>
              <w:t>-29</w:t>
            </w:r>
          </w:p>
        </w:tc>
      </w:tr>
      <w:tr w:rsidR="00995BE0" w:rsidRPr="001D71BB" w:rsidTr="00985775">
        <w:tc>
          <w:tcPr>
            <w:tcW w:w="1668" w:type="dxa"/>
          </w:tcPr>
          <w:p w:rsidR="00995BE0" w:rsidRPr="001D71BB" w:rsidRDefault="00995BE0" w:rsidP="00985775">
            <w:pPr>
              <w:rPr>
                <w:b/>
                <w:bCs/>
              </w:rPr>
            </w:pPr>
            <w:r w:rsidRPr="001D71BB">
              <w:rPr>
                <w:b/>
                <w:bCs/>
                <w:sz w:val="22"/>
                <w:szCs w:val="22"/>
              </w:rPr>
              <w:t>Lenkija</w:t>
            </w:r>
          </w:p>
        </w:tc>
        <w:tc>
          <w:tcPr>
            <w:tcW w:w="851" w:type="dxa"/>
          </w:tcPr>
          <w:p w:rsidR="00995BE0" w:rsidRPr="001D71BB" w:rsidRDefault="00995BE0" w:rsidP="00985775">
            <w:r w:rsidRPr="001D71BB">
              <w:rPr>
                <w:sz w:val="22"/>
                <w:szCs w:val="22"/>
              </w:rPr>
              <w:t>5.534</w:t>
            </w:r>
          </w:p>
        </w:tc>
        <w:tc>
          <w:tcPr>
            <w:tcW w:w="850" w:type="dxa"/>
          </w:tcPr>
          <w:p w:rsidR="00995BE0" w:rsidRPr="001D71BB" w:rsidRDefault="00995BE0" w:rsidP="00985775">
            <w:r w:rsidRPr="001D71BB">
              <w:rPr>
                <w:sz w:val="22"/>
                <w:szCs w:val="22"/>
              </w:rPr>
              <w:t>5.827</w:t>
            </w:r>
          </w:p>
        </w:tc>
        <w:tc>
          <w:tcPr>
            <w:tcW w:w="850" w:type="dxa"/>
          </w:tcPr>
          <w:p w:rsidR="00995BE0" w:rsidRPr="001D71BB" w:rsidRDefault="00995BE0" w:rsidP="00985775">
            <w:r w:rsidRPr="001D71BB">
              <w:rPr>
                <w:sz w:val="22"/>
                <w:szCs w:val="22"/>
              </w:rPr>
              <w:t>5.640</w:t>
            </w:r>
          </w:p>
        </w:tc>
        <w:tc>
          <w:tcPr>
            <w:tcW w:w="709" w:type="dxa"/>
          </w:tcPr>
          <w:p w:rsidR="00995BE0" w:rsidRPr="001D71BB" w:rsidRDefault="00995BE0" w:rsidP="00985775">
            <w:pPr>
              <w:ind w:right="-108"/>
            </w:pPr>
            <w:r w:rsidRPr="001D71BB">
              <w:rPr>
                <w:sz w:val="22"/>
                <w:szCs w:val="22"/>
              </w:rPr>
              <w:t>5.712</w:t>
            </w:r>
          </w:p>
        </w:tc>
        <w:tc>
          <w:tcPr>
            <w:tcW w:w="851" w:type="dxa"/>
          </w:tcPr>
          <w:p w:rsidR="00995BE0" w:rsidRPr="001D71BB" w:rsidRDefault="00995BE0" w:rsidP="00985775">
            <w:r w:rsidRPr="001D71BB">
              <w:rPr>
                <w:sz w:val="22"/>
                <w:szCs w:val="22"/>
              </w:rPr>
              <w:t>5.444</w:t>
            </w:r>
          </w:p>
        </w:tc>
        <w:tc>
          <w:tcPr>
            <w:tcW w:w="849" w:type="dxa"/>
          </w:tcPr>
          <w:p w:rsidR="00995BE0" w:rsidRPr="001D71BB" w:rsidRDefault="00995BE0" w:rsidP="00985775">
            <w:r w:rsidRPr="001D71BB">
              <w:rPr>
                <w:sz w:val="22"/>
                <w:szCs w:val="22"/>
              </w:rPr>
              <w:t>5.243</w:t>
            </w:r>
          </w:p>
        </w:tc>
        <w:tc>
          <w:tcPr>
            <w:tcW w:w="709" w:type="dxa"/>
          </w:tcPr>
          <w:p w:rsidR="00995BE0" w:rsidRPr="001D71BB" w:rsidRDefault="00995BE0" w:rsidP="00985775">
            <w:r w:rsidRPr="001D71BB">
              <w:rPr>
                <w:sz w:val="22"/>
                <w:szCs w:val="22"/>
              </w:rPr>
              <w:t>5.583</w:t>
            </w:r>
          </w:p>
        </w:tc>
        <w:tc>
          <w:tcPr>
            <w:tcW w:w="708" w:type="dxa"/>
          </w:tcPr>
          <w:p w:rsidR="00995BE0" w:rsidRPr="001D71BB" w:rsidRDefault="00995BE0" w:rsidP="00985775">
            <w:r w:rsidRPr="001D71BB">
              <w:rPr>
                <w:sz w:val="22"/>
                <w:szCs w:val="22"/>
              </w:rPr>
              <w:t>5.437</w:t>
            </w:r>
          </w:p>
        </w:tc>
        <w:tc>
          <w:tcPr>
            <w:tcW w:w="1419" w:type="dxa"/>
          </w:tcPr>
          <w:p w:rsidR="00995BE0" w:rsidRPr="001D71BB" w:rsidRDefault="00995BE0" w:rsidP="00985775">
            <w:r w:rsidRPr="001D71BB">
              <w:rPr>
                <w:sz w:val="22"/>
                <w:szCs w:val="22"/>
              </w:rPr>
              <w:t>-2</w:t>
            </w:r>
          </w:p>
        </w:tc>
      </w:tr>
      <w:tr w:rsidR="00995BE0" w:rsidRPr="001D71BB" w:rsidTr="00985775">
        <w:tc>
          <w:tcPr>
            <w:tcW w:w="1668" w:type="dxa"/>
          </w:tcPr>
          <w:p w:rsidR="00995BE0" w:rsidRPr="001D71BB" w:rsidRDefault="00995BE0" w:rsidP="00985775">
            <w:pPr>
              <w:rPr>
                <w:b/>
                <w:bCs/>
              </w:rPr>
            </w:pPr>
            <w:r w:rsidRPr="001D71BB">
              <w:rPr>
                <w:b/>
                <w:bCs/>
                <w:sz w:val="22"/>
                <w:szCs w:val="22"/>
              </w:rPr>
              <w:t>Portugalija</w:t>
            </w:r>
          </w:p>
        </w:tc>
        <w:tc>
          <w:tcPr>
            <w:tcW w:w="851" w:type="dxa"/>
          </w:tcPr>
          <w:p w:rsidR="00995BE0" w:rsidRPr="001D71BB" w:rsidRDefault="00995BE0" w:rsidP="00985775">
            <w:r w:rsidRPr="001D71BB">
              <w:rPr>
                <w:sz w:val="22"/>
                <w:szCs w:val="22"/>
              </w:rPr>
              <w:t>1.670</w:t>
            </w:r>
          </w:p>
        </w:tc>
        <w:tc>
          <w:tcPr>
            <w:tcW w:w="850" w:type="dxa"/>
          </w:tcPr>
          <w:p w:rsidR="00995BE0" w:rsidRPr="001D71BB" w:rsidRDefault="00995BE0" w:rsidP="00985775">
            <w:r w:rsidRPr="001D71BB">
              <w:rPr>
                <w:sz w:val="22"/>
                <w:szCs w:val="22"/>
              </w:rPr>
              <w:t>1.655</w:t>
            </w:r>
          </w:p>
        </w:tc>
        <w:tc>
          <w:tcPr>
            <w:tcW w:w="850" w:type="dxa"/>
          </w:tcPr>
          <w:p w:rsidR="00995BE0" w:rsidRPr="001D71BB" w:rsidRDefault="00995BE0" w:rsidP="00985775">
            <w:r w:rsidRPr="001D71BB">
              <w:rPr>
                <w:sz w:val="22"/>
                <w:szCs w:val="22"/>
              </w:rPr>
              <w:t>1.542</w:t>
            </w:r>
          </w:p>
        </w:tc>
        <w:tc>
          <w:tcPr>
            <w:tcW w:w="709" w:type="dxa"/>
          </w:tcPr>
          <w:p w:rsidR="00995BE0" w:rsidRPr="001D71BB" w:rsidRDefault="00995BE0" w:rsidP="00985775">
            <w:pPr>
              <w:ind w:right="-108"/>
            </w:pPr>
            <w:r w:rsidRPr="001D71BB">
              <w:rPr>
                <w:sz w:val="22"/>
                <w:szCs w:val="22"/>
              </w:rPr>
              <w:t>1.294</w:t>
            </w:r>
          </w:p>
        </w:tc>
        <w:tc>
          <w:tcPr>
            <w:tcW w:w="851" w:type="dxa"/>
          </w:tcPr>
          <w:p w:rsidR="00995BE0" w:rsidRPr="001D71BB" w:rsidRDefault="00995BE0" w:rsidP="00985775">
            <w:r w:rsidRPr="001D71BB">
              <w:rPr>
                <w:sz w:val="22"/>
                <w:szCs w:val="22"/>
              </w:rPr>
              <w:t>1.247</w:t>
            </w:r>
          </w:p>
        </w:tc>
        <w:tc>
          <w:tcPr>
            <w:tcW w:w="849" w:type="dxa"/>
          </w:tcPr>
          <w:p w:rsidR="00995BE0" w:rsidRPr="001D71BB" w:rsidRDefault="00995BE0" w:rsidP="00985775">
            <w:r w:rsidRPr="001D71BB">
              <w:rPr>
                <w:sz w:val="22"/>
                <w:szCs w:val="22"/>
              </w:rPr>
              <w:t>969</w:t>
            </w:r>
          </w:p>
        </w:tc>
        <w:tc>
          <w:tcPr>
            <w:tcW w:w="709" w:type="dxa"/>
          </w:tcPr>
          <w:p w:rsidR="00995BE0" w:rsidRPr="001D71BB" w:rsidRDefault="00995BE0" w:rsidP="00985775">
            <w:r w:rsidRPr="001D71BB">
              <w:rPr>
                <w:sz w:val="22"/>
                <w:szCs w:val="22"/>
              </w:rPr>
              <w:t>974</w:t>
            </w:r>
          </w:p>
        </w:tc>
        <w:tc>
          <w:tcPr>
            <w:tcW w:w="708" w:type="dxa"/>
          </w:tcPr>
          <w:p w:rsidR="00995BE0" w:rsidRPr="001D71BB" w:rsidRDefault="00995BE0" w:rsidP="00985775">
            <w:r w:rsidRPr="001D71BB">
              <w:rPr>
                <w:sz w:val="22"/>
                <w:szCs w:val="22"/>
              </w:rPr>
              <w:t>885</w:t>
            </w:r>
          </w:p>
        </w:tc>
        <w:tc>
          <w:tcPr>
            <w:tcW w:w="1419" w:type="dxa"/>
          </w:tcPr>
          <w:p w:rsidR="00995BE0" w:rsidRPr="001D71BB" w:rsidRDefault="00995BE0" w:rsidP="00985775">
            <w:r w:rsidRPr="001D71BB">
              <w:rPr>
                <w:sz w:val="22"/>
                <w:szCs w:val="22"/>
              </w:rPr>
              <w:t>-47</w:t>
            </w:r>
          </w:p>
        </w:tc>
      </w:tr>
      <w:tr w:rsidR="00995BE0" w:rsidRPr="001D71BB" w:rsidTr="00985775">
        <w:tc>
          <w:tcPr>
            <w:tcW w:w="1668" w:type="dxa"/>
          </w:tcPr>
          <w:p w:rsidR="00995BE0" w:rsidRPr="001D71BB" w:rsidRDefault="00995BE0" w:rsidP="00985775">
            <w:pPr>
              <w:rPr>
                <w:b/>
                <w:bCs/>
              </w:rPr>
            </w:pPr>
            <w:r w:rsidRPr="001D71BB">
              <w:rPr>
                <w:b/>
                <w:bCs/>
                <w:sz w:val="22"/>
                <w:szCs w:val="22"/>
              </w:rPr>
              <w:t>Rumunija</w:t>
            </w:r>
          </w:p>
        </w:tc>
        <w:tc>
          <w:tcPr>
            <w:tcW w:w="851" w:type="dxa"/>
          </w:tcPr>
          <w:p w:rsidR="00995BE0" w:rsidRPr="001D71BB" w:rsidRDefault="00995BE0" w:rsidP="00985775">
            <w:r w:rsidRPr="001D71BB">
              <w:rPr>
                <w:sz w:val="22"/>
                <w:szCs w:val="22"/>
              </w:rPr>
              <w:t>2.461</w:t>
            </w:r>
          </w:p>
        </w:tc>
        <w:tc>
          <w:tcPr>
            <w:tcW w:w="850" w:type="dxa"/>
          </w:tcPr>
          <w:p w:rsidR="00995BE0" w:rsidRPr="001D71BB" w:rsidRDefault="00995BE0" w:rsidP="00985775">
            <w:r w:rsidRPr="001D71BB">
              <w:rPr>
                <w:sz w:val="22"/>
                <w:szCs w:val="22"/>
              </w:rPr>
              <w:t>2.398</w:t>
            </w:r>
          </w:p>
        </w:tc>
        <w:tc>
          <w:tcPr>
            <w:tcW w:w="850" w:type="dxa"/>
          </w:tcPr>
          <w:p w:rsidR="00995BE0" w:rsidRPr="001D71BB" w:rsidRDefault="00995BE0" w:rsidP="00985775">
            <w:r w:rsidRPr="001D71BB">
              <w:rPr>
                <w:sz w:val="22"/>
                <w:szCs w:val="22"/>
              </w:rPr>
              <w:t>2.235</w:t>
            </w:r>
          </w:p>
        </w:tc>
        <w:tc>
          <w:tcPr>
            <w:tcW w:w="709" w:type="dxa"/>
          </w:tcPr>
          <w:p w:rsidR="00995BE0" w:rsidRPr="001D71BB" w:rsidRDefault="00995BE0" w:rsidP="00985775">
            <w:pPr>
              <w:ind w:right="-108"/>
            </w:pPr>
            <w:r w:rsidRPr="001D71BB">
              <w:rPr>
                <w:sz w:val="22"/>
                <w:szCs w:val="22"/>
              </w:rPr>
              <w:t>2.418</w:t>
            </w:r>
          </w:p>
        </w:tc>
        <w:tc>
          <w:tcPr>
            <w:tcW w:w="851" w:type="dxa"/>
          </w:tcPr>
          <w:p w:rsidR="00995BE0" w:rsidRPr="001D71BB" w:rsidRDefault="00995BE0" w:rsidP="00985775">
            <w:r w:rsidRPr="001D71BB">
              <w:rPr>
                <w:sz w:val="22"/>
                <w:szCs w:val="22"/>
              </w:rPr>
              <w:t>2.461</w:t>
            </w:r>
          </w:p>
        </w:tc>
        <w:tc>
          <w:tcPr>
            <w:tcW w:w="849" w:type="dxa"/>
          </w:tcPr>
          <w:p w:rsidR="00995BE0" w:rsidRPr="001D71BB" w:rsidRDefault="00995BE0" w:rsidP="00985775">
            <w:r w:rsidRPr="001D71BB">
              <w:rPr>
                <w:sz w:val="22"/>
                <w:szCs w:val="22"/>
              </w:rPr>
              <w:t>2.478</w:t>
            </w:r>
          </w:p>
        </w:tc>
        <w:tc>
          <w:tcPr>
            <w:tcW w:w="709" w:type="dxa"/>
          </w:tcPr>
          <w:p w:rsidR="00995BE0" w:rsidRPr="001D71BB" w:rsidRDefault="00995BE0" w:rsidP="00985775">
            <w:r w:rsidRPr="001D71BB">
              <w:rPr>
                <w:sz w:val="22"/>
                <w:szCs w:val="22"/>
              </w:rPr>
              <w:t>2.800</w:t>
            </w:r>
          </w:p>
        </w:tc>
        <w:tc>
          <w:tcPr>
            <w:tcW w:w="708" w:type="dxa"/>
          </w:tcPr>
          <w:p w:rsidR="00995BE0" w:rsidRPr="001D71BB" w:rsidRDefault="00995BE0" w:rsidP="00985775">
            <w:r w:rsidRPr="001D71BB">
              <w:rPr>
                <w:sz w:val="22"/>
                <w:szCs w:val="22"/>
              </w:rPr>
              <w:t>3.061</w:t>
            </w:r>
          </w:p>
        </w:tc>
        <w:tc>
          <w:tcPr>
            <w:tcW w:w="1419" w:type="dxa"/>
          </w:tcPr>
          <w:p w:rsidR="00995BE0" w:rsidRPr="001D71BB" w:rsidRDefault="00995BE0" w:rsidP="00985775">
            <w:r w:rsidRPr="001D71BB">
              <w:rPr>
                <w:sz w:val="22"/>
                <w:szCs w:val="22"/>
              </w:rPr>
              <w:t>25</w:t>
            </w:r>
          </w:p>
        </w:tc>
      </w:tr>
      <w:tr w:rsidR="00995BE0" w:rsidRPr="001D71BB" w:rsidTr="00985775">
        <w:tc>
          <w:tcPr>
            <w:tcW w:w="1668" w:type="dxa"/>
          </w:tcPr>
          <w:p w:rsidR="00995BE0" w:rsidRPr="001D71BB" w:rsidRDefault="00995BE0" w:rsidP="00985775">
            <w:pPr>
              <w:rPr>
                <w:b/>
                <w:bCs/>
              </w:rPr>
            </w:pPr>
            <w:r w:rsidRPr="001D71BB">
              <w:rPr>
                <w:b/>
                <w:bCs/>
                <w:sz w:val="22"/>
                <w:szCs w:val="22"/>
              </w:rPr>
              <w:t>Slovėnija</w:t>
            </w:r>
          </w:p>
        </w:tc>
        <w:tc>
          <w:tcPr>
            <w:tcW w:w="851" w:type="dxa"/>
          </w:tcPr>
          <w:p w:rsidR="00995BE0" w:rsidRPr="001D71BB" w:rsidRDefault="00995BE0" w:rsidP="00985775">
            <w:r w:rsidRPr="001D71BB">
              <w:rPr>
                <w:sz w:val="22"/>
                <w:szCs w:val="22"/>
              </w:rPr>
              <w:t>278</w:t>
            </w:r>
          </w:p>
        </w:tc>
        <w:tc>
          <w:tcPr>
            <w:tcW w:w="850" w:type="dxa"/>
          </w:tcPr>
          <w:p w:rsidR="00995BE0" w:rsidRPr="001D71BB" w:rsidRDefault="00995BE0" w:rsidP="00985775">
            <w:r w:rsidRPr="001D71BB">
              <w:rPr>
                <w:sz w:val="22"/>
                <w:szCs w:val="22"/>
              </w:rPr>
              <w:t>269</w:t>
            </w:r>
          </w:p>
        </w:tc>
        <w:tc>
          <w:tcPr>
            <w:tcW w:w="850" w:type="dxa"/>
          </w:tcPr>
          <w:p w:rsidR="00995BE0" w:rsidRPr="001D71BB" w:rsidRDefault="00995BE0" w:rsidP="00985775">
            <w:r w:rsidRPr="001D71BB">
              <w:rPr>
                <w:sz w:val="22"/>
                <w:szCs w:val="22"/>
              </w:rPr>
              <w:t>242</w:t>
            </w:r>
          </w:p>
        </w:tc>
        <w:tc>
          <w:tcPr>
            <w:tcW w:w="709" w:type="dxa"/>
          </w:tcPr>
          <w:p w:rsidR="00995BE0" w:rsidRPr="001D71BB" w:rsidRDefault="00995BE0" w:rsidP="00985775">
            <w:r w:rsidRPr="001D71BB">
              <w:rPr>
                <w:sz w:val="22"/>
                <w:szCs w:val="22"/>
              </w:rPr>
              <w:t>274</w:t>
            </w:r>
          </w:p>
        </w:tc>
        <w:tc>
          <w:tcPr>
            <w:tcW w:w="851" w:type="dxa"/>
          </w:tcPr>
          <w:p w:rsidR="00995BE0" w:rsidRPr="001D71BB" w:rsidRDefault="00995BE0" w:rsidP="00985775">
            <w:r w:rsidRPr="001D71BB">
              <w:rPr>
                <w:sz w:val="22"/>
                <w:szCs w:val="22"/>
              </w:rPr>
              <w:t>258</w:t>
            </w:r>
          </w:p>
        </w:tc>
        <w:tc>
          <w:tcPr>
            <w:tcW w:w="849" w:type="dxa"/>
          </w:tcPr>
          <w:p w:rsidR="00995BE0" w:rsidRPr="001D71BB" w:rsidRDefault="00995BE0" w:rsidP="00985775">
            <w:r w:rsidRPr="001D71BB">
              <w:rPr>
                <w:sz w:val="22"/>
                <w:szCs w:val="22"/>
              </w:rPr>
              <w:t>262</w:t>
            </w:r>
          </w:p>
        </w:tc>
        <w:tc>
          <w:tcPr>
            <w:tcW w:w="709" w:type="dxa"/>
          </w:tcPr>
          <w:p w:rsidR="00995BE0" w:rsidRPr="001D71BB" w:rsidRDefault="00995BE0" w:rsidP="00985775">
            <w:r w:rsidRPr="001D71BB">
              <w:rPr>
                <w:sz w:val="22"/>
                <w:szCs w:val="22"/>
              </w:rPr>
              <w:t>293</w:t>
            </w:r>
          </w:p>
        </w:tc>
        <w:tc>
          <w:tcPr>
            <w:tcW w:w="708" w:type="dxa"/>
          </w:tcPr>
          <w:p w:rsidR="00995BE0" w:rsidRPr="001D71BB" w:rsidRDefault="00995BE0" w:rsidP="00985775">
            <w:r w:rsidRPr="001D71BB">
              <w:rPr>
                <w:sz w:val="22"/>
                <w:szCs w:val="22"/>
              </w:rPr>
              <w:t>214</w:t>
            </w:r>
          </w:p>
        </w:tc>
        <w:tc>
          <w:tcPr>
            <w:tcW w:w="1419" w:type="dxa"/>
          </w:tcPr>
          <w:p w:rsidR="00995BE0" w:rsidRPr="001D71BB" w:rsidRDefault="00995BE0" w:rsidP="00985775">
            <w:r w:rsidRPr="001D71BB">
              <w:rPr>
                <w:sz w:val="22"/>
                <w:szCs w:val="22"/>
              </w:rPr>
              <w:t>-23</w:t>
            </w:r>
          </w:p>
        </w:tc>
      </w:tr>
      <w:tr w:rsidR="00995BE0" w:rsidRPr="001D71BB" w:rsidTr="00985775">
        <w:tc>
          <w:tcPr>
            <w:tcW w:w="1668" w:type="dxa"/>
          </w:tcPr>
          <w:p w:rsidR="00995BE0" w:rsidRPr="001D71BB" w:rsidRDefault="00995BE0" w:rsidP="00985775">
            <w:pPr>
              <w:rPr>
                <w:b/>
                <w:bCs/>
              </w:rPr>
            </w:pPr>
            <w:r w:rsidRPr="001D71BB">
              <w:rPr>
                <w:b/>
                <w:bCs/>
                <w:sz w:val="22"/>
                <w:szCs w:val="22"/>
              </w:rPr>
              <w:t>Suomija</w:t>
            </w:r>
          </w:p>
        </w:tc>
        <w:tc>
          <w:tcPr>
            <w:tcW w:w="851" w:type="dxa"/>
          </w:tcPr>
          <w:p w:rsidR="00995BE0" w:rsidRPr="001D71BB" w:rsidRDefault="00995BE0" w:rsidP="00985775">
            <w:r w:rsidRPr="001D71BB">
              <w:rPr>
                <w:sz w:val="22"/>
                <w:szCs w:val="22"/>
              </w:rPr>
              <w:t>433</w:t>
            </w:r>
          </w:p>
        </w:tc>
        <w:tc>
          <w:tcPr>
            <w:tcW w:w="850" w:type="dxa"/>
          </w:tcPr>
          <w:p w:rsidR="00995BE0" w:rsidRPr="001D71BB" w:rsidRDefault="00995BE0" w:rsidP="00985775">
            <w:r w:rsidRPr="001D71BB">
              <w:rPr>
                <w:sz w:val="22"/>
                <w:szCs w:val="22"/>
              </w:rPr>
              <w:t>415</w:t>
            </w:r>
          </w:p>
        </w:tc>
        <w:tc>
          <w:tcPr>
            <w:tcW w:w="850" w:type="dxa"/>
          </w:tcPr>
          <w:p w:rsidR="00995BE0" w:rsidRPr="001D71BB" w:rsidRDefault="00995BE0" w:rsidP="00985775">
            <w:r w:rsidRPr="001D71BB">
              <w:rPr>
                <w:sz w:val="22"/>
                <w:szCs w:val="22"/>
              </w:rPr>
              <w:t>379</w:t>
            </w:r>
          </w:p>
        </w:tc>
        <w:tc>
          <w:tcPr>
            <w:tcW w:w="709" w:type="dxa"/>
          </w:tcPr>
          <w:p w:rsidR="00995BE0" w:rsidRPr="001D71BB" w:rsidRDefault="00995BE0" w:rsidP="00985775">
            <w:r w:rsidRPr="001D71BB">
              <w:rPr>
                <w:sz w:val="22"/>
                <w:szCs w:val="22"/>
              </w:rPr>
              <w:t>375</w:t>
            </w:r>
          </w:p>
        </w:tc>
        <w:tc>
          <w:tcPr>
            <w:tcW w:w="851" w:type="dxa"/>
          </w:tcPr>
          <w:p w:rsidR="00995BE0" w:rsidRPr="001D71BB" w:rsidRDefault="00995BE0" w:rsidP="00985775">
            <w:r w:rsidRPr="001D71BB">
              <w:rPr>
                <w:sz w:val="22"/>
                <w:szCs w:val="22"/>
              </w:rPr>
              <w:t>379</w:t>
            </w:r>
          </w:p>
        </w:tc>
        <w:tc>
          <w:tcPr>
            <w:tcW w:w="849" w:type="dxa"/>
          </w:tcPr>
          <w:p w:rsidR="00995BE0" w:rsidRPr="001D71BB" w:rsidRDefault="00995BE0" w:rsidP="00985775">
            <w:r w:rsidRPr="001D71BB">
              <w:rPr>
                <w:sz w:val="22"/>
                <w:szCs w:val="22"/>
              </w:rPr>
              <w:t>336</w:t>
            </w:r>
          </w:p>
        </w:tc>
        <w:tc>
          <w:tcPr>
            <w:tcW w:w="709" w:type="dxa"/>
          </w:tcPr>
          <w:p w:rsidR="00995BE0" w:rsidRPr="001D71BB" w:rsidRDefault="00995BE0" w:rsidP="00985775">
            <w:r w:rsidRPr="001D71BB">
              <w:rPr>
                <w:sz w:val="22"/>
                <w:szCs w:val="22"/>
              </w:rPr>
              <w:t>380</w:t>
            </w:r>
          </w:p>
        </w:tc>
        <w:tc>
          <w:tcPr>
            <w:tcW w:w="708" w:type="dxa"/>
          </w:tcPr>
          <w:p w:rsidR="00995BE0" w:rsidRPr="001D71BB" w:rsidRDefault="00995BE0" w:rsidP="00985775">
            <w:r w:rsidRPr="001D71BB">
              <w:rPr>
                <w:sz w:val="22"/>
                <w:szCs w:val="22"/>
              </w:rPr>
              <w:t>344</w:t>
            </w:r>
          </w:p>
        </w:tc>
        <w:tc>
          <w:tcPr>
            <w:tcW w:w="1419" w:type="dxa"/>
          </w:tcPr>
          <w:p w:rsidR="00995BE0" w:rsidRPr="001D71BB" w:rsidRDefault="00995BE0" w:rsidP="00985775">
            <w:r w:rsidRPr="001D71BB">
              <w:rPr>
                <w:sz w:val="22"/>
                <w:szCs w:val="22"/>
              </w:rPr>
              <w:t>-21</w:t>
            </w:r>
          </w:p>
        </w:tc>
      </w:tr>
      <w:tr w:rsidR="00995BE0" w:rsidRPr="001D71BB" w:rsidTr="00985775">
        <w:tc>
          <w:tcPr>
            <w:tcW w:w="1668" w:type="dxa"/>
          </w:tcPr>
          <w:p w:rsidR="00995BE0" w:rsidRPr="001D71BB" w:rsidRDefault="00995BE0" w:rsidP="00985775">
            <w:pPr>
              <w:rPr>
                <w:b/>
                <w:bCs/>
              </w:rPr>
            </w:pPr>
            <w:r w:rsidRPr="001D71BB">
              <w:rPr>
                <w:b/>
                <w:bCs/>
                <w:sz w:val="22"/>
                <w:szCs w:val="22"/>
              </w:rPr>
              <w:t>D. Britanija</w:t>
            </w:r>
          </w:p>
        </w:tc>
        <w:tc>
          <w:tcPr>
            <w:tcW w:w="851" w:type="dxa"/>
          </w:tcPr>
          <w:p w:rsidR="00995BE0" w:rsidRPr="001D71BB" w:rsidRDefault="00995BE0" w:rsidP="00985775">
            <w:r w:rsidRPr="001D71BB">
              <w:rPr>
                <w:sz w:val="22"/>
                <w:szCs w:val="22"/>
              </w:rPr>
              <w:t>3.598</w:t>
            </w:r>
          </w:p>
        </w:tc>
        <w:tc>
          <w:tcPr>
            <w:tcW w:w="850" w:type="dxa"/>
          </w:tcPr>
          <w:p w:rsidR="00995BE0" w:rsidRPr="001D71BB" w:rsidRDefault="00995BE0" w:rsidP="00985775">
            <w:r w:rsidRPr="001D71BB">
              <w:rPr>
                <w:sz w:val="22"/>
                <w:szCs w:val="22"/>
              </w:rPr>
              <w:t>3.581</w:t>
            </w:r>
          </w:p>
        </w:tc>
        <w:tc>
          <w:tcPr>
            <w:tcW w:w="850" w:type="dxa"/>
          </w:tcPr>
          <w:p w:rsidR="00995BE0" w:rsidRPr="001D71BB" w:rsidRDefault="00995BE0" w:rsidP="00985775">
            <w:r w:rsidRPr="001D71BB">
              <w:rPr>
                <w:sz w:val="22"/>
                <w:szCs w:val="22"/>
              </w:rPr>
              <w:t>3.658</w:t>
            </w:r>
          </w:p>
        </w:tc>
        <w:tc>
          <w:tcPr>
            <w:tcW w:w="709" w:type="dxa"/>
          </w:tcPr>
          <w:p w:rsidR="00995BE0" w:rsidRPr="001D71BB" w:rsidRDefault="00995BE0" w:rsidP="00985775">
            <w:pPr>
              <w:ind w:right="-108"/>
            </w:pPr>
            <w:r w:rsidRPr="001D71BB">
              <w:rPr>
                <w:sz w:val="22"/>
                <w:szCs w:val="22"/>
              </w:rPr>
              <w:t>3.368</w:t>
            </w:r>
          </w:p>
        </w:tc>
        <w:tc>
          <w:tcPr>
            <w:tcW w:w="851" w:type="dxa"/>
          </w:tcPr>
          <w:p w:rsidR="00995BE0" w:rsidRPr="001D71BB" w:rsidRDefault="00995BE0" w:rsidP="00985775">
            <w:r w:rsidRPr="001D71BB">
              <w:rPr>
                <w:sz w:val="22"/>
                <w:szCs w:val="22"/>
              </w:rPr>
              <w:t>3.336</w:t>
            </w:r>
          </w:p>
        </w:tc>
        <w:tc>
          <w:tcPr>
            <w:tcW w:w="849" w:type="dxa"/>
          </w:tcPr>
          <w:p w:rsidR="00995BE0" w:rsidRPr="001D71BB" w:rsidRDefault="00995BE0" w:rsidP="00985775">
            <w:r w:rsidRPr="001D71BB">
              <w:rPr>
                <w:sz w:val="22"/>
                <w:szCs w:val="22"/>
              </w:rPr>
              <w:t>3.298</w:t>
            </w:r>
          </w:p>
        </w:tc>
        <w:tc>
          <w:tcPr>
            <w:tcW w:w="709" w:type="dxa"/>
          </w:tcPr>
          <w:p w:rsidR="00995BE0" w:rsidRPr="001D71BB" w:rsidRDefault="00995BE0" w:rsidP="00985775">
            <w:r w:rsidRPr="001D71BB">
              <w:rPr>
                <w:sz w:val="22"/>
                <w:szCs w:val="22"/>
              </w:rPr>
              <w:t>3.059</w:t>
            </w:r>
          </w:p>
        </w:tc>
        <w:tc>
          <w:tcPr>
            <w:tcW w:w="708" w:type="dxa"/>
          </w:tcPr>
          <w:p w:rsidR="00995BE0" w:rsidRPr="001D71BB" w:rsidRDefault="00995BE0" w:rsidP="00985775">
            <w:r w:rsidRPr="001D71BB">
              <w:rPr>
                <w:sz w:val="22"/>
                <w:szCs w:val="22"/>
              </w:rPr>
              <w:t>2.645</w:t>
            </w:r>
          </w:p>
        </w:tc>
        <w:tc>
          <w:tcPr>
            <w:tcW w:w="1419" w:type="dxa"/>
          </w:tcPr>
          <w:p w:rsidR="00995BE0" w:rsidRPr="001D71BB" w:rsidRDefault="00995BE0" w:rsidP="00985775">
            <w:r w:rsidRPr="001D71BB">
              <w:rPr>
                <w:sz w:val="22"/>
                <w:szCs w:val="22"/>
              </w:rPr>
              <w:t>-26</w:t>
            </w:r>
          </w:p>
        </w:tc>
      </w:tr>
      <w:tr w:rsidR="00995BE0" w:rsidRPr="001D71BB" w:rsidTr="00985775">
        <w:tc>
          <w:tcPr>
            <w:tcW w:w="1668" w:type="dxa"/>
          </w:tcPr>
          <w:p w:rsidR="00995BE0" w:rsidRPr="001D71BB" w:rsidRDefault="00995BE0" w:rsidP="00985775">
            <w:pPr>
              <w:rPr>
                <w:b/>
                <w:bCs/>
              </w:rPr>
            </w:pPr>
            <w:r w:rsidRPr="001D71BB">
              <w:rPr>
                <w:b/>
                <w:bCs/>
                <w:sz w:val="22"/>
                <w:szCs w:val="22"/>
              </w:rPr>
              <w:t>ES</w:t>
            </w:r>
          </w:p>
        </w:tc>
        <w:tc>
          <w:tcPr>
            <w:tcW w:w="851" w:type="dxa"/>
          </w:tcPr>
          <w:p w:rsidR="00995BE0" w:rsidRPr="001D71BB" w:rsidRDefault="00995BE0" w:rsidP="00985775">
            <w:r w:rsidRPr="001D71BB">
              <w:rPr>
                <w:b/>
                <w:bCs/>
                <w:sz w:val="22"/>
                <w:szCs w:val="22"/>
              </w:rPr>
              <w:t>54.303</w:t>
            </w:r>
          </w:p>
        </w:tc>
        <w:tc>
          <w:tcPr>
            <w:tcW w:w="850" w:type="dxa"/>
          </w:tcPr>
          <w:p w:rsidR="00995BE0" w:rsidRPr="001D71BB" w:rsidRDefault="00995BE0" w:rsidP="00985775">
            <w:r w:rsidRPr="001D71BB">
              <w:rPr>
                <w:b/>
                <w:bCs/>
                <w:sz w:val="22"/>
                <w:szCs w:val="22"/>
              </w:rPr>
              <w:t>53.344</w:t>
            </w:r>
          </w:p>
        </w:tc>
        <w:tc>
          <w:tcPr>
            <w:tcW w:w="850" w:type="dxa"/>
          </w:tcPr>
          <w:p w:rsidR="00995BE0" w:rsidRPr="001D71BB" w:rsidRDefault="00995BE0" w:rsidP="00985775">
            <w:r w:rsidRPr="001D71BB">
              <w:rPr>
                <w:b/>
                <w:bCs/>
                <w:sz w:val="22"/>
                <w:szCs w:val="22"/>
              </w:rPr>
              <w:t>50.349</w:t>
            </w:r>
          </w:p>
        </w:tc>
        <w:tc>
          <w:tcPr>
            <w:tcW w:w="709" w:type="dxa"/>
          </w:tcPr>
          <w:p w:rsidR="00995BE0" w:rsidRPr="001D71BB" w:rsidRDefault="00995BE0" w:rsidP="00985775">
            <w:pPr>
              <w:ind w:right="-108"/>
            </w:pPr>
            <w:r w:rsidRPr="001D71BB">
              <w:rPr>
                <w:b/>
                <w:bCs/>
                <w:sz w:val="22"/>
                <w:szCs w:val="22"/>
              </w:rPr>
              <w:t>47.29</w:t>
            </w:r>
          </w:p>
        </w:tc>
        <w:tc>
          <w:tcPr>
            <w:tcW w:w="851" w:type="dxa"/>
          </w:tcPr>
          <w:p w:rsidR="00995BE0" w:rsidRPr="001D71BB" w:rsidRDefault="00995BE0" w:rsidP="00985775">
            <w:r w:rsidRPr="001D71BB">
              <w:rPr>
                <w:b/>
                <w:bCs/>
                <w:sz w:val="22"/>
                <w:szCs w:val="22"/>
              </w:rPr>
              <w:t>45.30</w:t>
            </w:r>
          </w:p>
        </w:tc>
        <w:tc>
          <w:tcPr>
            <w:tcW w:w="849" w:type="dxa"/>
          </w:tcPr>
          <w:p w:rsidR="00995BE0" w:rsidRPr="001D71BB" w:rsidRDefault="00995BE0" w:rsidP="00985775">
            <w:r w:rsidRPr="001D71BB">
              <w:rPr>
                <w:b/>
                <w:bCs/>
                <w:sz w:val="22"/>
                <w:szCs w:val="22"/>
              </w:rPr>
              <w:t>43.062</w:t>
            </w:r>
          </w:p>
        </w:tc>
        <w:tc>
          <w:tcPr>
            <w:tcW w:w="709" w:type="dxa"/>
          </w:tcPr>
          <w:p w:rsidR="00995BE0" w:rsidRPr="001D71BB" w:rsidRDefault="00995BE0" w:rsidP="00985775">
            <w:r w:rsidRPr="001D71BB">
              <w:rPr>
                <w:b/>
                <w:bCs/>
                <w:sz w:val="22"/>
                <w:szCs w:val="22"/>
              </w:rPr>
              <w:t>42.6</w:t>
            </w:r>
          </w:p>
        </w:tc>
        <w:tc>
          <w:tcPr>
            <w:tcW w:w="708" w:type="dxa"/>
          </w:tcPr>
          <w:p w:rsidR="00995BE0" w:rsidRPr="001D71BB" w:rsidRDefault="00995BE0" w:rsidP="00985775">
            <w:r w:rsidRPr="001D71BB">
              <w:rPr>
                <w:b/>
                <w:bCs/>
                <w:sz w:val="22"/>
                <w:szCs w:val="22"/>
              </w:rPr>
              <w:t>39.0</w:t>
            </w:r>
          </w:p>
        </w:tc>
        <w:tc>
          <w:tcPr>
            <w:tcW w:w="1419" w:type="dxa"/>
          </w:tcPr>
          <w:p w:rsidR="00995BE0" w:rsidRPr="001D71BB" w:rsidRDefault="00995BE0" w:rsidP="00985775">
            <w:r w:rsidRPr="001D71BB">
              <w:rPr>
                <w:b/>
                <w:bCs/>
                <w:sz w:val="22"/>
                <w:szCs w:val="22"/>
              </w:rPr>
              <w:t>-28</w:t>
            </w:r>
          </w:p>
        </w:tc>
      </w:tr>
    </w:tbl>
    <w:p w:rsidR="00995BE0" w:rsidRPr="001D71BB" w:rsidRDefault="00995BE0" w:rsidP="008E467F">
      <w:pPr>
        <w:autoSpaceDE w:val="0"/>
        <w:autoSpaceDN w:val="0"/>
        <w:adjustRightInd w:val="0"/>
        <w:rPr>
          <w:rFonts w:ascii="Arial,Bold" w:hAnsi="Arial,Bold" w:cs="Arial,Bold"/>
          <w:b/>
          <w:bCs/>
          <w:sz w:val="17"/>
          <w:szCs w:val="17"/>
        </w:rPr>
      </w:pPr>
    </w:p>
    <w:p w:rsidR="00995BE0" w:rsidRPr="00CC6AA8" w:rsidRDefault="00995BE0" w:rsidP="008E467F">
      <w:pPr>
        <w:autoSpaceDE w:val="0"/>
        <w:autoSpaceDN w:val="0"/>
        <w:adjustRightInd w:val="0"/>
        <w:rPr>
          <w:sz w:val="20"/>
          <w:szCs w:val="20"/>
          <w:lang w:eastAsia="ar-SA"/>
        </w:rPr>
      </w:pPr>
      <w:r w:rsidRPr="00CC6AA8">
        <w:rPr>
          <w:sz w:val="20"/>
          <w:szCs w:val="20"/>
        </w:rPr>
        <w:t xml:space="preserve">Šaltinis: Sudaryta autoriaus, remiantis Europos sąjungos kelių įvykių duomenų bazės duomenimis. [Interaktyvus], [žiūrėta 2010-12-15]. Prieiga per internetą: </w:t>
      </w:r>
      <w:hyperlink r:id="rId175" w:history="1">
        <w:r w:rsidRPr="00CC6AA8">
          <w:rPr>
            <w:rStyle w:val="Hipersaitas"/>
            <w:sz w:val="20"/>
            <w:szCs w:val="20"/>
          </w:rPr>
          <w:t>http://ec.europa.eu/transport/road_safety/pdf/observatory/trends_figures.pdf</w:t>
        </w:r>
      </w:hyperlink>
    </w:p>
    <w:p w:rsidR="00995BE0" w:rsidRPr="001D71BB" w:rsidRDefault="00995BE0" w:rsidP="008E467F">
      <w:pPr>
        <w:rPr>
          <w:lang w:eastAsia="ar-SA"/>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rPr>
          <w:sz w:val="32"/>
          <w:szCs w:val="32"/>
        </w:rPr>
      </w:pPr>
    </w:p>
    <w:p w:rsidR="00995BE0" w:rsidRDefault="00995BE0" w:rsidP="008E467F">
      <w:pPr>
        <w:tabs>
          <w:tab w:val="left" w:pos="2310"/>
        </w:tabs>
        <w:spacing w:line="360" w:lineRule="auto"/>
        <w:jc w:val="right"/>
        <w:rPr>
          <w:b/>
        </w:rPr>
      </w:pPr>
    </w:p>
    <w:p w:rsidR="00995BE0" w:rsidRDefault="00995BE0" w:rsidP="008E467F">
      <w:pPr>
        <w:tabs>
          <w:tab w:val="left" w:pos="2310"/>
        </w:tabs>
        <w:spacing w:line="360" w:lineRule="auto"/>
        <w:jc w:val="right"/>
        <w:rPr>
          <w:b/>
        </w:rPr>
      </w:pPr>
    </w:p>
    <w:p w:rsidR="00995BE0" w:rsidRDefault="00995BE0" w:rsidP="008E467F">
      <w:pPr>
        <w:tabs>
          <w:tab w:val="left" w:pos="2310"/>
        </w:tabs>
        <w:spacing w:line="360" w:lineRule="auto"/>
        <w:jc w:val="right"/>
        <w:rPr>
          <w:b/>
        </w:rPr>
      </w:pPr>
      <w:r w:rsidRPr="00BE0925">
        <w:rPr>
          <w:b/>
        </w:rPr>
        <w:lastRenderedPageBreak/>
        <w:t>7 priedas</w:t>
      </w:r>
    </w:p>
    <w:p w:rsidR="00995BE0" w:rsidRDefault="00995BE0" w:rsidP="008E467F">
      <w:pPr>
        <w:tabs>
          <w:tab w:val="left" w:pos="2310"/>
        </w:tabs>
        <w:spacing w:line="360" w:lineRule="auto"/>
        <w:jc w:val="center"/>
        <w:rPr>
          <w:b/>
        </w:rPr>
      </w:pPr>
      <w:r>
        <w:rPr>
          <w:b/>
        </w:rPr>
        <w:t>Šiaulių miesto mokinių gyvensenos tyrimo rezultatai (2010 m.)</w:t>
      </w:r>
    </w:p>
    <w:p w:rsidR="00995BE0" w:rsidRDefault="00995BE0" w:rsidP="008E467F">
      <w:pPr>
        <w:ind w:left="360"/>
        <w:jc w:val="center"/>
        <w:rPr>
          <w:sz w:val="20"/>
          <w:szCs w:val="20"/>
          <w:highlight w:val="yellow"/>
        </w:rPr>
      </w:pPr>
      <w:r>
        <w:rPr>
          <w:sz w:val="20"/>
          <w:szCs w:val="20"/>
        </w:rPr>
        <w:t>Šaltinis: Šiaulių miesto mokinių gyvensenos tyrimas. (2011). Šiaulių miesto savivaldybės visuomenės sveikatos biuras [interaktyvus] [žiūrėta 2010-12-15]. Prieiga per internetą: http://www.sveikatos-biuras.lt/index.php?id=672</w:t>
      </w:r>
    </w:p>
    <w:p w:rsidR="00995BE0" w:rsidRPr="00BE0925" w:rsidRDefault="00995BE0" w:rsidP="008E467F">
      <w:pPr>
        <w:tabs>
          <w:tab w:val="left" w:pos="2310"/>
        </w:tabs>
        <w:spacing w:line="360" w:lineRule="auto"/>
        <w:jc w:val="center"/>
        <w:rPr>
          <w:b/>
        </w:rPr>
      </w:pPr>
    </w:p>
    <w:p w:rsidR="00995BE0" w:rsidRPr="001D71BB" w:rsidRDefault="00A54FAC" w:rsidP="008E467F">
      <w:pPr>
        <w:spacing w:line="360" w:lineRule="auto"/>
        <w:jc w:val="center"/>
      </w:pPr>
      <w:r>
        <w:rPr>
          <w:noProof/>
        </w:rPr>
        <w:drawing>
          <wp:inline distT="0" distB="0" distL="0" distR="0">
            <wp:extent cx="5760720" cy="5290185"/>
            <wp:effectExtent l="0" t="0" r="0" b="0"/>
            <wp:docPr id="29" name="Objekta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995BE0" w:rsidRPr="00B53404" w:rsidRDefault="00995BE0" w:rsidP="008E467F">
      <w:pPr>
        <w:jc w:val="center"/>
        <w:rPr>
          <w:sz w:val="22"/>
          <w:szCs w:val="22"/>
        </w:rPr>
      </w:pPr>
      <w:r>
        <w:rPr>
          <w:b/>
          <w:sz w:val="22"/>
          <w:szCs w:val="22"/>
        </w:rPr>
        <w:t>1</w:t>
      </w:r>
      <w:r w:rsidRPr="00B53404">
        <w:rPr>
          <w:b/>
          <w:sz w:val="22"/>
          <w:szCs w:val="22"/>
        </w:rPr>
        <w:t xml:space="preserve"> pav</w:t>
      </w:r>
      <w:r w:rsidRPr="00B53404">
        <w:rPr>
          <w:sz w:val="22"/>
          <w:szCs w:val="22"/>
        </w:rPr>
        <w:t>. Kai kurių maisto produktų vartojimo dažnumas (proc.)</w:t>
      </w:r>
    </w:p>
    <w:p w:rsidR="00995BE0" w:rsidRDefault="00995BE0" w:rsidP="008E467F">
      <w:pPr>
        <w:pStyle w:val="ListParagraph1"/>
        <w:jc w:val="center"/>
        <w:rPr>
          <w:sz w:val="20"/>
          <w:szCs w:val="20"/>
        </w:rPr>
      </w:pPr>
      <w:r w:rsidRPr="00BE0925">
        <w:rPr>
          <w:sz w:val="20"/>
          <w:szCs w:val="20"/>
        </w:rPr>
        <w:t>(* - p&lt;0,05)</w:t>
      </w:r>
    </w:p>
    <w:p w:rsidR="00995BE0" w:rsidRDefault="00995BE0" w:rsidP="008E467F"/>
    <w:p w:rsidR="00995BE0" w:rsidRPr="00AA24AC" w:rsidRDefault="00995BE0" w:rsidP="008E467F">
      <w:pPr>
        <w:jc w:val="center"/>
      </w:pPr>
    </w:p>
    <w:p w:rsidR="00995BE0" w:rsidRDefault="00A54FAC" w:rsidP="008E467F">
      <w:pPr>
        <w:pStyle w:val="ListParagraph1"/>
        <w:tabs>
          <w:tab w:val="left" w:pos="3084"/>
          <w:tab w:val="left" w:pos="4296"/>
        </w:tabs>
        <w:spacing w:line="360" w:lineRule="auto"/>
        <w:ind w:left="0"/>
        <w:jc w:val="center"/>
        <w:rPr>
          <w:noProof/>
        </w:rPr>
      </w:pPr>
      <w:r>
        <w:rPr>
          <w:noProof/>
        </w:rPr>
        <w:lastRenderedPageBreak/>
        <w:drawing>
          <wp:inline distT="0" distB="0" distL="0" distR="0">
            <wp:extent cx="6231255" cy="3435350"/>
            <wp:effectExtent l="0" t="0" r="0" b="0"/>
            <wp:docPr id="30" name="Objekta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995BE0" w:rsidRPr="00B53404" w:rsidRDefault="00995BE0" w:rsidP="008E467F">
      <w:pPr>
        <w:pStyle w:val="ListParagraph1"/>
        <w:tabs>
          <w:tab w:val="left" w:pos="3084"/>
          <w:tab w:val="left" w:pos="4296"/>
        </w:tabs>
        <w:ind w:left="0"/>
        <w:jc w:val="center"/>
        <w:rPr>
          <w:sz w:val="22"/>
          <w:szCs w:val="22"/>
        </w:rPr>
      </w:pPr>
      <w:r w:rsidRPr="00EF3085">
        <w:rPr>
          <w:b/>
          <w:sz w:val="22"/>
          <w:szCs w:val="22"/>
        </w:rPr>
        <w:t>2 pav.</w:t>
      </w:r>
      <w:r w:rsidRPr="00B53404">
        <w:rPr>
          <w:b/>
          <w:sz w:val="22"/>
          <w:szCs w:val="22"/>
        </w:rPr>
        <w:t xml:space="preserve"> </w:t>
      </w:r>
      <w:r w:rsidRPr="00B53404">
        <w:rPr>
          <w:sz w:val="22"/>
          <w:szCs w:val="22"/>
        </w:rPr>
        <w:t xml:space="preserve">Alkoholinių gėrimų vartojimas (proc.) </w:t>
      </w:r>
    </w:p>
    <w:p w:rsidR="00995BE0" w:rsidRDefault="00995BE0" w:rsidP="008E467F">
      <w:pPr>
        <w:pStyle w:val="ListParagraph1"/>
        <w:tabs>
          <w:tab w:val="left" w:pos="3084"/>
          <w:tab w:val="left" w:pos="4296"/>
        </w:tabs>
        <w:ind w:left="0"/>
        <w:jc w:val="center"/>
        <w:rPr>
          <w:sz w:val="22"/>
          <w:szCs w:val="22"/>
        </w:rPr>
      </w:pPr>
      <w:r w:rsidRPr="00B53404">
        <w:rPr>
          <w:sz w:val="22"/>
          <w:szCs w:val="22"/>
        </w:rPr>
        <w:t>*p&lt;0,05 pagal lytį</w:t>
      </w:r>
    </w:p>
    <w:p w:rsidR="00995BE0" w:rsidRDefault="00995BE0" w:rsidP="008E467F">
      <w:pPr>
        <w:pStyle w:val="ListParagraph1"/>
        <w:tabs>
          <w:tab w:val="left" w:pos="3084"/>
          <w:tab w:val="left" w:pos="4296"/>
        </w:tabs>
        <w:ind w:left="0"/>
        <w:jc w:val="center"/>
        <w:rPr>
          <w:sz w:val="22"/>
          <w:szCs w:val="22"/>
        </w:rPr>
      </w:pPr>
    </w:p>
    <w:p w:rsidR="00995BE0" w:rsidRPr="001D71BB" w:rsidRDefault="00A54FAC" w:rsidP="008E467F">
      <w:pPr>
        <w:pStyle w:val="ListParagraph1"/>
        <w:tabs>
          <w:tab w:val="left" w:pos="3084"/>
          <w:tab w:val="left" w:pos="4296"/>
        </w:tabs>
        <w:ind w:left="0" w:firstLine="567"/>
        <w:jc w:val="center"/>
      </w:pPr>
      <w:r>
        <w:rPr>
          <w:noProof/>
        </w:rPr>
        <w:drawing>
          <wp:inline distT="0" distB="0" distL="0" distR="0">
            <wp:extent cx="5643245" cy="2482215"/>
            <wp:effectExtent l="0" t="0" r="0" b="0"/>
            <wp:docPr id="31" name="Objektas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995BE0" w:rsidRPr="00B53404" w:rsidRDefault="00995BE0" w:rsidP="008E467F">
      <w:pPr>
        <w:pStyle w:val="ListParagraph1"/>
        <w:tabs>
          <w:tab w:val="left" w:pos="3084"/>
          <w:tab w:val="left" w:pos="4296"/>
        </w:tabs>
        <w:ind w:left="0" w:firstLine="567"/>
        <w:jc w:val="center"/>
        <w:rPr>
          <w:b/>
          <w:sz w:val="22"/>
          <w:szCs w:val="22"/>
        </w:rPr>
      </w:pPr>
      <w:r>
        <w:rPr>
          <w:b/>
          <w:sz w:val="22"/>
          <w:szCs w:val="22"/>
        </w:rPr>
        <w:t xml:space="preserve">3 </w:t>
      </w:r>
      <w:r w:rsidRPr="00B53404">
        <w:rPr>
          <w:b/>
          <w:sz w:val="22"/>
          <w:szCs w:val="22"/>
        </w:rPr>
        <w:t>pav</w:t>
      </w:r>
      <w:r w:rsidRPr="00B53404">
        <w:rPr>
          <w:sz w:val="22"/>
          <w:szCs w:val="22"/>
        </w:rPr>
        <w:t>. Ar kada nors buvai išgėręs tiek daug alkoholinių gėrimų, kad pasijustum apsvaigęs (proc.)</w:t>
      </w:r>
      <w:r w:rsidRPr="00B53404">
        <w:rPr>
          <w:b/>
          <w:sz w:val="22"/>
          <w:szCs w:val="22"/>
        </w:rPr>
        <w:t xml:space="preserve"> </w:t>
      </w:r>
    </w:p>
    <w:p w:rsidR="00995BE0" w:rsidRPr="00B53404" w:rsidRDefault="00995BE0" w:rsidP="008E467F">
      <w:pPr>
        <w:pStyle w:val="ListParagraph1"/>
        <w:tabs>
          <w:tab w:val="left" w:pos="3084"/>
          <w:tab w:val="left" w:pos="4296"/>
        </w:tabs>
        <w:ind w:left="0"/>
        <w:jc w:val="center"/>
        <w:rPr>
          <w:sz w:val="22"/>
          <w:szCs w:val="22"/>
        </w:rPr>
      </w:pPr>
    </w:p>
    <w:p w:rsidR="00995BE0" w:rsidRPr="001D71BB" w:rsidRDefault="00995BE0" w:rsidP="008E467F">
      <w:pPr>
        <w:pStyle w:val="ListParagraph1"/>
        <w:tabs>
          <w:tab w:val="left" w:pos="3084"/>
          <w:tab w:val="left" w:pos="4296"/>
        </w:tabs>
        <w:spacing w:line="360" w:lineRule="auto"/>
        <w:ind w:left="0"/>
        <w:jc w:val="right"/>
        <w:rPr>
          <w:b/>
        </w:rPr>
      </w:pPr>
      <w:r>
        <w:rPr>
          <w:b/>
        </w:rPr>
        <w:t>1</w:t>
      </w:r>
      <w:r w:rsidRPr="001D71BB">
        <w:rPr>
          <w:b/>
        </w:rPr>
        <w:t xml:space="preserve"> lentelė</w:t>
      </w:r>
    </w:p>
    <w:p w:rsidR="00995BE0" w:rsidRPr="00B53404" w:rsidRDefault="00995BE0" w:rsidP="008E467F">
      <w:pPr>
        <w:pStyle w:val="ListParagraph1"/>
        <w:tabs>
          <w:tab w:val="left" w:pos="3084"/>
          <w:tab w:val="left" w:pos="4296"/>
        </w:tabs>
        <w:spacing w:line="360" w:lineRule="auto"/>
        <w:ind w:left="0"/>
        <w:jc w:val="both"/>
        <w:rPr>
          <w:b/>
          <w:sz w:val="22"/>
          <w:szCs w:val="22"/>
        </w:rPr>
      </w:pPr>
      <w:r w:rsidRPr="00B53404">
        <w:rPr>
          <w:b/>
          <w:sz w:val="22"/>
          <w:szCs w:val="22"/>
        </w:rPr>
        <w:t>Mokinių amžius kai pirmą kartą rūkė, išgėrė alkoholio ir pasijuto apsvaigę.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5"/>
        <w:gridCol w:w="1415"/>
        <w:gridCol w:w="962"/>
        <w:gridCol w:w="963"/>
        <w:gridCol w:w="963"/>
        <w:gridCol w:w="964"/>
        <w:gridCol w:w="964"/>
        <w:gridCol w:w="964"/>
        <w:gridCol w:w="964"/>
      </w:tblGrid>
      <w:tr w:rsidR="00995BE0" w:rsidRPr="001D71BB" w:rsidTr="00985775">
        <w:tc>
          <w:tcPr>
            <w:tcW w:w="1695" w:type="dxa"/>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Niekada</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 m. ar mažiau</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12 m.</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 m.</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14 m.</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 m.</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16 m.</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Rūkymas</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23,2</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21,1</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16,2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14,1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3,2</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21,7</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14,5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17,1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22,4</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6,6</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Alkoholiniai gėrimai</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12</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14,8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16,4</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20,8</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20,2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2,7</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9,9</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14,5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19,1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27,6</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Apsvaigę nuo alkoholio</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23,1</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6,6</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7,7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19,2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20,9</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15,9</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6,6</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28,5</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7,3</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19,2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23,2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3,3</w:t>
            </w:r>
          </w:p>
        </w:tc>
      </w:tr>
    </w:tbl>
    <w:p w:rsidR="00995BE0" w:rsidRPr="001D71BB" w:rsidRDefault="00995BE0" w:rsidP="008E467F">
      <w:pPr>
        <w:pStyle w:val="ListParagraph1"/>
        <w:tabs>
          <w:tab w:val="left" w:pos="3084"/>
          <w:tab w:val="left" w:pos="4296"/>
        </w:tabs>
        <w:spacing w:line="360" w:lineRule="auto"/>
        <w:ind w:left="0" w:firstLine="567"/>
        <w:jc w:val="both"/>
        <w:rPr>
          <w:b/>
        </w:rPr>
      </w:pPr>
    </w:p>
    <w:p w:rsidR="00995BE0" w:rsidRDefault="00995BE0" w:rsidP="008E467F">
      <w:pPr>
        <w:pStyle w:val="ListParagraph1"/>
        <w:tabs>
          <w:tab w:val="left" w:pos="3084"/>
          <w:tab w:val="left" w:pos="4296"/>
        </w:tabs>
        <w:spacing w:line="360" w:lineRule="auto"/>
        <w:ind w:left="0" w:firstLine="567"/>
        <w:jc w:val="right"/>
        <w:rPr>
          <w:b/>
        </w:rPr>
      </w:pPr>
    </w:p>
    <w:p w:rsidR="00995BE0" w:rsidRDefault="00995BE0" w:rsidP="008E467F">
      <w:pPr>
        <w:pStyle w:val="ListParagraph1"/>
        <w:tabs>
          <w:tab w:val="left" w:pos="3084"/>
          <w:tab w:val="left" w:pos="4296"/>
        </w:tabs>
        <w:spacing w:line="360" w:lineRule="auto"/>
        <w:ind w:left="0" w:firstLine="567"/>
        <w:jc w:val="right"/>
        <w:rPr>
          <w:b/>
        </w:rPr>
      </w:pPr>
    </w:p>
    <w:p w:rsidR="00995BE0" w:rsidRPr="001D71BB" w:rsidRDefault="00995BE0" w:rsidP="008E467F">
      <w:pPr>
        <w:pStyle w:val="ListParagraph1"/>
        <w:tabs>
          <w:tab w:val="left" w:pos="3084"/>
          <w:tab w:val="left" w:pos="4296"/>
        </w:tabs>
        <w:spacing w:line="360" w:lineRule="auto"/>
        <w:ind w:left="0" w:firstLine="567"/>
        <w:jc w:val="right"/>
        <w:rPr>
          <w:b/>
        </w:rPr>
      </w:pPr>
      <w:r>
        <w:rPr>
          <w:b/>
        </w:rPr>
        <w:lastRenderedPageBreak/>
        <w:t>2</w:t>
      </w:r>
      <w:r w:rsidRPr="001D71BB">
        <w:rPr>
          <w:b/>
        </w:rPr>
        <w:t xml:space="preserve"> lentelė</w:t>
      </w:r>
    </w:p>
    <w:p w:rsidR="00995BE0" w:rsidRPr="00B53404" w:rsidRDefault="00995BE0" w:rsidP="008E467F">
      <w:pPr>
        <w:pStyle w:val="ListParagraph1"/>
        <w:tabs>
          <w:tab w:val="left" w:pos="3084"/>
          <w:tab w:val="left" w:pos="4296"/>
        </w:tabs>
        <w:spacing w:line="360" w:lineRule="auto"/>
        <w:ind w:left="0"/>
        <w:rPr>
          <w:b/>
          <w:sz w:val="22"/>
          <w:szCs w:val="22"/>
        </w:rPr>
      </w:pPr>
      <w:r w:rsidRPr="00B53404">
        <w:rPr>
          <w:b/>
          <w:sz w:val="22"/>
          <w:szCs w:val="22"/>
        </w:rPr>
        <w:t>Mokinių pasiskirstymas pagal kanapių („žolės“, marihuanos, hašišo) vartojimą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5"/>
        <w:gridCol w:w="1415"/>
        <w:gridCol w:w="962"/>
        <w:gridCol w:w="963"/>
        <w:gridCol w:w="963"/>
        <w:gridCol w:w="964"/>
        <w:gridCol w:w="964"/>
        <w:gridCol w:w="964"/>
        <w:gridCol w:w="964"/>
      </w:tblGrid>
      <w:tr w:rsidR="00995BE0" w:rsidRPr="001D71BB" w:rsidTr="00985775">
        <w:tc>
          <w:tcPr>
            <w:tcW w:w="1695" w:type="dxa"/>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Nė karto</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1-2 kartus</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3-5 kartus</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6-9 kartus</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10-19 kartų</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20-39 kartų</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40 kartų ir daugiau</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visą savo gyvenimą</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68,3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6,6</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1,6</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4,4</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78,9</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15,8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pastaruosius 12 mėnesių</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78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4,4</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3,3</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 xml:space="preserve">1,1 </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87,4</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8,6</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pastarąsias 30 dienų</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91,3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3,3</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96,7</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bl>
    <w:p w:rsidR="00995BE0" w:rsidRPr="001D71BB" w:rsidRDefault="00995BE0" w:rsidP="008E467F">
      <w:pPr>
        <w:pStyle w:val="ListParagraph1"/>
        <w:tabs>
          <w:tab w:val="left" w:pos="4296"/>
        </w:tabs>
        <w:spacing w:line="360" w:lineRule="auto"/>
        <w:ind w:left="0" w:firstLine="567"/>
        <w:jc w:val="right"/>
        <w:rPr>
          <w:b/>
        </w:rPr>
      </w:pPr>
    </w:p>
    <w:p w:rsidR="00995BE0" w:rsidRPr="001D71BB" w:rsidRDefault="00995BE0" w:rsidP="008E467F">
      <w:pPr>
        <w:pStyle w:val="ListParagraph1"/>
        <w:tabs>
          <w:tab w:val="left" w:pos="4296"/>
        </w:tabs>
        <w:spacing w:line="360" w:lineRule="auto"/>
        <w:ind w:left="0" w:firstLine="567"/>
        <w:jc w:val="right"/>
        <w:rPr>
          <w:b/>
        </w:rPr>
      </w:pPr>
      <w:r>
        <w:rPr>
          <w:b/>
        </w:rPr>
        <w:t>3</w:t>
      </w:r>
      <w:r w:rsidRPr="001D71BB">
        <w:rPr>
          <w:b/>
        </w:rPr>
        <w:t xml:space="preserve"> lentelė</w:t>
      </w:r>
    </w:p>
    <w:p w:rsidR="00995BE0" w:rsidRPr="00B53404" w:rsidRDefault="00995BE0" w:rsidP="008E467F">
      <w:pPr>
        <w:pStyle w:val="ListParagraph1"/>
        <w:tabs>
          <w:tab w:val="left" w:pos="4296"/>
        </w:tabs>
        <w:spacing w:line="360" w:lineRule="auto"/>
        <w:ind w:left="0"/>
        <w:jc w:val="both"/>
        <w:rPr>
          <w:b/>
          <w:sz w:val="22"/>
          <w:szCs w:val="22"/>
        </w:rPr>
      </w:pPr>
      <w:r w:rsidRPr="00B53404">
        <w:rPr>
          <w:b/>
          <w:sz w:val="22"/>
          <w:szCs w:val="22"/>
        </w:rPr>
        <w:t>Mokinių pasiskirstymas pagal tai ar kada nors svaiginosi uostydami klijus, tirpiklius ar kita?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5"/>
        <w:gridCol w:w="1415"/>
        <w:gridCol w:w="962"/>
        <w:gridCol w:w="963"/>
        <w:gridCol w:w="963"/>
        <w:gridCol w:w="964"/>
        <w:gridCol w:w="964"/>
        <w:gridCol w:w="964"/>
        <w:gridCol w:w="964"/>
      </w:tblGrid>
      <w:tr w:rsidR="00995BE0" w:rsidRPr="001D71BB" w:rsidTr="00985775">
        <w:tc>
          <w:tcPr>
            <w:tcW w:w="1695" w:type="dxa"/>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Nė karto</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1-2 kartus</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3-5 kartus</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6-9 kartus</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10-19 kartų</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20-39 kartų</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40 kartų ir daugiau</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visą savo gyvenimą</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94,1</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96,7</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2,6</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pastaruosius 12 mėnesių</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96,7</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99,3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pastarąsias 30 dienų</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97,8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99,3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bl>
    <w:p w:rsidR="00995BE0" w:rsidRPr="001D71BB" w:rsidRDefault="00995BE0" w:rsidP="008E467F">
      <w:pPr>
        <w:tabs>
          <w:tab w:val="left" w:pos="4296"/>
        </w:tabs>
        <w:spacing w:line="360" w:lineRule="auto"/>
        <w:jc w:val="right"/>
        <w:rPr>
          <w:b/>
        </w:rPr>
      </w:pPr>
    </w:p>
    <w:p w:rsidR="00995BE0" w:rsidRPr="001D71BB" w:rsidRDefault="00995BE0" w:rsidP="008E467F">
      <w:pPr>
        <w:tabs>
          <w:tab w:val="left" w:pos="4296"/>
        </w:tabs>
        <w:spacing w:line="360" w:lineRule="auto"/>
        <w:jc w:val="right"/>
        <w:rPr>
          <w:b/>
        </w:rPr>
      </w:pPr>
      <w:r>
        <w:rPr>
          <w:b/>
        </w:rPr>
        <w:t>4</w:t>
      </w:r>
      <w:r w:rsidRPr="001D71BB">
        <w:rPr>
          <w:b/>
        </w:rPr>
        <w:t xml:space="preserve"> lentelė</w:t>
      </w:r>
    </w:p>
    <w:p w:rsidR="00995BE0" w:rsidRPr="00B175BF" w:rsidRDefault="00995BE0" w:rsidP="008E467F">
      <w:pPr>
        <w:tabs>
          <w:tab w:val="left" w:pos="4296"/>
        </w:tabs>
        <w:jc w:val="both"/>
        <w:rPr>
          <w:b/>
          <w:sz w:val="22"/>
          <w:szCs w:val="22"/>
        </w:rPr>
      </w:pPr>
      <w:r w:rsidRPr="00B175BF">
        <w:rPr>
          <w:b/>
          <w:sz w:val="22"/>
          <w:szCs w:val="22"/>
        </w:rPr>
        <w:t>Mokinių pasiskirstymas pagal tai ar kada nors vartojo kitus nei prieš tai paminėtus narkotikus (proc.)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5"/>
        <w:gridCol w:w="1415"/>
        <w:gridCol w:w="962"/>
        <w:gridCol w:w="963"/>
        <w:gridCol w:w="963"/>
        <w:gridCol w:w="964"/>
        <w:gridCol w:w="964"/>
        <w:gridCol w:w="964"/>
        <w:gridCol w:w="964"/>
      </w:tblGrid>
      <w:tr w:rsidR="00995BE0" w:rsidRPr="001D71BB" w:rsidTr="00985775">
        <w:tc>
          <w:tcPr>
            <w:tcW w:w="1695" w:type="dxa"/>
          </w:tcPr>
          <w:p w:rsidR="00995BE0" w:rsidRPr="00B53404" w:rsidRDefault="00995BE0" w:rsidP="00985775">
            <w:pPr>
              <w:pStyle w:val="ListParagraph1"/>
              <w:tabs>
                <w:tab w:val="left" w:pos="3084"/>
                <w:tab w:val="left" w:pos="4296"/>
              </w:tabs>
              <w:ind w:left="0"/>
              <w:jc w:val="center"/>
              <w:rPr>
                <w:b/>
                <w:sz w:val="20"/>
                <w:szCs w:val="20"/>
              </w:rPr>
            </w:pPr>
          </w:p>
        </w:tc>
        <w:tc>
          <w:tcPr>
            <w:tcW w:w="1415" w:type="dxa"/>
          </w:tcPr>
          <w:p w:rsidR="00995BE0" w:rsidRPr="00B53404" w:rsidRDefault="00995BE0" w:rsidP="00985775">
            <w:pPr>
              <w:pStyle w:val="ListParagraph1"/>
              <w:tabs>
                <w:tab w:val="left" w:pos="3084"/>
                <w:tab w:val="left" w:pos="4296"/>
              </w:tabs>
              <w:ind w:left="0"/>
              <w:jc w:val="center"/>
              <w:rPr>
                <w:b/>
                <w:sz w:val="20"/>
                <w:szCs w:val="20"/>
              </w:rPr>
            </w:pP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Nė karto</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1-2 kartus</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3-5 kartus</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6-9 kartus</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10-19 kartų</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20-39 kartų</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40 kartų ir daugiau</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visą savo gyvenimą</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87</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6</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0,5</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90,1</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5,9</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pastaruosius 12 mėnesių</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92,3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3,3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2,2</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0,6</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94</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4</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r w:rsidR="00995BE0" w:rsidRPr="001D71BB" w:rsidTr="00985775">
        <w:tc>
          <w:tcPr>
            <w:tcW w:w="1695" w:type="dxa"/>
            <w:vMerge w:val="restart"/>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Per pastarąsias 30 dienų</w:t>
            </w: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Berniukai</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95,6</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2,2</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1,1</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r>
      <w:tr w:rsidR="00995BE0" w:rsidRPr="001D71BB" w:rsidTr="00985775">
        <w:tc>
          <w:tcPr>
            <w:tcW w:w="1695" w:type="dxa"/>
            <w:vMerge/>
          </w:tcPr>
          <w:p w:rsidR="00995BE0" w:rsidRPr="00B53404" w:rsidRDefault="00995BE0" w:rsidP="00985775">
            <w:pPr>
              <w:pStyle w:val="ListParagraph1"/>
              <w:tabs>
                <w:tab w:val="left" w:pos="3084"/>
                <w:tab w:val="left" w:pos="4296"/>
              </w:tabs>
              <w:ind w:left="0"/>
              <w:jc w:val="center"/>
              <w:rPr>
                <w:sz w:val="20"/>
                <w:szCs w:val="20"/>
              </w:rPr>
            </w:pPr>
          </w:p>
        </w:tc>
        <w:tc>
          <w:tcPr>
            <w:tcW w:w="1415"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Mergaitės</w:t>
            </w:r>
          </w:p>
        </w:tc>
        <w:tc>
          <w:tcPr>
            <w:tcW w:w="962"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98</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1,3</w:t>
            </w:r>
          </w:p>
        </w:tc>
        <w:tc>
          <w:tcPr>
            <w:tcW w:w="963"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w:t>
            </w:r>
          </w:p>
        </w:tc>
        <w:tc>
          <w:tcPr>
            <w:tcW w:w="964" w:type="dxa"/>
          </w:tcPr>
          <w:p w:rsidR="00995BE0" w:rsidRPr="00B53404" w:rsidRDefault="00995BE0" w:rsidP="00985775">
            <w:pPr>
              <w:pStyle w:val="ListParagraph1"/>
              <w:tabs>
                <w:tab w:val="left" w:pos="3084"/>
                <w:tab w:val="left" w:pos="4296"/>
              </w:tabs>
              <w:ind w:left="0"/>
              <w:jc w:val="center"/>
              <w:rPr>
                <w:sz w:val="20"/>
                <w:szCs w:val="20"/>
              </w:rPr>
            </w:pPr>
            <w:r w:rsidRPr="00B53404">
              <w:rPr>
                <w:sz w:val="20"/>
                <w:szCs w:val="20"/>
              </w:rPr>
              <w:t>0,7</w:t>
            </w:r>
          </w:p>
        </w:tc>
      </w:tr>
    </w:tbl>
    <w:p w:rsidR="00995BE0" w:rsidRDefault="00995BE0" w:rsidP="008E467F">
      <w:pPr>
        <w:tabs>
          <w:tab w:val="left" w:pos="3756"/>
        </w:tabs>
        <w:spacing w:line="360" w:lineRule="auto"/>
        <w:jc w:val="center"/>
        <w:rPr>
          <w:noProof/>
        </w:rPr>
      </w:pPr>
    </w:p>
    <w:p w:rsidR="00995BE0" w:rsidRPr="001D71BB" w:rsidRDefault="00995BE0" w:rsidP="008E467F">
      <w:pPr>
        <w:pStyle w:val="ListParagraph1"/>
        <w:tabs>
          <w:tab w:val="left" w:pos="4296"/>
        </w:tabs>
        <w:spacing w:line="360" w:lineRule="auto"/>
        <w:ind w:left="0" w:firstLine="567"/>
        <w:jc w:val="both"/>
        <w:rPr>
          <w:b/>
        </w:rPr>
      </w:pPr>
    </w:p>
    <w:p w:rsidR="00995BE0" w:rsidRPr="001D71BB" w:rsidRDefault="00A54FAC" w:rsidP="008E467F">
      <w:pPr>
        <w:tabs>
          <w:tab w:val="left" w:pos="1692"/>
        </w:tabs>
        <w:spacing w:line="360" w:lineRule="auto"/>
        <w:jc w:val="center"/>
      </w:pPr>
      <w:r>
        <w:rPr>
          <w:noProof/>
        </w:rPr>
        <w:drawing>
          <wp:inline distT="0" distB="0" distL="0" distR="0">
            <wp:extent cx="5120640" cy="1828800"/>
            <wp:effectExtent l="0" t="0" r="0" b="0"/>
            <wp:docPr id="32" name="Objektas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995BE0" w:rsidRPr="006C0340" w:rsidRDefault="00995BE0" w:rsidP="008E467F">
      <w:pPr>
        <w:tabs>
          <w:tab w:val="left" w:pos="1692"/>
        </w:tabs>
        <w:jc w:val="center"/>
        <w:rPr>
          <w:sz w:val="22"/>
          <w:szCs w:val="22"/>
        </w:rPr>
      </w:pPr>
      <w:r w:rsidRPr="00EF3085">
        <w:rPr>
          <w:b/>
          <w:sz w:val="22"/>
          <w:szCs w:val="22"/>
        </w:rPr>
        <w:t>4 pav</w:t>
      </w:r>
      <w:r w:rsidRPr="006C0340">
        <w:rPr>
          <w:sz w:val="22"/>
          <w:szCs w:val="22"/>
        </w:rPr>
        <w:t>. Mokinių pasiskirstymas pagal tai kaip dažnai kiti mokiniai tyčiojosi iš jų per pastaruosius 2 mėnesius (proc.)</w:t>
      </w:r>
    </w:p>
    <w:p w:rsidR="00995BE0" w:rsidRPr="001D71BB" w:rsidRDefault="00A54FAC" w:rsidP="008E467F">
      <w:pPr>
        <w:tabs>
          <w:tab w:val="left" w:pos="1692"/>
        </w:tabs>
        <w:spacing w:line="360" w:lineRule="auto"/>
        <w:jc w:val="center"/>
        <w:rPr>
          <w:b/>
        </w:rPr>
      </w:pPr>
      <w:r>
        <w:rPr>
          <w:noProof/>
        </w:rPr>
        <w:lastRenderedPageBreak/>
        <w:drawing>
          <wp:inline distT="0" distB="0" distL="0" distR="0">
            <wp:extent cx="5786755" cy="2338070"/>
            <wp:effectExtent l="0" t="0" r="0" b="0"/>
            <wp:docPr id="33" name="Objekta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995BE0" w:rsidRPr="006C0340" w:rsidRDefault="00995BE0" w:rsidP="008E467F">
      <w:pPr>
        <w:tabs>
          <w:tab w:val="left" w:pos="1692"/>
        </w:tabs>
        <w:jc w:val="center"/>
        <w:rPr>
          <w:sz w:val="22"/>
          <w:szCs w:val="22"/>
        </w:rPr>
      </w:pPr>
      <w:r w:rsidRPr="00AA24AC">
        <w:rPr>
          <w:b/>
          <w:sz w:val="22"/>
          <w:szCs w:val="22"/>
        </w:rPr>
        <w:t>5 pav</w:t>
      </w:r>
      <w:r w:rsidRPr="006C0340">
        <w:rPr>
          <w:sz w:val="22"/>
          <w:szCs w:val="22"/>
        </w:rPr>
        <w:t>. Mokinių pasiskirstymas pagal tai kaip dažnai patys mokiniai tyčiojosi iš kitų per pastaruosius 2 mėnesius (proc.)</w:t>
      </w:r>
    </w:p>
    <w:p w:rsidR="00995BE0" w:rsidRPr="001D71BB" w:rsidRDefault="00A54FAC" w:rsidP="000F4CD6">
      <w:pPr>
        <w:tabs>
          <w:tab w:val="left" w:pos="1692"/>
        </w:tabs>
        <w:spacing w:line="360" w:lineRule="auto"/>
        <w:jc w:val="center"/>
      </w:pPr>
      <w:r>
        <w:rPr>
          <w:noProof/>
        </w:rPr>
        <w:drawing>
          <wp:inline distT="0" distB="0" distL="0" distR="0">
            <wp:extent cx="6035040" cy="2455545"/>
            <wp:effectExtent l="0" t="0" r="0" b="0"/>
            <wp:docPr id="34" name="Objekta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995BE0" w:rsidRDefault="00995BE0" w:rsidP="008E467F">
      <w:pPr>
        <w:tabs>
          <w:tab w:val="left" w:pos="1692"/>
        </w:tabs>
        <w:spacing w:line="360" w:lineRule="auto"/>
        <w:ind w:firstLine="567"/>
        <w:jc w:val="both"/>
        <w:rPr>
          <w:sz w:val="22"/>
          <w:szCs w:val="22"/>
        </w:rPr>
      </w:pPr>
      <w:r w:rsidRPr="00EF3085">
        <w:rPr>
          <w:b/>
          <w:sz w:val="22"/>
          <w:szCs w:val="22"/>
        </w:rPr>
        <w:t>6 pav</w:t>
      </w:r>
      <w:r w:rsidRPr="006C0340">
        <w:rPr>
          <w:sz w:val="22"/>
          <w:szCs w:val="22"/>
        </w:rPr>
        <w:t>. Mokinių pasiskirstymas pagal tai ar kada nors kildavo minčių apie savižudybę (proc.)</w:t>
      </w:r>
    </w:p>
    <w:p w:rsidR="00995BE0" w:rsidRDefault="00995BE0" w:rsidP="008E467F">
      <w:pPr>
        <w:tabs>
          <w:tab w:val="left" w:pos="1692"/>
        </w:tabs>
        <w:spacing w:line="360" w:lineRule="auto"/>
        <w:ind w:firstLine="567"/>
        <w:jc w:val="both"/>
        <w:rPr>
          <w:sz w:val="22"/>
          <w:szCs w:val="22"/>
        </w:rPr>
      </w:pPr>
    </w:p>
    <w:p w:rsidR="00995BE0" w:rsidRPr="001D71BB" w:rsidRDefault="00A54FAC" w:rsidP="008E467F">
      <w:pPr>
        <w:tabs>
          <w:tab w:val="left" w:pos="1764"/>
        </w:tabs>
        <w:spacing w:line="360" w:lineRule="auto"/>
        <w:jc w:val="center"/>
      </w:pPr>
      <w:r>
        <w:rPr>
          <w:noProof/>
        </w:rPr>
        <w:drawing>
          <wp:inline distT="0" distB="0" distL="0" distR="0">
            <wp:extent cx="6074410" cy="2455545"/>
            <wp:effectExtent l="0" t="0" r="0" b="0"/>
            <wp:docPr id="35" name="Objektas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995BE0" w:rsidRDefault="00995BE0" w:rsidP="008E467F">
      <w:pPr>
        <w:tabs>
          <w:tab w:val="left" w:pos="1764"/>
        </w:tabs>
        <w:spacing w:line="360" w:lineRule="auto"/>
        <w:jc w:val="center"/>
        <w:rPr>
          <w:sz w:val="22"/>
          <w:szCs w:val="22"/>
        </w:rPr>
      </w:pPr>
      <w:r w:rsidRPr="00AA24AC">
        <w:rPr>
          <w:b/>
          <w:sz w:val="22"/>
          <w:szCs w:val="22"/>
        </w:rPr>
        <w:t>7 pav.</w:t>
      </w:r>
      <w:r w:rsidRPr="000D031E">
        <w:rPr>
          <w:sz w:val="22"/>
          <w:szCs w:val="22"/>
        </w:rPr>
        <w:t xml:space="preserve"> Vietos, kur mokiniai yra susižeidę ar kitaip nukentėję (proc.)</w:t>
      </w:r>
    </w:p>
    <w:p w:rsidR="00995BE0" w:rsidRPr="000D031E" w:rsidRDefault="00995BE0" w:rsidP="008E467F">
      <w:pPr>
        <w:tabs>
          <w:tab w:val="left" w:pos="1764"/>
        </w:tabs>
        <w:spacing w:line="360" w:lineRule="auto"/>
        <w:jc w:val="center"/>
        <w:rPr>
          <w:sz w:val="22"/>
          <w:szCs w:val="22"/>
        </w:rPr>
      </w:pPr>
    </w:p>
    <w:p w:rsidR="00995BE0" w:rsidRPr="001D71BB" w:rsidRDefault="00A54FAC" w:rsidP="008E467F">
      <w:pPr>
        <w:tabs>
          <w:tab w:val="left" w:pos="2208"/>
        </w:tabs>
        <w:spacing w:line="360" w:lineRule="auto"/>
        <w:jc w:val="center"/>
      </w:pPr>
      <w:r>
        <w:rPr>
          <w:noProof/>
        </w:rPr>
        <w:lastRenderedPageBreak/>
        <w:drawing>
          <wp:inline distT="0" distB="0" distL="0" distR="0">
            <wp:extent cx="5643245" cy="2168525"/>
            <wp:effectExtent l="0" t="0" r="0" b="0"/>
            <wp:docPr id="36" name="Objekta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995BE0" w:rsidRDefault="00995BE0" w:rsidP="008E467F">
      <w:pPr>
        <w:tabs>
          <w:tab w:val="left" w:pos="2208"/>
        </w:tabs>
        <w:spacing w:line="360" w:lineRule="auto"/>
        <w:jc w:val="center"/>
        <w:rPr>
          <w:sz w:val="22"/>
          <w:szCs w:val="22"/>
        </w:rPr>
      </w:pPr>
      <w:r w:rsidRPr="00EF3085">
        <w:rPr>
          <w:b/>
          <w:sz w:val="22"/>
          <w:szCs w:val="22"/>
        </w:rPr>
        <w:t>8 pav</w:t>
      </w:r>
      <w:r w:rsidRPr="00593E1E">
        <w:rPr>
          <w:sz w:val="22"/>
          <w:szCs w:val="22"/>
        </w:rPr>
        <w:t>. Mokinių pasiskirstymas pagal tai, ar užsideda šalmą važinėdami dviračiu (proc.)</w:t>
      </w:r>
    </w:p>
    <w:p w:rsidR="00995BE0" w:rsidRPr="00593E1E" w:rsidRDefault="00995BE0" w:rsidP="008E467F">
      <w:pPr>
        <w:tabs>
          <w:tab w:val="left" w:pos="2208"/>
        </w:tabs>
        <w:spacing w:line="360" w:lineRule="auto"/>
        <w:jc w:val="center"/>
        <w:rPr>
          <w:sz w:val="22"/>
          <w:szCs w:val="22"/>
        </w:rPr>
      </w:pPr>
    </w:p>
    <w:p w:rsidR="00995BE0" w:rsidRPr="001D71BB" w:rsidRDefault="00A54FAC" w:rsidP="008E467F">
      <w:pPr>
        <w:tabs>
          <w:tab w:val="left" w:pos="2208"/>
        </w:tabs>
        <w:spacing w:line="360" w:lineRule="auto"/>
        <w:jc w:val="center"/>
        <w:rPr>
          <w:b/>
        </w:rPr>
      </w:pPr>
      <w:r>
        <w:rPr>
          <w:b/>
          <w:noProof/>
        </w:rPr>
        <w:drawing>
          <wp:inline distT="0" distB="0" distL="0" distR="0">
            <wp:extent cx="5838825" cy="2089785"/>
            <wp:effectExtent l="0" t="0" r="0" b="0"/>
            <wp:docPr id="37" name="Objektas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995BE0" w:rsidRDefault="00995BE0" w:rsidP="008E467F">
      <w:pPr>
        <w:tabs>
          <w:tab w:val="left" w:pos="2208"/>
        </w:tabs>
        <w:spacing w:line="360" w:lineRule="auto"/>
        <w:jc w:val="center"/>
        <w:rPr>
          <w:sz w:val="22"/>
          <w:szCs w:val="22"/>
        </w:rPr>
      </w:pPr>
      <w:r w:rsidRPr="00EF3085">
        <w:rPr>
          <w:b/>
          <w:sz w:val="22"/>
          <w:szCs w:val="22"/>
        </w:rPr>
        <w:t>9 pav</w:t>
      </w:r>
      <w:r w:rsidRPr="00593E1E">
        <w:rPr>
          <w:sz w:val="22"/>
          <w:szCs w:val="22"/>
        </w:rPr>
        <w:t>. Mokinių pasiskirstymas pagal tai, ar jie nešioja atšvaitus tamsiu paros metu (proc.)</w:t>
      </w:r>
    </w:p>
    <w:p w:rsidR="00995BE0" w:rsidRPr="00593E1E" w:rsidRDefault="00995BE0" w:rsidP="008E467F">
      <w:pPr>
        <w:tabs>
          <w:tab w:val="left" w:pos="2208"/>
        </w:tabs>
        <w:spacing w:line="360" w:lineRule="auto"/>
        <w:jc w:val="center"/>
        <w:rPr>
          <w:sz w:val="22"/>
          <w:szCs w:val="22"/>
        </w:rPr>
      </w:pPr>
    </w:p>
    <w:p w:rsidR="00995BE0" w:rsidRDefault="00A54FAC" w:rsidP="008E467F">
      <w:pPr>
        <w:pStyle w:val="ListParagraph1"/>
        <w:spacing w:line="360" w:lineRule="auto"/>
        <w:ind w:left="0"/>
        <w:jc w:val="center"/>
        <w:rPr>
          <w:b/>
          <w:noProof/>
        </w:rPr>
      </w:pPr>
      <w:r>
        <w:rPr>
          <w:b/>
          <w:noProof/>
        </w:rPr>
        <w:drawing>
          <wp:inline distT="0" distB="0" distL="0" distR="0">
            <wp:extent cx="5995670" cy="1880870"/>
            <wp:effectExtent l="0" t="0" r="0" b="0"/>
            <wp:docPr id="38" name="Objekta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995BE0" w:rsidRPr="00B53404" w:rsidRDefault="00995BE0" w:rsidP="008E467F">
      <w:pPr>
        <w:pStyle w:val="ListParagraph1"/>
        <w:spacing w:line="360" w:lineRule="auto"/>
        <w:ind w:left="0"/>
        <w:jc w:val="center"/>
      </w:pPr>
      <w:r>
        <w:rPr>
          <w:b/>
          <w:noProof/>
        </w:rPr>
        <w:t xml:space="preserve">10 </w:t>
      </w:r>
      <w:r w:rsidRPr="00B53404">
        <w:rPr>
          <w:b/>
          <w:sz w:val="22"/>
          <w:szCs w:val="22"/>
        </w:rPr>
        <w:t>pav</w:t>
      </w:r>
      <w:r w:rsidRPr="00B53404">
        <w:rPr>
          <w:sz w:val="22"/>
          <w:szCs w:val="22"/>
        </w:rPr>
        <w:t>. Mokinių pasiskirstymas pagal tai kaip dažnai valosi dantis šepetėliu ir pasta (proc.)</w:t>
      </w:r>
      <w:r w:rsidRPr="00B53404">
        <w:t xml:space="preserve"> </w:t>
      </w:r>
    </w:p>
    <w:p w:rsidR="00995BE0" w:rsidRDefault="00995BE0" w:rsidP="008E467F">
      <w:pPr>
        <w:jc w:val="right"/>
        <w:rPr>
          <w:b/>
          <w:sz w:val="28"/>
          <w:szCs w:val="28"/>
        </w:rPr>
      </w:pPr>
    </w:p>
    <w:p w:rsidR="00995BE0" w:rsidRDefault="00A54FAC" w:rsidP="00F557A4">
      <w:pPr>
        <w:pStyle w:val="Sraopastraipa"/>
        <w:tabs>
          <w:tab w:val="left" w:pos="4296"/>
        </w:tabs>
        <w:ind w:left="0"/>
        <w:jc w:val="center"/>
        <w:rPr>
          <w:b/>
          <w:color w:val="FF0000"/>
        </w:rPr>
      </w:pPr>
      <w:r>
        <w:rPr>
          <w:b/>
          <w:noProof/>
          <w:color w:val="FF0000"/>
        </w:rPr>
        <w:lastRenderedPageBreak/>
        <w:drawing>
          <wp:inline distT="0" distB="0" distL="0" distR="0">
            <wp:extent cx="6217920" cy="1619885"/>
            <wp:effectExtent l="0" t="0" r="0" b="0"/>
            <wp:docPr id="39" name="Objekta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sidR="00995BE0" w:rsidRPr="00F557A4">
        <w:rPr>
          <w:b/>
          <w:noProof/>
          <w:sz w:val="20"/>
          <w:szCs w:val="20"/>
        </w:rPr>
        <w:t>11</w:t>
      </w:r>
      <w:r w:rsidR="00995BE0" w:rsidRPr="00F557A4">
        <w:rPr>
          <w:b/>
          <w:sz w:val="20"/>
          <w:szCs w:val="20"/>
        </w:rPr>
        <w:t xml:space="preserve"> pav</w:t>
      </w:r>
      <w:r w:rsidR="00995BE0" w:rsidRPr="00A5690C">
        <w:rPr>
          <w:b/>
          <w:sz w:val="22"/>
          <w:szCs w:val="22"/>
        </w:rPr>
        <w:t xml:space="preserve">. </w:t>
      </w:r>
      <w:r w:rsidR="00995BE0" w:rsidRPr="00A5690C">
        <w:rPr>
          <w:sz w:val="22"/>
          <w:szCs w:val="22"/>
        </w:rPr>
        <w:t>Dienų skaičius per pastarąsias 7 dienas kai mokiniai buvo fiziškai aktyvūs iš viso ne mažiau 60 min. per dieną, atsižvelgiant į lytį (proc.)</w:t>
      </w: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Pr="00BE0925" w:rsidRDefault="00995BE0" w:rsidP="008E467F">
      <w:pPr>
        <w:jc w:val="right"/>
        <w:rPr>
          <w:b/>
        </w:rPr>
      </w:pPr>
      <w:r w:rsidRPr="00BE0925">
        <w:rPr>
          <w:b/>
        </w:rPr>
        <w:lastRenderedPageBreak/>
        <w:t>8 priedas</w:t>
      </w:r>
    </w:p>
    <w:p w:rsidR="00995BE0" w:rsidRDefault="00995BE0" w:rsidP="008E467F">
      <w:pPr>
        <w:autoSpaceDE w:val="0"/>
        <w:autoSpaceDN w:val="0"/>
        <w:adjustRightInd w:val="0"/>
        <w:jc w:val="center"/>
        <w:rPr>
          <w:b/>
          <w:iCs/>
        </w:rPr>
      </w:pPr>
      <w:r w:rsidRPr="00C658E3">
        <w:rPr>
          <w:b/>
          <w:iCs/>
        </w:rPr>
        <w:t>Lietuvos sveikatos priežiūros reformos istorija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7903"/>
      </w:tblGrid>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1988</w:t>
            </w:r>
            <w:r>
              <w:rPr>
                <w:b/>
                <w:bCs/>
                <w:sz w:val="22"/>
                <w:szCs w:val="22"/>
              </w:rPr>
              <w:t xml:space="preserve"> m.</w:t>
            </w:r>
          </w:p>
        </w:tc>
        <w:tc>
          <w:tcPr>
            <w:tcW w:w="7903" w:type="dxa"/>
          </w:tcPr>
          <w:p w:rsidR="00995BE0" w:rsidRPr="00BE0925" w:rsidRDefault="00995BE0" w:rsidP="00985775">
            <w:pPr>
              <w:autoSpaceDE w:val="0"/>
              <w:autoSpaceDN w:val="0"/>
              <w:adjustRightInd w:val="0"/>
              <w:jc w:val="both"/>
            </w:pPr>
            <w:r w:rsidRPr="00BE0925">
              <w:rPr>
                <w:sz w:val="22"/>
                <w:szCs w:val="22"/>
              </w:rPr>
              <w:t>Viešos diskusijos apie Semaškos sveikatos priežiūros sistemos transformavimą apėmė šiuos bendruosius politikos aspektus:</w:t>
            </w:r>
          </w:p>
          <w:p w:rsidR="00995BE0" w:rsidRPr="00BE0925" w:rsidRDefault="00995BE0" w:rsidP="00985775">
            <w:pPr>
              <w:autoSpaceDE w:val="0"/>
              <w:autoSpaceDN w:val="0"/>
              <w:adjustRightInd w:val="0"/>
              <w:jc w:val="both"/>
            </w:pPr>
            <w:r w:rsidRPr="00BE0925">
              <w:rPr>
                <w:sz w:val="22"/>
                <w:szCs w:val="22"/>
              </w:rPr>
              <w:t>• perėjimą nuo finansavimo iš mokesčių prie finansavimo iš surenkamų sveikatos draudimo įmokų;</w:t>
            </w:r>
          </w:p>
          <w:p w:rsidR="00995BE0" w:rsidRPr="00BE0925" w:rsidRDefault="00995BE0" w:rsidP="00985775">
            <w:pPr>
              <w:autoSpaceDE w:val="0"/>
              <w:autoSpaceDN w:val="0"/>
              <w:adjustRightInd w:val="0"/>
              <w:jc w:val="both"/>
            </w:pPr>
            <w:r w:rsidRPr="00BE0925">
              <w:rPr>
                <w:sz w:val="22"/>
                <w:szCs w:val="22"/>
              </w:rPr>
              <w:t>• principo, jog pinigai turi sekti paskui pacientą, įgyvendinimą;</w:t>
            </w:r>
          </w:p>
          <w:p w:rsidR="00995BE0" w:rsidRPr="00BE0925" w:rsidRDefault="00995BE0" w:rsidP="00985775">
            <w:pPr>
              <w:autoSpaceDE w:val="0"/>
              <w:autoSpaceDN w:val="0"/>
              <w:adjustRightInd w:val="0"/>
              <w:jc w:val="both"/>
            </w:pPr>
            <w:r w:rsidRPr="00BE0925">
              <w:rPr>
                <w:sz w:val="22"/>
                <w:szCs w:val="22"/>
              </w:rPr>
              <w:t>• valstybinio Lietuvos sveikatos priežiūros sektoriaus administravimo atskyrimą nuo Sovietų Sąjungos sveikatos priežiūros sektoriaus administravimo;</w:t>
            </w:r>
          </w:p>
          <w:p w:rsidR="00995BE0" w:rsidRPr="00BE0925" w:rsidRDefault="00995BE0" w:rsidP="00985775">
            <w:pPr>
              <w:autoSpaceDE w:val="0"/>
              <w:autoSpaceDN w:val="0"/>
              <w:adjustRightInd w:val="0"/>
              <w:jc w:val="both"/>
              <w:rPr>
                <w:b/>
                <w:bCs/>
              </w:rPr>
            </w:pPr>
            <w:r w:rsidRPr="00BE0925">
              <w:rPr>
                <w:sz w:val="22"/>
                <w:szCs w:val="22"/>
              </w:rPr>
              <w:t>• palaipsnį finansavimo pagal sąmatos straipsnius atsisakymą.</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1990 kovo 11d.</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Lietuvos Respublikos Seimas paskelbė Lietuvos</w:t>
            </w:r>
          </w:p>
          <w:p w:rsidR="00995BE0" w:rsidRPr="00BE0925" w:rsidRDefault="00995BE0" w:rsidP="00985775">
            <w:pPr>
              <w:autoSpaceDE w:val="0"/>
              <w:autoSpaceDN w:val="0"/>
              <w:adjustRightInd w:val="0"/>
              <w:jc w:val="both"/>
              <w:rPr>
                <w:b/>
                <w:bCs/>
              </w:rPr>
            </w:pPr>
            <w:r w:rsidRPr="00BE0925">
              <w:rPr>
                <w:sz w:val="22"/>
                <w:szCs w:val="22"/>
              </w:rPr>
              <w:t>Respublikos nepriklausomybę.</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1991</w:t>
            </w:r>
            <w:r>
              <w:rPr>
                <w:b/>
                <w:bCs/>
                <w:sz w:val="22"/>
                <w:szCs w:val="22"/>
              </w:rPr>
              <w:t xml:space="preserve"> m.</w:t>
            </w:r>
          </w:p>
        </w:tc>
        <w:tc>
          <w:tcPr>
            <w:tcW w:w="7903" w:type="dxa"/>
          </w:tcPr>
          <w:p w:rsidR="00995BE0" w:rsidRPr="00BE0925" w:rsidRDefault="00995BE0" w:rsidP="00985775">
            <w:pPr>
              <w:autoSpaceDE w:val="0"/>
              <w:autoSpaceDN w:val="0"/>
              <w:adjustRightInd w:val="0"/>
              <w:jc w:val="both"/>
              <w:rPr>
                <w:b/>
                <w:bCs/>
              </w:rPr>
            </w:pPr>
            <w:r w:rsidRPr="00BE0925">
              <w:rPr>
                <w:sz w:val="22"/>
                <w:szCs w:val="22"/>
              </w:rPr>
              <w:t>Patvirtintas Farmacijos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1991</w:t>
            </w:r>
            <w:r>
              <w:rPr>
                <w:b/>
                <w:bCs/>
                <w:sz w:val="22"/>
                <w:szCs w:val="22"/>
              </w:rPr>
              <w:t xml:space="preserve"> m.</w:t>
            </w:r>
            <w:r w:rsidRPr="00BE0925">
              <w:rPr>
                <w:b/>
                <w:bCs/>
                <w:sz w:val="22"/>
                <w:szCs w:val="22"/>
              </w:rPr>
              <w:t xml:space="preserve"> gegužė</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Patvirtintas Socialinio draudimo įstatymas, davęs pradžią privalomojo socialinio draudimo plėtrai nacionaliniu lygmeniu.</w:t>
            </w:r>
          </w:p>
          <w:p w:rsidR="00995BE0" w:rsidRPr="00BE0925" w:rsidRDefault="00995BE0" w:rsidP="00985775">
            <w:pPr>
              <w:autoSpaceDE w:val="0"/>
              <w:autoSpaceDN w:val="0"/>
              <w:adjustRightInd w:val="0"/>
              <w:jc w:val="both"/>
            </w:pPr>
            <w:r w:rsidRPr="00BE0925">
              <w:rPr>
                <w:sz w:val="22"/>
                <w:szCs w:val="22"/>
              </w:rPr>
              <w:t>• 3 procentiniai punktai socialinio draudimo įmokos tarifo (apmokestinamas darbo užmokesčio fondas) skiriami sveikatos priežiūrai ir apie 2 procentiniai punktai skiriami išmokoms laikino nedarbingumo dėl sveikatos atveju;</w:t>
            </w:r>
          </w:p>
          <w:p w:rsidR="00995BE0" w:rsidRPr="00BE0925" w:rsidRDefault="00995BE0" w:rsidP="00985775">
            <w:pPr>
              <w:autoSpaceDE w:val="0"/>
              <w:autoSpaceDN w:val="0"/>
              <w:adjustRightInd w:val="0"/>
              <w:jc w:val="both"/>
            </w:pPr>
            <w:r w:rsidRPr="00BE0925">
              <w:rPr>
                <w:sz w:val="22"/>
                <w:szCs w:val="22"/>
              </w:rPr>
              <w:t>• įdiegta sistema apėmė dalį su sveikatos priežiūra susijusių išmokų (vaistų ir sanatorinio gydymo kompensavimą);</w:t>
            </w:r>
          </w:p>
          <w:p w:rsidR="00995BE0" w:rsidRPr="00BE0925" w:rsidRDefault="00995BE0" w:rsidP="00985775">
            <w:pPr>
              <w:autoSpaceDE w:val="0"/>
              <w:autoSpaceDN w:val="0"/>
              <w:adjustRightInd w:val="0"/>
              <w:jc w:val="both"/>
              <w:rPr>
                <w:b/>
                <w:bCs/>
              </w:rPr>
            </w:pPr>
            <w:r w:rsidRPr="00BE0925">
              <w:rPr>
                <w:sz w:val="22"/>
                <w:szCs w:val="22"/>
              </w:rPr>
              <w:t>• Įsteigta Valstybinė socialinio draudimo valdyba (SODRA) su vietos padaliniais kiekvienoje savivaldybėje;</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1991</w:t>
            </w:r>
            <w:r>
              <w:rPr>
                <w:b/>
                <w:bCs/>
                <w:sz w:val="22"/>
                <w:szCs w:val="22"/>
              </w:rPr>
              <w:t xml:space="preserve"> m.</w:t>
            </w:r>
          </w:p>
        </w:tc>
        <w:tc>
          <w:tcPr>
            <w:tcW w:w="7903" w:type="dxa"/>
          </w:tcPr>
          <w:p w:rsidR="00995BE0" w:rsidRPr="00BE0925" w:rsidRDefault="00995BE0" w:rsidP="00985775">
            <w:pPr>
              <w:autoSpaceDE w:val="0"/>
              <w:autoSpaceDN w:val="0"/>
              <w:adjustRightInd w:val="0"/>
              <w:jc w:val="both"/>
            </w:pPr>
            <w:r w:rsidRPr="00BE0925">
              <w:rPr>
                <w:sz w:val="22"/>
                <w:szCs w:val="22"/>
              </w:rPr>
              <w:t>Neįgaliųjų socialinės integracijos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 xml:space="preserve">1991 </w:t>
            </w:r>
            <w:r>
              <w:rPr>
                <w:b/>
                <w:bCs/>
                <w:sz w:val="22"/>
                <w:szCs w:val="22"/>
              </w:rPr>
              <w:t xml:space="preserve">m. </w:t>
            </w:r>
            <w:r w:rsidRPr="00BE0925">
              <w:rPr>
                <w:b/>
                <w:bCs/>
                <w:sz w:val="22"/>
                <w:szCs w:val="22"/>
              </w:rPr>
              <w:t>spalis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LR Seimas patvirtino Nacionalinę sveikatos koncepciją, išreiškiančią politinį Valstybės siekį:</w:t>
            </w:r>
          </w:p>
          <w:p w:rsidR="00995BE0" w:rsidRPr="00BE0925" w:rsidRDefault="00995BE0" w:rsidP="00985775">
            <w:pPr>
              <w:autoSpaceDE w:val="0"/>
              <w:autoSpaceDN w:val="0"/>
              <w:adjustRightInd w:val="0"/>
              <w:jc w:val="both"/>
            </w:pPr>
            <w:r w:rsidRPr="00BE0925">
              <w:rPr>
                <w:sz w:val="22"/>
                <w:szCs w:val="22"/>
              </w:rPr>
              <w:t>• įgyvendinti aktyvią ir į pirminę sveikatos priežiūrą bei prevenciją orientuotą sveikatos priežiūros politiką;</w:t>
            </w:r>
          </w:p>
          <w:p w:rsidR="00995BE0" w:rsidRPr="00BE0925" w:rsidRDefault="00995BE0" w:rsidP="00985775">
            <w:pPr>
              <w:autoSpaceDE w:val="0"/>
              <w:autoSpaceDN w:val="0"/>
              <w:adjustRightInd w:val="0"/>
              <w:jc w:val="both"/>
              <w:rPr>
                <w:b/>
                <w:bCs/>
              </w:rPr>
            </w:pPr>
            <w:r w:rsidRPr="00BE0925">
              <w:rPr>
                <w:sz w:val="22"/>
                <w:szCs w:val="22"/>
              </w:rPr>
              <w:t>• įgyvendinti sveikatos priežiūros finansavimo reformą, sukuriant sistemą, apimančią tiek finansavimą iš bendrai surenkamų mokesčių, tiek ir iš sveikatos draudimo įmokų.</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1991</w:t>
            </w:r>
            <w:r>
              <w:rPr>
                <w:b/>
                <w:bCs/>
                <w:sz w:val="22"/>
                <w:szCs w:val="22"/>
              </w:rPr>
              <w:t xml:space="preserve"> m.</w:t>
            </w:r>
          </w:p>
        </w:tc>
        <w:tc>
          <w:tcPr>
            <w:tcW w:w="7903" w:type="dxa"/>
          </w:tcPr>
          <w:p w:rsidR="00995BE0" w:rsidRPr="00BE0925" w:rsidRDefault="00995BE0" w:rsidP="00985775">
            <w:pPr>
              <w:autoSpaceDE w:val="0"/>
              <w:autoSpaceDN w:val="0"/>
              <w:adjustRightInd w:val="0"/>
              <w:jc w:val="both"/>
            </w:pPr>
            <w:r w:rsidRPr="00BE0925">
              <w:rPr>
                <w:sz w:val="22"/>
                <w:szCs w:val="22"/>
              </w:rPr>
              <w:t>Valstybinio sveikatos priežiūros administravimo decentralizavimas</w:t>
            </w:r>
          </w:p>
          <w:p w:rsidR="00995BE0" w:rsidRPr="00BE0925" w:rsidRDefault="00995BE0" w:rsidP="00985775">
            <w:pPr>
              <w:autoSpaceDE w:val="0"/>
              <w:autoSpaceDN w:val="0"/>
              <w:adjustRightInd w:val="0"/>
              <w:jc w:val="both"/>
            </w:pPr>
            <w:r w:rsidRPr="00BE0925">
              <w:rPr>
                <w:sz w:val="22"/>
                <w:szCs w:val="22"/>
              </w:rPr>
              <w:t>• pirminės sveikatos priežiūros įstaigos ir dauguma antrinės sveikatos priežiūros įstaigų perduota savivaldybių kompetencijai;</w:t>
            </w:r>
          </w:p>
          <w:p w:rsidR="00995BE0" w:rsidRPr="00BE0925" w:rsidRDefault="00995BE0" w:rsidP="00985775">
            <w:pPr>
              <w:autoSpaceDE w:val="0"/>
              <w:autoSpaceDN w:val="0"/>
              <w:adjustRightInd w:val="0"/>
              <w:jc w:val="both"/>
              <w:rPr>
                <w:b/>
                <w:bCs/>
              </w:rPr>
            </w:pPr>
            <w:r w:rsidRPr="00BE0925">
              <w:rPr>
                <w:sz w:val="22"/>
                <w:szCs w:val="22"/>
              </w:rPr>
              <w:t>• valstybinis šių įstaigų finansavimas pradėtas vykdyti per savivaldybių biudžetą.</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1992</w:t>
            </w:r>
            <w:r>
              <w:rPr>
                <w:b/>
                <w:bCs/>
                <w:sz w:val="22"/>
                <w:szCs w:val="22"/>
              </w:rPr>
              <w:t xml:space="preserve"> m.</w:t>
            </w:r>
          </w:p>
        </w:tc>
        <w:tc>
          <w:tcPr>
            <w:tcW w:w="7903" w:type="dxa"/>
          </w:tcPr>
          <w:p w:rsidR="00995BE0" w:rsidRPr="00BE0925" w:rsidRDefault="00995BE0" w:rsidP="00985775">
            <w:pPr>
              <w:autoSpaceDE w:val="0"/>
              <w:autoSpaceDN w:val="0"/>
              <w:adjustRightInd w:val="0"/>
              <w:jc w:val="both"/>
              <w:rPr>
                <w:b/>
                <w:bCs/>
              </w:rPr>
            </w:pPr>
            <w:r w:rsidRPr="00BE0925">
              <w:rPr>
                <w:sz w:val="22"/>
                <w:szCs w:val="22"/>
              </w:rPr>
              <w:t>Universitetinio sveikatos priežiūros darbuotojų ruošimo reforma</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1992</w:t>
            </w:r>
            <w:r>
              <w:rPr>
                <w:b/>
                <w:bCs/>
                <w:sz w:val="22"/>
                <w:szCs w:val="22"/>
              </w:rPr>
              <w:t xml:space="preserve"> m.</w:t>
            </w:r>
          </w:p>
        </w:tc>
        <w:tc>
          <w:tcPr>
            <w:tcW w:w="7903" w:type="dxa"/>
          </w:tcPr>
          <w:p w:rsidR="00995BE0" w:rsidRPr="00BE0925" w:rsidRDefault="00995BE0" w:rsidP="00985775">
            <w:pPr>
              <w:autoSpaceDE w:val="0"/>
              <w:autoSpaceDN w:val="0"/>
              <w:adjustRightInd w:val="0"/>
              <w:jc w:val="both"/>
            </w:pPr>
            <w:r w:rsidRPr="00BE0925">
              <w:rPr>
                <w:sz w:val="22"/>
                <w:szCs w:val="22"/>
              </w:rPr>
              <w:t>LR Vyriausybės nutarimu įkurta Valstybinė ligonių kasa (VLK)</w:t>
            </w:r>
          </w:p>
          <w:p w:rsidR="00995BE0" w:rsidRPr="00BE0925" w:rsidRDefault="00995BE0" w:rsidP="00985775">
            <w:pPr>
              <w:autoSpaceDE w:val="0"/>
              <w:autoSpaceDN w:val="0"/>
              <w:adjustRightInd w:val="0"/>
              <w:jc w:val="both"/>
            </w:pPr>
            <w:r w:rsidRPr="00BE0925">
              <w:rPr>
                <w:sz w:val="22"/>
                <w:szCs w:val="22"/>
              </w:rPr>
              <w:t>• VLK su tretinio lygio ligoninėmis pasirašo nelimituotas sutartis;</w:t>
            </w:r>
          </w:p>
          <w:p w:rsidR="00995BE0" w:rsidRPr="00BE0925" w:rsidRDefault="00995BE0" w:rsidP="00985775">
            <w:pPr>
              <w:autoSpaceDE w:val="0"/>
              <w:autoSpaceDN w:val="0"/>
              <w:adjustRightInd w:val="0"/>
              <w:jc w:val="both"/>
              <w:rPr>
                <w:b/>
                <w:bCs/>
              </w:rPr>
            </w:pPr>
            <w:r w:rsidRPr="00BE0925">
              <w:rPr>
                <w:sz w:val="22"/>
                <w:szCs w:val="22"/>
              </w:rPr>
              <w:t>• minėtose ligoninėse įdiegta mokėjimo už gydytų pacientų skaičių sistema.</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1992</w:t>
            </w:r>
            <w:r>
              <w:rPr>
                <w:b/>
                <w:bCs/>
                <w:sz w:val="22"/>
                <w:szCs w:val="22"/>
              </w:rPr>
              <w:t xml:space="preserve"> m.</w:t>
            </w:r>
          </w:p>
        </w:tc>
        <w:tc>
          <w:tcPr>
            <w:tcW w:w="7903" w:type="dxa"/>
          </w:tcPr>
          <w:p w:rsidR="00995BE0" w:rsidRPr="00BE0925" w:rsidRDefault="00995BE0" w:rsidP="00985775">
            <w:pPr>
              <w:autoSpaceDE w:val="0"/>
              <w:autoSpaceDN w:val="0"/>
              <w:adjustRightInd w:val="0"/>
              <w:jc w:val="both"/>
            </w:pPr>
            <w:r w:rsidRPr="00BE0925">
              <w:rPr>
                <w:sz w:val="22"/>
                <w:szCs w:val="22"/>
              </w:rPr>
              <w:t>Valstybės finansuojamo ligoninių sektoriaus reforma. Savivaldybių lygmeniui priklausančios institucijos finansuojamos pagal sutartis su vietos valdžia, o respublikinės ligoninės finansuojamos pagal sutartis su Valstybine ligonių kasa.</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1993</w:t>
            </w:r>
            <w:r>
              <w:rPr>
                <w:b/>
                <w:bCs/>
                <w:sz w:val="22"/>
                <w:szCs w:val="22"/>
              </w:rPr>
              <w:t xml:space="preserve"> m.</w:t>
            </w:r>
          </w:p>
        </w:tc>
        <w:tc>
          <w:tcPr>
            <w:tcW w:w="7903" w:type="dxa"/>
          </w:tcPr>
          <w:p w:rsidR="00995BE0" w:rsidRPr="00BE0925" w:rsidRDefault="00995BE0" w:rsidP="00985775">
            <w:pPr>
              <w:autoSpaceDE w:val="0"/>
              <w:autoSpaceDN w:val="0"/>
              <w:adjustRightInd w:val="0"/>
              <w:jc w:val="both"/>
            </w:pPr>
            <w:r w:rsidRPr="00BE0925">
              <w:rPr>
                <w:sz w:val="22"/>
                <w:szCs w:val="22"/>
              </w:rPr>
              <w:t>Įsteigtas Sveikatos apsaugos reformos biuras.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1993 m. spalis</w:t>
            </w:r>
          </w:p>
        </w:tc>
        <w:tc>
          <w:tcPr>
            <w:tcW w:w="7903" w:type="dxa"/>
          </w:tcPr>
          <w:p w:rsidR="00995BE0" w:rsidRPr="00BE0925" w:rsidRDefault="00995BE0" w:rsidP="00985775">
            <w:pPr>
              <w:autoSpaceDE w:val="0"/>
              <w:autoSpaceDN w:val="0"/>
              <w:adjustRightInd w:val="0"/>
              <w:jc w:val="both"/>
            </w:pPr>
            <w:r w:rsidRPr="00BE0925">
              <w:rPr>
                <w:sz w:val="22"/>
                <w:szCs w:val="22"/>
              </w:rPr>
              <w:t>Saugos darbe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1992-1995</w:t>
            </w:r>
          </w:p>
        </w:tc>
        <w:tc>
          <w:tcPr>
            <w:tcW w:w="7903" w:type="dxa"/>
          </w:tcPr>
          <w:p w:rsidR="00995BE0" w:rsidRPr="00BE0925" w:rsidRDefault="00995BE0" w:rsidP="00985775">
            <w:pPr>
              <w:autoSpaceDE w:val="0"/>
              <w:autoSpaceDN w:val="0"/>
              <w:adjustRightInd w:val="0"/>
              <w:jc w:val="both"/>
            </w:pPr>
            <w:r w:rsidRPr="00BE0925">
              <w:rPr>
                <w:sz w:val="22"/>
                <w:szCs w:val="22"/>
              </w:rPr>
              <w:t>Viešos diskusijos būsimosios sveikatos priežiūros finansavimo ir administravimo sistemos funkcijų ir struktūros klausimais.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 xml:space="preserve">1994 </w:t>
            </w:r>
            <w:r>
              <w:rPr>
                <w:b/>
                <w:bCs/>
                <w:sz w:val="22"/>
                <w:szCs w:val="22"/>
              </w:rPr>
              <w:t xml:space="preserve">m. </w:t>
            </w:r>
            <w:r w:rsidRPr="00BE0925">
              <w:rPr>
                <w:b/>
                <w:bCs/>
                <w:sz w:val="22"/>
                <w:szCs w:val="22"/>
              </w:rPr>
              <w:t>liepa</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Priimtas Sveikatos apsaugos sistemos įstatymas, sudaręs teisinį pagrindą sveikatos priežiūros politikai ir apibrėžęs valstybinių valdymo subjektų vaidmenį.</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 xml:space="preserve">1995 </w:t>
            </w:r>
            <w:r>
              <w:rPr>
                <w:b/>
                <w:bCs/>
                <w:sz w:val="22"/>
                <w:szCs w:val="22"/>
              </w:rPr>
              <w:t xml:space="preserve">m. </w:t>
            </w:r>
            <w:r w:rsidRPr="00BE0925">
              <w:rPr>
                <w:b/>
                <w:bCs/>
                <w:sz w:val="22"/>
                <w:szCs w:val="22"/>
              </w:rPr>
              <w:t>liepa</w:t>
            </w:r>
          </w:p>
        </w:tc>
        <w:tc>
          <w:tcPr>
            <w:tcW w:w="7903" w:type="dxa"/>
          </w:tcPr>
          <w:p w:rsidR="00995BE0" w:rsidRPr="00BE0925" w:rsidRDefault="00995BE0" w:rsidP="00985775">
            <w:pPr>
              <w:autoSpaceDE w:val="0"/>
              <w:autoSpaceDN w:val="0"/>
              <w:adjustRightInd w:val="0"/>
              <w:jc w:val="both"/>
            </w:pPr>
            <w:r w:rsidRPr="00BE0925">
              <w:rPr>
                <w:sz w:val="22"/>
                <w:szCs w:val="22"/>
              </w:rPr>
              <w:t>Psichikos sveikatos priežiūros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 xml:space="preserve">1995 </w:t>
            </w:r>
            <w:r>
              <w:rPr>
                <w:b/>
                <w:bCs/>
                <w:sz w:val="22"/>
                <w:szCs w:val="22"/>
              </w:rPr>
              <w:t xml:space="preserve">m. </w:t>
            </w:r>
            <w:r w:rsidRPr="00BE0925">
              <w:rPr>
                <w:b/>
                <w:bCs/>
                <w:sz w:val="22"/>
                <w:szCs w:val="22"/>
              </w:rPr>
              <w:t>spalis</w:t>
            </w:r>
          </w:p>
        </w:tc>
        <w:tc>
          <w:tcPr>
            <w:tcW w:w="7903" w:type="dxa"/>
          </w:tcPr>
          <w:p w:rsidR="00995BE0" w:rsidRPr="00BE0925" w:rsidRDefault="00995BE0" w:rsidP="00985775">
            <w:pPr>
              <w:autoSpaceDE w:val="0"/>
              <w:autoSpaceDN w:val="0"/>
              <w:adjustRightInd w:val="0"/>
              <w:jc w:val="both"/>
            </w:pPr>
            <w:r w:rsidRPr="00BE0925">
              <w:rPr>
                <w:sz w:val="22"/>
                <w:szCs w:val="22"/>
              </w:rPr>
              <w:t>Alkoholio kontrolės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 xml:space="preserve">1996 </w:t>
            </w:r>
            <w:r>
              <w:rPr>
                <w:b/>
                <w:bCs/>
                <w:sz w:val="22"/>
                <w:szCs w:val="22"/>
              </w:rPr>
              <w:t xml:space="preserve">m. </w:t>
            </w:r>
            <w:r w:rsidRPr="00BE0925">
              <w:rPr>
                <w:b/>
                <w:bCs/>
                <w:sz w:val="22"/>
                <w:szCs w:val="22"/>
              </w:rPr>
              <w:t>sausis</w:t>
            </w:r>
          </w:p>
        </w:tc>
        <w:tc>
          <w:tcPr>
            <w:tcW w:w="7903" w:type="dxa"/>
          </w:tcPr>
          <w:p w:rsidR="00995BE0" w:rsidRPr="00BE0925" w:rsidRDefault="00995BE0" w:rsidP="00985775">
            <w:pPr>
              <w:autoSpaceDE w:val="0"/>
              <w:autoSpaceDN w:val="0"/>
              <w:adjustRightInd w:val="0"/>
              <w:jc w:val="both"/>
            </w:pPr>
            <w:r w:rsidRPr="00BE0925">
              <w:rPr>
                <w:sz w:val="22"/>
                <w:szCs w:val="22"/>
              </w:rPr>
              <w:t>Tabako kontrolės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1996</w:t>
            </w:r>
            <w:r>
              <w:rPr>
                <w:b/>
                <w:bCs/>
                <w:sz w:val="22"/>
                <w:szCs w:val="22"/>
              </w:rPr>
              <w:t xml:space="preserve"> m.</w:t>
            </w:r>
            <w:r w:rsidRPr="00BE0925">
              <w:rPr>
                <w:b/>
                <w:bCs/>
                <w:sz w:val="22"/>
                <w:szCs w:val="22"/>
              </w:rPr>
              <w:t xml:space="preserve"> balandis</w:t>
            </w:r>
          </w:p>
        </w:tc>
        <w:tc>
          <w:tcPr>
            <w:tcW w:w="7903" w:type="dxa"/>
          </w:tcPr>
          <w:p w:rsidR="00995BE0" w:rsidRPr="00BE0925" w:rsidRDefault="00995BE0" w:rsidP="00985775">
            <w:pPr>
              <w:autoSpaceDE w:val="0"/>
              <w:autoSpaceDN w:val="0"/>
              <w:adjustRightInd w:val="0"/>
              <w:jc w:val="both"/>
            </w:pPr>
            <w:r w:rsidRPr="00BE0925">
              <w:rPr>
                <w:sz w:val="22"/>
                <w:szCs w:val="22"/>
              </w:rPr>
              <w:t>Stomatologinės priežiūros (pagalbos)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 xml:space="preserve">1996 </w:t>
            </w:r>
            <w:r>
              <w:rPr>
                <w:b/>
                <w:bCs/>
                <w:sz w:val="22"/>
                <w:szCs w:val="22"/>
              </w:rPr>
              <w:t xml:space="preserve">m. </w:t>
            </w:r>
            <w:r w:rsidRPr="00BE0925">
              <w:rPr>
                <w:b/>
                <w:bCs/>
                <w:sz w:val="22"/>
                <w:szCs w:val="22"/>
              </w:rPr>
              <w:t>gegužė</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Patvirtintas Sveikatos draudimo įstatymas (SDĮ), 1997 sausio 1d. skelbiantis sveikatos priežiūros finansavimo reformos pradžia.</w:t>
            </w:r>
          </w:p>
          <w:p w:rsidR="00995BE0" w:rsidRPr="00BE0925" w:rsidRDefault="00995BE0" w:rsidP="00985775">
            <w:pPr>
              <w:autoSpaceDE w:val="0"/>
              <w:autoSpaceDN w:val="0"/>
              <w:adjustRightInd w:val="0"/>
              <w:jc w:val="both"/>
            </w:pPr>
            <w:r w:rsidRPr="00BE0925">
              <w:rPr>
                <w:sz w:val="22"/>
                <w:szCs w:val="22"/>
              </w:rPr>
              <w:t>• visi Lietuvos Respublikos gyventojai turi būti apdrausti;</w:t>
            </w:r>
          </w:p>
          <w:p w:rsidR="00995BE0" w:rsidRPr="00BE0925" w:rsidRDefault="00995BE0" w:rsidP="00985775">
            <w:pPr>
              <w:autoSpaceDE w:val="0"/>
              <w:autoSpaceDN w:val="0"/>
              <w:adjustRightInd w:val="0"/>
              <w:jc w:val="both"/>
            </w:pPr>
            <w:r w:rsidRPr="00BE0925">
              <w:rPr>
                <w:sz w:val="22"/>
                <w:szCs w:val="22"/>
              </w:rPr>
              <w:t>• sveikatos draudimo lėšos kaupiamos sveikatos draudimo įmokų ir valstybės biudžeto įmokų pagrindu;</w:t>
            </w:r>
          </w:p>
          <w:p w:rsidR="00995BE0" w:rsidRPr="00BE0925" w:rsidRDefault="00995BE0" w:rsidP="00985775">
            <w:pPr>
              <w:autoSpaceDE w:val="0"/>
              <w:autoSpaceDN w:val="0"/>
              <w:adjustRightInd w:val="0"/>
              <w:jc w:val="both"/>
            </w:pPr>
            <w:r w:rsidRPr="00BE0925">
              <w:rPr>
                <w:sz w:val="22"/>
                <w:szCs w:val="22"/>
              </w:rPr>
              <w:t xml:space="preserve">• kiekvienoje apskrityje turi būti įkurti regioniniai VLK padaliniai – teritorinės ligonių </w:t>
            </w:r>
            <w:r w:rsidRPr="00BE0925">
              <w:rPr>
                <w:sz w:val="22"/>
                <w:szCs w:val="22"/>
              </w:rPr>
              <w:lastRenderedPageBreak/>
              <w:t>kasos (TLK) su stebėtojų tarybomis;</w:t>
            </w:r>
          </w:p>
          <w:p w:rsidR="00995BE0" w:rsidRPr="00BE0925" w:rsidRDefault="00995BE0" w:rsidP="00985775">
            <w:pPr>
              <w:autoSpaceDE w:val="0"/>
              <w:autoSpaceDN w:val="0"/>
              <w:adjustRightInd w:val="0"/>
              <w:jc w:val="both"/>
            </w:pPr>
            <w:r w:rsidRPr="00BE0925">
              <w:rPr>
                <w:sz w:val="22"/>
                <w:szCs w:val="22"/>
              </w:rPr>
              <w:t>• už suteiktas asmens sveikatos priežiūros paslaugas turi būti mokama pagal TLK ir tokią pagalbą teikiančios įstaigos pasirašytas sutartis ir vadovaujantis visos šalies lygiu nustatytais įkainiais.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lastRenderedPageBreak/>
              <w:t>1996 birželis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Priimtas Sveikatos priežiūros įstaigų įstatymas (SPĮĮ).</w:t>
            </w:r>
          </w:p>
          <w:p w:rsidR="00995BE0" w:rsidRPr="00BE0925" w:rsidRDefault="00995BE0" w:rsidP="00985775">
            <w:pPr>
              <w:autoSpaceDE w:val="0"/>
              <w:autoSpaceDN w:val="0"/>
              <w:adjustRightInd w:val="0"/>
              <w:jc w:val="both"/>
            </w:pPr>
            <w:r w:rsidRPr="00BE0925">
              <w:rPr>
                <w:sz w:val="22"/>
                <w:szCs w:val="22"/>
              </w:rPr>
              <w:t>• valstybinėms sveikatos priežiūros įstaigoms</w:t>
            </w:r>
          </w:p>
          <w:p w:rsidR="00995BE0" w:rsidRPr="00BE0925" w:rsidRDefault="00995BE0" w:rsidP="00985775">
            <w:pPr>
              <w:autoSpaceDE w:val="0"/>
              <w:autoSpaceDN w:val="0"/>
              <w:adjustRightInd w:val="0"/>
              <w:jc w:val="both"/>
            </w:pPr>
            <w:r w:rsidRPr="00BE0925">
              <w:rPr>
                <w:sz w:val="22"/>
                <w:szCs w:val="22"/>
              </w:rPr>
              <w:t>šis įstatymas suteikė daug daugiau</w:t>
            </w:r>
          </w:p>
          <w:p w:rsidR="00995BE0" w:rsidRPr="00BE0925" w:rsidRDefault="00995BE0" w:rsidP="00985775">
            <w:pPr>
              <w:autoSpaceDE w:val="0"/>
              <w:autoSpaceDN w:val="0"/>
              <w:adjustRightInd w:val="0"/>
              <w:jc w:val="both"/>
            </w:pPr>
            <w:r w:rsidRPr="00BE0925">
              <w:rPr>
                <w:sz w:val="22"/>
                <w:szCs w:val="22"/>
              </w:rPr>
              <w:t>teisių ir atsakomybės;</w:t>
            </w:r>
          </w:p>
          <w:p w:rsidR="00995BE0" w:rsidRPr="00BE0925" w:rsidRDefault="00995BE0" w:rsidP="00985775">
            <w:pPr>
              <w:autoSpaceDE w:val="0"/>
              <w:autoSpaceDN w:val="0"/>
              <w:adjustRightInd w:val="0"/>
              <w:jc w:val="both"/>
            </w:pPr>
            <w:r w:rsidRPr="00BE0925">
              <w:rPr>
                <w:sz w:val="22"/>
                <w:szCs w:val="22"/>
              </w:rPr>
              <w:t>• Įstaigose turi būti įkurtos stebėtojų tarybos.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1996 ruduo</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Rengiami SDĮ ir SPĮĮ papildantys poįstatyminiai aktai, vietose įsteigti privalomojo sveikatos draudimo padaliniai (teritorinės ligonių kasos arba</w:t>
            </w:r>
          </w:p>
          <w:p w:rsidR="00995BE0" w:rsidRPr="00BE0925" w:rsidRDefault="00995BE0" w:rsidP="00985775">
            <w:pPr>
              <w:autoSpaceDE w:val="0"/>
              <w:autoSpaceDN w:val="0"/>
              <w:adjustRightInd w:val="0"/>
              <w:jc w:val="both"/>
            </w:pPr>
            <w:r w:rsidRPr="00BE0925">
              <w:rPr>
                <w:sz w:val="22"/>
                <w:szCs w:val="22"/>
              </w:rPr>
              <w:t>TLK).</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1996 gruodis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Priimtos SDĮ pataisos, pagal kurias galutinis sveikatos draudimo įstatymo įgyvendinimas atidedamas iki 1997 liepos 1d.</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1997 sausis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Iš dalies pradėtas įgyvendinti privalomasis sveikatos draudimas, pavyzdžiui sudarytas atskiras nuo valstybės biudžeto sveikatos draudimo biudžetas.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1997 pavasaris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Priimta dauguma SDĮ papildančių poįstatyminių aktų, daugiau nei 50 procentų gyventojų prisirašę prie pirminės sveikatos priežiūros (PSP) įstaigų. Toliau vyksta TLK aprūpinimas darbuotojais.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1997 gegužė</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Įsigaliojo 1996 spalį priimtas Pacientų teisių ir žalos sveikatai atlyginimo įstatymas.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1997 liepa</w:t>
            </w:r>
          </w:p>
        </w:tc>
        <w:tc>
          <w:tcPr>
            <w:tcW w:w="7903" w:type="dxa"/>
          </w:tcPr>
          <w:p w:rsidR="00995BE0" w:rsidRPr="00BE0925" w:rsidRDefault="00995BE0" w:rsidP="00985775">
            <w:pPr>
              <w:autoSpaceDE w:val="0"/>
              <w:autoSpaceDN w:val="0"/>
              <w:adjustRightInd w:val="0"/>
              <w:jc w:val="both"/>
            </w:pPr>
            <w:r w:rsidRPr="00BE0925">
              <w:rPr>
                <w:sz w:val="22"/>
                <w:szCs w:val="22"/>
              </w:rPr>
              <w:t>TLK pradėjo pasirašinėti sutartis su paslaugų teikėjais.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1997 spalis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Visos šalies visuomeninės asmens sveikatos priežiūros įstaigos pradėtos finansuoti sutarčių pagrindu. Pagal prisirašiusiųjų gyventojų skaičių mokama už PSP paslaugas, o už stacionarines sveikatos priežiūros paslaugas mokama pagal guldytų pacientų skaičių.</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1997 ruduo</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Vadovaujantis Sveikatos priežiūros įstaigų įstatymu, valstybinės sveikatos priežiūros įstaigos perorganizuotos į viešąsias (ne pelno) įstaigas.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1998 sausis</w:t>
            </w:r>
          </w:p>
        </w:tc>
        <w:tc>
          <w:tcPr>
            <w:tcW w:w="7903" w:type="dxa"/>
          </w:tcPr>
          <w:p w:rsidR="00995BE0" w:rsidRPr="00BE0925" w:rsidRDefault="00995BE0" w:rsidP="00985775">
            <w:pPr>
              <w:autoSpaceDE w:val="0"/>
              <w:autoSpaceDN w:val="0"/>
              <w:adjustRightInd w:val="0"/>
              <w:jc w:val="both"/>
            </w:pPr>
            <w:r w:rsidRPr="00BE0925">
              <w:rPr>
                <w:sz w:val="22"/>
                <w:szCs w:val="22"/>
              </w:rPr>
              <w:t>Viešosiose (ne pelno) įstaigose diegiami tarptautiniai apskaitos principai.</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1998 kovas</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Privalomojo sveikatos draudimo sistemoje įdiegta vidinio stebėjimo sistema.</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1998 gegužė</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Surengta Nacionalinė papildomo sveikatos draudimo konferencija, kurios metu buvo patvirtintos tolimesnės veiklos šioje srityje gairės.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1998 vasara</w:t>
            </w:r>
          </w:p>
        </w:tc>
        <w:tc>
          <w:tcPr>
            <w:tcW w:w="7903" w:type="dxa"/>
          </w:tcPr>
          <w:p w:rsidR="00995BE0" w:rsidRPr="00BE0925" w:rsidRDefault="00995BE0" w:rsidP="00985775">
            <w:pPr>
              <w:autoSpaceDE w:val="0"/>
              <w:autoSpaceDN w:val="0"/>
              <w:adjustRightInd w:val="0"/>
              <w:jc w:val="both"/>
            </w:pPr>
            <w:r w:rsidRPr="00BE0925">
              <w:rPr>
                <w:sz w:val="22"/>
                <w:szCs w:val="22"/>
              </w:rPr>
              <w:t>Daugiau nei 80 proc. gyventojų prisirašę prie pirminės sveikatos priežiūros (PSP) įstaigų.</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1998 ruduo</w:t>
            </w:r>
          </w:p>
          <w:p w:rsidR="00995BE0" w:rsidRPr="00BE0925" w:rsidRDefault="00995BE0" w:rsidP="00985775">
            <w:pPr>
              <w:autoSpaceDE w:val="0"/>
              <w:autoSpaceDN w:val="0"/>
              <w:adjustRightInd w:val="0"/>
              <w:jc w:val="both"/>
              <w:rPr>
                <w:b/>
                <w:bCs/>
              </w:rPr>
            </w:pPr>
          </w:p>
        </w:tc>
        <w:tc>
          <w:tcPr>
            <w:tcW w:w="7903" w:type="dxa"/>
          </w:tcPr>
          <w:p w:rsidR="00995BE0" w:rsidRPr="00BE0925" w:rsidRDefault="00995BE0" w:rsidP="00985775">
            <w:pPr>
              <w:autoSpaceDE w:val="0"/>
              <w:autoSpaceDN w:val="0"/>
              <w:adjustRightInd w:val="0"/>
              <w:jc w:val="both"/>
            </w:pPr>
            <w:r w:rsidRPr="00BE0925">
              <w:rPr>
                <w:sz w:val="22"/>
                <w:szCs w:val="22"/>
              </w:rPr>
              <w:t>VLK ir SAM susitarė dėl nacionalinių tolimesnės privalomojo sveikatos draudimo plėtros gairių:</w:t>
            </w:r>
          </w:p>
          <w:p w:rsidR="00995BE0" w:rsidRPr="00BE0925" w:rsidRDefault="00995BE0" w:rsidP="00985775">
            <w:pPr>
              <w:autoSpaceDE w:val="0"/>
              <w:autoSpaceDN w:val="0"/>
              <w:adjustRightInd w:val="0"/>
              <w:jc w:val="both"/>
            </w:pPr>
            <w:r w:rsidRPr="00BE0925">
              <w:rPr>
                <w:sz w:val="22"/>
                <w:szCs w:val="22"/>
              </w:rPr>
              <w:t>• sveikatos priežiūros finansavimo rizikos paskirstymo modelis;</w:t>
            </w:r>
          </w:p>
          <w:p w:rsidR="00995BE0" w:rsidRPr="00BE0925" w:rsidRDefault="00995BE0" w:rsidP="00985775">
            <w:pPr>
              <w:autoSpaceDE w:val="0"/>
              <w:autoSpaceDN w:val="0"/>
              <w:adjustRightInd w:val="0"/>
              <w:jc w:val="both"/>
            </w:pPr>
            <w:r w:rsidRPr="00BE0925">
              <w:rPr>
                <w:sz w:val="22"/>
                <w:szCs w:val="22"/>
              </w:rPr>
              <w:t>• dalinis mokėjimų pagal guldymo į ligoninę atvejų skaičių desagregavimas;</w:t>
            </w:r>
          </w:p>
          <w:p w:rsidR="00995BE0" w:rsidRPr="00BE0925" w:rsidRDefault="00995BE0" w:rsidP="00985775">
            <w:pPr>
              <w:autoSpaceDE w:val="0"/>
              <w:autoSpaceDN w:val="0"/>
              <w:adjustRightInd w:val="0"/>
              <w:jc w:val="both"/>
            </w:pPr>
            <w:r w:rsidRPr="00BE0925">
              <w:rPr>
                <w:sz w:val="22"/>
                <w:szCs w:val="22"/>
              </w:rPr>
              <w:t>• vidinės kontrolės mechanizmų įgyvendinimas (pvz.: gydytojų veiklos protokolai, skirti naudoti institucijos viduje)</w:t>
            </w:r>
          </w:p>
          <w:p w:rsidR="00995BE0" w:rsidRPr="00BE0925" w:rsidRDefault="00995BE0" w:rsidP="00985775">
            <w:pPr>
              <w:autoSpaceDE w:val="0"/>
              <w:autoSpaceDN w:val="0"/>
              <w:adjustRightInd w:val="0"/>
              <w:jc w:val="both"/>
            </w:pPr>
            <w:r w:rsidRPr="00BE0925">
              <w:rPr>
                <w:sz w:val="22"/>
                <w:szCs w:val="22"/>
              </w:rPr>
              <w:t>Patvirtintos medicininio audito taisyklės.</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bCs/>
                <w:sz w:val="22"/>
                <w:szCs w:val="22"/>
              </w:rPr>
              <w:t>1998 gruodis</w:t>
            </w:r>
          </w:p>
        </w:tc>
        <w:tc>
          <w:tcPr>
            <w:tcW w:w="7903" w:type="dxa"/>
          </w:tcPr>
          <w:p w:rsidR="00995BE0" w:rsidRPr="00BE0925" w:rsidRDefault="00995BE0" w:rsidP="00985775">
            <w:pPr>
              <w:autoSpaceDE w:val="0"/>
              <w:autoSpaceDN w:val="0"/>
              <w:adjustRightInd w:val="0"/>
              <w:jc w:val="both"/>
            </w:pPr>
            <w:r w:rsidRPr="00BE0925">
              <w:rPr>
                <w:sz w:val="22"/>
                <w:szCs w:val="22"/>
              </w:rPr>
              <w:t>Nacionalinės sveikatos tarybos kasmetinės ataskaitos ir sveikatos draudimo reformos įgyvendinimo rezultatų pristatymas LR Seime.</w:t>
            </w:r>
          </w:p>
        </w:tc>
      </w:tr>
      <w:tr w:rsidR="00995BE0" w:rsidRPr="00EF2670" w:rsidTr="00985775">
        <w:tc>
          <w:tcPr>
            <w:tcW w:w="1951" w:type="dxa"/>
          </w:tcPr>
          <w:p w:rsidR="00995BE0" w:rsidRPr="00BE0925" w:rsidRDefault="00995BE0" w:rsidP="00985775">
            <w:pPr>
              <w:autoSpaceDE w:val="0"/>
              <w:autoSpaceDN w:val="0"/>
              <w:adjustRightInd w:val="0"/>
              <w:jc w:val="both"/>
              <w:rPr>
                <w:b/>
                <w:bCs/>
              </w:rPr>
            </w:pPr>
            <w:r w:rsidRPr="00BE0925">
              <w:rPr>
                <w:b/>
                <w:color w:val="000000"/>
                <w:sz w:val="22"/>
                <w:szCs w:val="22"/>
              </w:rPr>
              <w:t>1998 m.</w:t>
            </w:r>
          </w:p>
        </w:tc>
        <w:tc>
          <w:tcPr>
            <w:tcW w:w="7903" w:type="dxa"/>
          </w:tcPr>
          <w:p w:rsidR="00995BE0" w:rsidRPr="00BE0925" w:rsidRDefault="00995BE0" w:rsidP="00985775">
            <w:pPr>
              <w:pStyle w:val="prastasistinklapis"/>
              <w:spacing w:before="0" w:beforeAutospacing="0" w:after="0" w:afterAutospacing="0"/>
              <w:jc w:val="both"/>
            </w:pPr>
            <w:r w:rsidRPr="00BE0925">
              <w:rPr>
                <w:color w:val="000000"/>
                <w:sz w:val="22"/>
                <w:szCs w:val="22"/>
              </w:rPr>
              <w:t xml:space="preserve">Patvirtinta </w:t>
            </w:r>
            <w:hyperlink r:id="rId187" w:anchor="Anchor-D?L LIETUVO-38807" w:history="1">
              <w:r w:rsidRPr="00BE0925">
                <w:rPr>
                  <w:rStyle w:val="Hipersaitas"/>
                  <w:sz w:val="22"/>
                  <w:szCs w:val="22"/>
                </w:rPr>
                <w:t>Lietuvos sveikatos programa.</w:t>
              </w:r>
            </w:hyperlink>
          </w:p>
        </w:tc>
      </w:tr>
      <w:tr w:rsidR="00995BE0" w:rsidRPr="00EF2670" w:rsidTr="00985775">
        <w:tc>
          <w:tcPr>
            <w:tcW w:w="1951" w:type="dxa"/>
          </w:tcPr>
          <w:p w:rsidR="00995BE0" w:rsidRPr="00BE0925" w:rsidRDefault="00995BE0" w:rsidP="00985775">
            <w:pPr>
              <w:autoSpaceDE w:val="0"/>
              <w:autoSpaceDN w:val="0"/>
              <w:adjustRightInd w:val="0"/>
              <w:jc w:val="both"/>
              <w:rPr>
                <w:b/>
                <w:color w:val="000000"/>
              </w:rPr>
            </w:pPr>
            <w:r w:rsidRPr="00BE0925">
              <w:rPr>
                <w:b/>
                <w:sz w:val="22"/>
                <w:szCs w:val="22"/>
              </w:rPr>
              <w:t xml:space="preserve">2003 </w:t>
            </w:r>
            <w:r>
              <w:rPr>
                <w:b/>
                <w:sz w:val="22"/>
                <w:szCs w:val="22"/>
              </w:rPr>
              <w:t>m.</w:t>
            </w:r>
          </w:p>
        </w:tc>
        <w:tc>
          <w:tcPr>
            <w:tcW w:w="7903" w:type="dxa"/>
          </w:tcPr>
          <w:p w:rsidR="00995BE0" w:rsidRPr="00BE0925" w:rsidRDefault="00995BE0" w:rsidP="00985775">
            <w:pPr>
              <w:pStyle w:val="prastasistinklapis"/>
              <w:spacing w:before="0"/>
              <w:jc w:val="both"/>
              <w:rPr>
                <w:color w:val="000000"/>
              </w:rPr>
            </w:pPr>
            <w:r w:rsidRPr="00BE0925">
              <w:rPr>
                <w:sz w:val="22"/>
                <w:szCs w:val="22"/>
              </w:rPr>
              <w:t>Nacionalinės vaistų politikos nuostatos (patvirtintos Seime).</w:t>
            </w:r>
          </w:p>
        </w:tc>
      </w:tr>
      <w:tr w:rsidR="00995BE0" w:rsidRPr="00EF2670" w:rsidTr="00985775">
        <w:tc>
          <w:tcPr>
            <w:tcW w:w="1951" w:type="dxa"/>
          </w:tcPr>
          <w:p w:rsidR="00995BE0" w:rsidRPr="00BE0925" w:rsidRDefault="00995BE0" w:rsidP="00985775">
            <w:pPr>
              <w:autoSpaceDE w:val="0"/>
              <w:autoSpaceDN w:val="0"/>
              <w:adjustRightInd w:val="0"/>
              <w:jc w:val="both"/>
              <w:rPr>
                <w:b/>
              </w:rPr>
            </w:pPr>
            <w:r w:rsidRPr="00BE0925">
              <w:rPr>
                <w:b/>
                <w:sz w:val="22"/>
                <w:szCs w:val="22"/>
              </w:rPr>
              <w:t xml:space="preserve">2003 </w:t>
            </w:r>
            <w:r>
              <w:rPr>
                <w:b/>
                <w:sz w:val="22"/>
                <w:szCs w:val="22"/>
              </w:rPr>
              <w:t>m.</w:t>
            </w:r>
          </w:p>
        </w:tc>
        <w:tc>
          <w:tcPr>
            <w:tcW w:w="7903" w:type="dxa"/>
          </w:tcPr>
          <w:p w:rsidR="00995BE0" w:rsidRPr="00BE0925" w:rsidRDefault="00995BE0" w:rsidP="00985775">
            <w:pPr>
              <w:pStyle w:val="prastasistinklapis"/>
              <w:spacing w:before="0" w:beforeAutospacing="0" w:after="0" w:afterAutospacing="0"/>
              <w:jc w:val="both"/>
            </w:pPr>
            <w:r w:rsidRPr="00BE0925">
              <w:rPr>
                <w:sz w:val="22"/>
                <w:szCs w:val="22"/>
              </w:rPr>
              <w:t>Sveikatos priežiūros įstaigų restruktūrizavimas (Strategija patvirtinta LR Vyriausybės).</w:t>
            </w:r>
          </w:p>
        </w:tc>
      </w:tr>
    </w:tbl>
    <w:p w:rsidR="00995BE0" w:rsidRDefault="00995BE0" w:rsidP="008E467F">
      <w:pPr>
        <w:pStyle w:val="Sraopastraipa3"/>
        <w:autoSpaceDE w:val="0"/>
        <w:autoSpaceDN w:val="0"/>
        <w:adjustRightInd w:val="0"/>
        <w:spacing w:line="276" w:lineRule="auto"/>
        <w:ind w:left="142"/>
        <w:jc w:val="both"/>
        <w:rPr>
          <w:sz w:val="20"/>
          <w:szCs w:val="20"/>
        </w:rPr>
      </w:pPr>
      <w:r w:rsidRPr="00F7317A">
        <w:rPr>
          <w:sz w:val="20"/>
          <w:szCs w:val="20"/>
        </w:rPr>
        <w:t>Šaltinis: sudaryta autorių pagal: Černiauskas, G., Jankauskienė, D., Murauskienė,</w:t>
      </w:r>
      <w:r w:rsidRPr="00F7317A">
        <w:rPr>
          <w:bCs/>
          <w:iCs/>
          <w:sz w:val="20"/>
          <w:szCs w:val="20"/>
        </w:rPr>
        <w:t xml:space="preserve"> </w:t>
      </w:r>
      <w:r w:rsidRPr="00F7317A">
        <w:rPr>
          <w:sz w:val="20"/>
          <w:szCs w:val="20"/>
        </w:rPr>
        <w:t xml:space="preserve">L. </w:t>
      </w:r>
      <w:r w:rsidRPr="00F7317A">
        <w:rPr>
          <w:bCs/>
          <w:i/>
          <w:iCs/>
          <w:sz w:val="20"/>
          <w:szCs w:val="20"/>
        </w:rPr>
        <w:t xml:space="preserve">Sveikatos Priežiūros Reforma: Estija, Latvija, Lietuva, Vokietija. </w:t>
      </w:r>
      <w:r w:rsidRPr="00F7317A">
        <w:rPr>
          <w:bCs/>
          <w:i/>
          <w:sz w:val="20"/>
          <w:szCs w:val="20"/>
        </w:rPr>
        <w:t xml:space="preserve">Lietuvos sveikatos priežiūros reforma ir sveikatos draudimas; </w:t>
      </w:r>
      <w:r w:rsidRPr="00F7317A">
        <w:rPr>
          <w:sz w:val="20"/>
          <w:szCs w:val="20"/>
        </w:rPr>
        <w:t>Černiauskas, G., Schneider, M. (1999). Sveikatos politikos analizė. Privalomojo sveik</w:t>
      </w:r>
      <w:r>
        <w:rPr>
          <w:sz w:val="20"/>
          <w:szCs w:val="20"/>
        </w:rPr>
        <w:t>atos draudimo plėtra Lietuvoje</w:t>
      </w:r>
      <w:r w:rsidRPr="00F7317A">
        <w:rPr>
          <w:sz w:val="20"/>
          <w:szCs w:val="20"/>
        </w:rPr>
        <w:t xml:space="preserve">; </w:t>
      </w:r>
      <w:hyperlink r:id="rId188" w:history="1">
        <w:r w:rsidRPr="00CB1D4D">
          <w:rPr>
            <w:rStyle w:val="Hipersaitas"/>
            <w:sz w:val="20"/>
            <w:szCs w:val="20"/>
          </w:rPr>
          <w:t>http://www.sec.lt/pages/spr/Alf_mok/Text/Reform/reform1.html</w:t>
        </w:r>
      </w:hyperlink>
    </w:p>
    <w:p w:rsidR="00995BE0" w:rsidRDefault="00995BE0" w:rsidP="008E467F">
      <w:pPr>
        <w:pStyle w:val="Sraopastraipa3"/>
        <w:autoSpaceDE w:val="0"/>
        <w:autoSpaceDN w:val="0"/>
        <w:adjustRightInd w:val="0"/>
        <w:spacing w:line="276" w:lineRule="auto"/>
        <w:ind w:left="142"/>
        <w:jc w:val="both"/>
        <w:rPr>
          <w:sz w:val="20"/>
          <w:szCs w:val="20"/>
        </w:rPr>
      </w:pPr>
    </w:p>
    <w:p w:rsidR="00995BE0" w:rsidRDefault="00995BE0" w:rsidP="008E467F">
      <w:pPr>
        <w:tabs>
          <w:tab w:val="left" w:pos="7275"/>
        </w:tabs>
        <w:jc w:val="right"/>
        <w:rPr>
          <w:b/>
        </w:rPr>
      </w:pPr>
    </w:p>
    <w:p w:rsidR="00995BE0" w:rsidRDefault="00995BE0" w:rsidP="008E467F">
      <w:pPr>
        <w:tabs>
          <w:tab w:val="left" w:pos="7275"/>
        </w:tabs>
        <w:jc w:val="right"/>
        <w:rPr>
          <w:b/>
        </w:rPr>
      </w:pPr>
    </w:p>
    <w:p w:rsidR="00995BE0" w:rsidRDefault="00995BE0" w:rsidP="008E467F">
      <w:pPr>
        <w:tabs>
          <w:tab w:val="left" w:pos="7275"/>
        </w:tabs>
        <w:jc w:val="right"/>
        <w:rPr>
          <w:b/>
        </w:rPr>
      </w:pPr>
    </w:p>
    <w:p w:rsidR="00995BE0" w:rsidRPr="00B725C4" w:rsidRDefault="00995BE0" w:rsidP="008E467F">
      <w:pPr>
        <w:tabs>
          <w:tab w:val="left" w:pos="7275"/>
        </w:tabs>
        <w:jc w:val="right"/>
        <w:rPr>
          <w:b/>
        </w:rPr>
      </w:pPr>
      <w:r w:rsidRPr="00B725C4">
        <w:rPr>
          <w:b/>
        </w:rPr>
        <w:lastRenderedPageBreak/>
        <w:t xml:space="preserve">9 priedas </w:t>
      </w:r>
    </w:p>
    <w:p w:rsidR="00995BE0" w:rsidRDefault="00995BE0" w:rsidP="008E467F">
      <w:pPr>
        <w:tabs>
          <w:tab w:val="left" w:pos="7275"/>
        </w:tabs>
        <w:jc w:val="center"/>
        <w:rPr>
          <w:b/>
        </w:rPr>
      </w:pPr>
      <w:r w:rsidRPr="00B725C4">
        <w:rPr>
          <w:b/>
        </w:rPr>
        <w:t>Tarptautinio HBSC</w:t>
      </w:r>
      <w:r>
        <w:rPr>
          <w:b/>
        </w:rPr>
        <w:t xml:space="preserve"> (2006)</w:t>
      </w:r>
      <w:r w:rsidRPr="00B725C4">
        <w:rPr>
          <w:b/>
        </w:rPr>
        <w:t xml:space="preserve"> tyrimo rezultatai</w:t>
      </w:r>
    </w:p>
    <w:p w:rsidR="00995BE0" w:rsidRPr="00AA24AC" w:rsidRDefault="00995BE0" w:rsidP="008E467F">
      <w:pPr>
        <w:ind w:left="360"/>
        <w:jc w:val="center"/>
        <w:rPr>
          <w:sz w:val="20"/>
          <w:szCs w:val="20"/>
        </w:rPr>
      </w:pPr>
      <w:r>
        <w:rPr>
          <w:sz w:val="20"/>
          <w:szCs w:val="20"/>
        </w:rPr>
        <w:t xml:space="preserve">Sudaryta autoriaus, remiantis šaltiniu: </w:t>
      </w:r>
      <w:r w:rsidRPr="00AA24AC">
        <w:rPr>
          <w:sz w:val="20"/>
          <w:szCs w:val="20"/>
        </w:rPr>
        <w:t>Inequalities in young people‘s health. (2008). HBSC international report from the 2005/2006 survey. WHO [interaktyvus] [žiūrėta 2009-12-16]. Prieiga per internetą:http://www.euro.who.int/__data/assets/pdf_file/0005/53852/E91416.pdf</w:t>
      </w:r>
    </w:p>
    <w:p w:rsidR="00995BE0" w:rsidRPr="00323DB5" w:rsidRDefault="00995BE0" w:rsidP="008E467F">
      <w:pPr>
        <w:tabs>
          <w:tab w:val="left" w:pos="7275"/>
        </w:tabs>
        <w:jc w:val="center"/>
        <w:rPr>
          <w:sz w:val="28"/>
          <w:szCs w:val="28"/>
        </w:rPr>
      </w:pPr>
    </w:p>
    <w:p w:rsidR="00995BE0" w:rsidRDefault="00A54FAC" w:rsidP="008E467F">
      <w:pPr>
        <w:jc w:val="center"/>
        <w:rPr>
          <w:b/>
          <w:sz w:val="28"/>
          <w:szCs w:val="28"/>
        </w:rPr>
      </w:pPr>
      <w:r>
        <w:rPr>
          <w:b/>
          <w:noProof/>
          <w:sz w:val="28"/>
          <w:szCs w:val="28"/>
        </w:rPr>
        <w:drawing>
          <wp:inline distT="0" distB="0" distL="0" distR="0">
            <wp:extent cx="5682615" cy="7484745"/>
            <wp:effectExtent l="0" t="0" r="0" b="0"/>
            <wp:docPr id="40" name="Objektas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995BE0" w:rsidRPr="00EF3085" w:rsidRDefault="00995BE0" w:rsidP="008E467F">
      <w:pPr>
        <w:jc w:val="center"/>
        <w:rPr>
          <w:sz w:val="22"/>
          <w:szCs w:val="22"/>
        </w:rPr>
      </w:pPr>
      <w:r>
        <w:rPr>
          <w:b/>
          <w:sz w:val="22"/>
          <w:szCs w:val="22"/>
        </w:rPr>
        <w:t xml:space="preserve">1 pav. </w:t>
      </w:r>
      <w:r w:rsidRPr="00EF3085">
        <w:rPr>
          <w:sz w:val="22"/>
          <w:szCs w:val="22"/>
        </w:rPr>
        <w:t>15-mečių mokinių dalis, kurie kasdien valgo vaisius, pasiskirstymas pagal lytį (proc.)</w:t>
      </w:r>
    </w:p>
    <w:p w:rsidR="00995BE0" w:rsidRPr="00EF3085" w:rsidRDefault="00995BE0" w:rsidP="008E467F">
      <w:pPr>
        <w:pStyle w:val="ListParagraph1"/>
        <w:ind w:left="0"/>
        <w:jc w:val="center"/>
        <w:rPr>
          <w:sz w:val="20"/>
          <w:szCs w:val="20"/>
        </w:rPr>
      </w:pPr>
      <w:r w:rsidRPr="00EF3085">
        <w:rPr>
          <w:sz w:val="20"/>
          <w:szCs w:val="20"/>
        </w:rPr>
        <w:t xml:space="preserve"> (* požymiai statistiškai reikšmingai skiriasi)</w:t>
      </w:r>
    </w:p>
    <w:p w:rsidR="00995BE0" w:rsidRDefault="00995BE0" w:rsidP="008E467F">
      <w:pPr>
        <w:pStyle w:val="ListParagraph1"/>
        <w:ind w:left="0"/>
        <w:rPr>
          <w:sz w:val="20"/>
          <w:szCs w:val="20"/>
        </w:rPr>
      </w:pPr>
    </w:p>
    <w:p w:rsidR="00995BE0" w:rsidRDefault="00A54FAC" w:rsidP="008E467F">
      <w:pPr>
        <w:pStyle w:val="ListParagraph1"/>
        <w:ind w:left="0"/>
        <w:jc w:val="center"/>
        <w:rPr>
          <w:sz w:val="20"/>
          <w:szCs w:val="20"/>
        </w:rPr>
      </w:pPr>
      <w:r>
        <w:rPr>
          <w:noProof/>
          <w:sz w:val="20"/>
          <w:szCs w:val="20"/>
        </w:rPr>
        <w:lastRenderedPageBreak/>
        <w:drawing>
          <wp:inline distT="0" distB="0" distL="0" distR="0">
            <wp:extent cx="5655945" cy="7263130"/>
            <wp:effectExtent l="0" t="0" r="0" b="0"/>
            <wp:docPr id="41" name="Objekta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995BE0" w:rsidRPr="005F647C" w:rsidRDefault="00995BE0" w:rsidP="008E467F">
      <w:pPr>
        <w:pStyle w:val="ListParagraph1"/>
        <w:ind w:left="0"/>
        <w:jc w:val="center"/>
        <w:rPr>
          <w:sz w:val="22"/>
          <w:szCs w:val="22"/>
        </w:rPr>
      </w:pPr>
      <w:r w:rsidRPr="00EF3085">
        <w:rPr>
          <w:b/>
          <w:sz w:val="22"/>
          <w:szCs w:val="22"/>
        </w:rPr>
        <w:t>2 pav.</w:t>
      </w:r>
      <w:r w:rsidRPr="005F647C">
        <w:rPr>
          <w:sz w:val="22"/>
          <w:szCs w:val="22"/>
        </w:rPr>
        <w:t xml:space="preserve"> 11-mečių mokinių dalis, kurie dantis valo daugiau nei kartą per dieną, pagal lytį (proc.)</w:t>
      </w:r>
    </w:p>
    <w:p w:rsidR="00995BE0" w:rsidRPr="00EF3085" w:rsidRDefault="00995BE0" w:rsidP="008E467F">
      <w:pPr>
        <w:pStyle w:val="ListParagraph1"/>
        <w:ind w:left="1287"/>
        <w:jc w:val="center"/>
        <w:rPr>
          <w:sz w:val="20"/>
          <w:szCs w:val="20"/>
        </w:rPr>
      </w:pPr>
      <w:r w:rsidRPr="00EF3085">
        <w:rPr>
          <w:sz w:val="20"/>
          <w:szCs w:val="20"/>
        </w:rPr>
        <w:t xml:space="preserve"> (* požymiai statistiškai reikšmingai skiriasi)</w:t>
      </w:r>
    </w:p>
    <w:p w:rsidR="00995BE0" w:rsidRDefault="00A54FAC" w:rsidP="008E467F">
      <w:pPr>
        <w:pStyle w:val="ListParagraph1"/>
        <w:ind w:left="0"/>
        <w:jc w:val="center"/>
        <w:rPr>
          <w:sz w:val="20"/>
          <w:szCs w:val="20"/>
        </w:rPr>
      </w:pPr>
      <w:r>
        <w:rPr>
          <w:noProof/>
          <w:sz w:val="20"/>
          <w:szCs w:val="20"/>
        </w:rPr>
        <w:lastRenderedPageBreak/>
        <w:drawing>
          <wp:inline distT="0" distB="0" distL="0" distR="0">
            <wp:extent cx="5564505" cy="7249795"/>
            <wp:effectExtent l="0" t="0" r="0" b="0"/>
            <wp:docPr id="42" name="Objektas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995BE0" w:rsidRPr="005F647C" w:rsidRDefault="00995BE0" w:rsidP="008E467F">
      <w:pPr>
        <w:pStyle w:val="ListParagraph1"/>
        <w:ind w:left="0"/>
        <w:jc w:val="center"/>
        <w:rPr>
          <w:sz w:val="22"/>
          <w:szCs w:val="22"/>
        </w:rPr>
      </w:pPr>
      <w:r w:rsidRPr="00EF3085">
        <w:rPr>
          <w:b/>
          <w:sz w:val="22"/>
          <w:szCs w:val="22"/>
        </w:rPr>
        <w:t>3 pav.</w:t>
      </w:r>
      <w:r w:rsidRPr="005F647C">
        <w:rPr>
          <w:sz w:val="22"/>
          <w:szCs w:val="22"/>
        </w:rPr>
        <w:t xml:space="preserve"> 13-mečių mokinių dalis, kurie dantis valo daugiau nei kartą per dieną, pagal lytį (proc.)</w:t>
      </w:r>
    </w:p>
    <w:p w:rsidR="00995BE0" w:rsidRPr="00EF3085" w:rsidRDefault="00995BE0" w:rsidP="008E467F">
      <w:pPr>
        <w:pStyle w:val="ListParagraph1"/>
        <w:ind w:left="1287"/>
        <w:jc w:val="center"/>
        <w:rPr>
          <w:sz w:val="20"/>
          <w:szCs w:val="20"/>
        </w:rPr>
      </w:pPr>
      <w:r w:rsidRPr="00EF3085">
        <w:rPr>
          <w:sz w:val="20"/>
          <w:szCs w:val="20"/>
        </w:rPr>
        <w:t xml:space="preserve"> (* požymiai statistiškai reikšmingai skiriasi)</w:t>
      </w:r>
    </w:p>
    <w:p w:rsidR="00995BE0" w:rsidRDefault="00A54FAC" w:rsidP="008E467F">
      <w:pPr>
        <w:pStyle w:val="ListParagraph1"/>
        <w:ind w:left="0"/>
        <w:jc w:val="center"/>
        <w:rPr>
          <w:sz w:val="20"/>
          <w:szCs w:val="20"/>
        </w:rPr>
      </w:pPr>
      <w:r>
        <w:rPr>
          <w:noProof/>
          <w:sz w:val="20"/>
          <w:szCs w:val="20"/>
        </w:rPr>
        <w:lastRenderedPageBreak/>
        <w:drawing>
          <wp:inline distT="0" distB="0" distL="0" distR="0">
            <wp:extent cx="5643245" cy="7602855"/>
            <wp:effectExtent l="0" t="0" r="0" b="0"/>
            <wp:docPr id="43" name="Objektas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995BE0" w:rsidRPr="005F647C" w:rsidRDefault="00995BE0" w:rsidP="008E467F">
      <w:pPr>
        <w:pStyle w:val="ListParagraph1"/>
        <w:ind w:left="0"/>
        <w:jc w:val="center"/>
        <w:rPr>
          <w:sz w:val="22"/>
          <w:szCs w:val="22"/>
        </w:rPr>
      </w:pPr>
      <w:bookmarkStart w:id="139" w:name="OLE_LINK13"/>
      <w:bookmarkStart w:id="140" w:name="OLE_LINK14"/>
      <w:r w:rsidRPr="00EF3085">
        <w:rPr>
          <w:b/>
          <w:sz w:val="22"/>
          <w:szCs w:val="22"/>
        </w:rPr>
        <w:t>4 pav</w:t>
      </w:r>
      <w:r w:rsidRPr="005F647C">
        <w:rPr>
          <w:sz w:val="22"/>
          <w:szCs w:val="22"/>
        </w:rPr>
        <w:t>. 15-mečių mokinių dalis, kurie teigė, kad pirmą kartą pasijuto girti būdami 13 m. ar jaunesni, pagal lytį (proc.)</w:t>
      </w:r>
    </w:p>
    <w:p w:rsidR="00995BE0" w:rsidRPr="00EF3085" w:rsidRDefault="00995BE0" w:rsidP="008E467F">
      <w:pPr>
        <w:pStyle w:val="ListParagraph1"/>
        <w:ind w:left="0"/>
        <w:jc w:val="center"/>
        <w:rPr>
          <w:sz w:val="20"/>
          <w:szCs w:val="20"/>
        </w:rPr>
      </w:pPr>
      <w:r w:rsidRPr="00EF3085">
        <w:rPr>
          <w:sz w:val="20"/>
          <w:szCs w:val="20"/>
        </w:rPr>
        <w:t xml:space="preserve"> (* požymiai statistiškai reikšmingai skiriasi)</w:t>
      </w:r>
    </w:p>
    <w:bookmarkEnd w:id="139"/>
    <w:bookmarkEnd w:id="140"/>
    <w:p w:rsidR="00995BE0" w:rsidRDefault="00A54FAC" w:rsidP="008E467F">
      <w:pPr>
        <w:pStyle w:val="ListParagraph1"/>
        <w:ind w:left="0"/>
        <w:jc w:val="center"/>
        <w:rPr>
          <w:sz w:val="20"/>
          <w:szCs w:val="20"/>
        </w:rPr>
      </w:pPr>
      <w:r>
        <w:rPr>
          <w:noProof/>
          <w:sz w:val="20"/>
          <w:szCs w:val="20"/>
        </w:rPr>
        <w:lastRenderedPageBreak/>
        <w:drawing>
          <wp:inline distT="0" distB="0" distL="0" distR="0">
            <wp:extent cx="5603875" cy="7249795"/>
            <wp:effectExtent l="0" t="0" r="0" b="0"/>
            <wp:docPr id="44" name="Objektas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995BE0" w:rsidRPr="005F647C" w:rsidRDefault="00995BE0" w:rsidP="008E467F">
      <w:pPr>
        <w:pStyle w:val="ListParagraph1"/>
        <w:ind w:left="0"/>
        <w:jc w:val="center"/>
        <w:rPr>
          <w:sz w:val="22"/>
          <w:szCs w:val="22"/>
        </w:rPr>
      </w:pPr>
      <w:r w:rsidRPr="00EF3085">
        <w:rPr>
          <w:b/>
          <w:sz w:val="22"/>
          <w:szCs w:val="22"/>
        </w:rPr>
        <w:t>5 pav</w:t>
      </w:r>
      <w:r w:rsidRPr="005F647C">
        <w:rPr>
          <w:sz w:val="22"/>
          <w:szCs w:val="22"/>
        </w:rPr>
        <w:t>. 15-mečių mokinių dalis, kurie teigė, kad buvo girti būdami mažiausiai du kartus, pagal lytį (proc.)</w:t>
      </w:r>
    </w:p>
    <w:p w:rsidR="00995BE0" w:rsidRPr="00EF3085" w:rsidRDefault="00995BE0" w:rsidP="008E467F">
      <w:pPr>
        <w:pStyle w:val="ListParagraph1"/>
        <w:ind w:left="1287" w:hanging="1287"/>
        <w:jc w:val="center"/>
        <w:rPr>
          <w:sz w:val="20"/>
          <w:szCs w:val="20"/>
        </w:rPr>
      </w:pPr>
      <w:r w:rsidRPr="00EF3085">
        <w:rPr>
          <w:sz w:val="20"/>
          <w:szCs w:val="20"/>
        </w:rPr>
        <w:t xml:space="preserve"> (* požymiai statistiškai reikšmingai skiriasi)</w:t>
      </w:r>
    </w:p>
    <w:p w:rsidR="00995BE0" w:rsidRDefault="00A54FAC" w:rsidP="008E467F">
      <w:pPr>
        <w:pStyle w:val="ListParagraph1"/>
        <w:ind w:left="0"/>
        <w:jc w:val="center"/>
      </w:pPr>
      <w:r>
        <w:rPr>
          <w:noProof/>
          <w:sz w:val="20"/>
          <w:szCs w:val="20"/>
        </w:rPr>
        <w:lastRenderedPageBreak/>
        <w:drawing>
          <wp:inline distT="0" distB="0" distL="0" distR="0">
            <wp:extent cx="5591175" cy="7263130"/>
            <wp:effectExtent l="19050" t="0" r="9525" b="0"/>
            <wp:docPr id="45" name="Objekta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995BE0" w:rsidRPr="005F647C" w:rsidRDefault="00995BE0" w:rsidP="008E467F">
      <w:pPr>
        <w:pStyle w:val="ListParagraph1"/>
        <w:ind w:left="0"/>
        <w:jc w:val="center"/>
        <w:rPr>
          <w:sz w:val="22"/>
          <w:szCs w:val="22"/>
        </w:rPr>
      </w:pPr>
      <w:r w:rsidRPr="00EF3085">
        <w:rPr>
          <w:b/>
          <w:sz w:val="22"/>
          <w:szCs w:val="22"/>
        </w:rPr>
        <w:t>6 pav.</w:t>
      </w:r>
      <w:r w:rsidRPr="005F647C">
        <w:rPr>
          <w:sz w:val="22"/>
          <w:szCs w:val="22"/>
        </w:rPr>
        <w:t xml:space="preserve"> 11-mečių mokinių dalis, iš kurių tyčiojosi mokykloje per paskutinius 2 mėnesius, pagal lytį (proc.)</w:t>
      </w:r>
    </w:p>
    <w:p w:rsidR="00995BE0" w:rsidRPr="00EF3085" w:rsidRDefault="00995BE0" w:rsidP="008E467F">
      <w:pPr>
        <w:pStyle w:val="ListParagraph1"/>
        <w:ind w:left="1287" w:hanging="1287"/>
        <w:jc w:val="center"/>
        <w:rPr>
          <w:sz w:val="20"/>
          <w:szCs w:val="20"/>
        </w:rPr>
      </w:pPr>
      <w:r w:rsidRPr="00EF3085">
        <w:rPr>
          <w:sz w:val="20"/>
          <w:szCs w:val="20"/>
        </w:rPr>
        <w:t xml:space="preserve"> (* požymiai statistiškai reikšmingai skiriasi)</w:t>
      </w:r>
    </w:p>
    <w:p w:rsidR="00995BE0" w:rsidRDefault="00A54FAC" w:rsidP="008E467F">
      <w:pPr>
        <w:pStyle w:val="ListParagraph1"/>
        <w:ind w:left="0"/>
        <w:jc w:val="center"/>
      </w:pPr>
      <w:r>
        <w:rPr>
          <w:noProof/>
          <w:sz w:val="20"/>
          <w:szCs w:val="20"/>
        </w:rPr>
        <w:lastRenderedPageBreak/>
        <w:drawing>
          <wp:inline distT="0" distB="0" distL="0" distR="0">
            <wp:extent cx="5603875" cy="7249795"/>
            <wp:effectExtent l="0" t="0" r="0" b="0"/>
            <wp:docPr id="46" name="Objektas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995BE0" w:rsidRPr="00E3311B" w:rsidRDefault="00995BE0" w:rsidP="008E467F">
      <w:pPr>
        <w:pStyle w:val="ListParagraph1"/>
        <w:ind w:left="0"/>
        <w:jc w:val="center"/>
        <w:rPr>
          <w:sz w:val="22"/>
          <w:szCs w:val="22"/>
        </w:rPr>
      </w:pPr>
      <w:r w:rsidRPr="00EF3085">
        <w:rPr>
          <w:b/>
          <w:sz w:val="22"/>
          <w:szCs w:val="22"/>
        </w:rPr>
        <w:t>7 pav.</w:t>
      </w:r>
      <w:r w:rsidRPr="00E3311B">
        <w:rPr>
          <w:sz w:val="22"/>
          <w:szCs w:val="22"/>
        </w:rPr>
        <w:t xml:space="preserve"> 13-mečių mokinių dalis, iš kurių tyčiojosi mokykloje per paskutinius 2 mėnesius, pagal lytį (proc.)</w:t>
      </w:r>
    </w:p>
    <w:p w:rsidR="00995BE0" w:rsidRPr="00E3311B" w:rsidRDefault="00995BE0" w:rsidP="008E467F">
      <w:pPr>
        <w:pStyle w:val="ListParagraph1"/>
        <w:ind w:left="1287" w:hanging="1287"/>
        <w:jc w:val="center"/>
        <w:rPr>
          <w:sz w:val="20"/>
          <w:szCs w:val="20"/>
        </w:rPr>
      </w:pPr>
      <w:r w:rsidRPr="00E3311B">
        <w:rPr>
          <w:sz w:val="20"/>
          <w:szCs w:val="20"/>
        </w:rPr>
        <w:t xml:space="preserve"> (* požymiai statistiškai reikšmingai skiriasi)</w:t>
      </w:r>
    </w:p>
    <w:p w:rsidR="00995BE0" w:rsidRDefault="00A54FAC" w:rsidP="008E467F">
      <w:pPr>
        <w:pStyle w:val="ListParagraph1"/>
        <w:ind w:left="0"/>
        <w:jc w:val="center"/>
      </w:pPr>
      <w:r>
        <w:rPr>
          <w:noProof/>
          <w:sz w:val="20"/>
          <w:szCs w:val="20"/>
        </w:rPr>
        <w:lastRenderedPageBreak/>
        <w:drawing>
          <wp:inline distT="0" distB="0" distL="0" distR="0">
            <wp:extent cx="5721350" cy="7263130"/>
            <wp:effectExtent l="19050" t="0" r="12700" b="0"/>
            <wp:docPr id="47" name="Objektas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995BE0" w:rsidRPr="00E3311B" w:rsidRDefault="00995BE0" w:rsidP="008E467F">
      <w:pPr>
        <w:pStyle w:val="ListParagraph1"/>
        <w:ind w:left="0"/>
        <w:jc w:val="center"/>
        <w:rPr>
          <w:sz w:val="22"/>
          <w:szCs w:val="22"/>
        </w:rPr>
      </w:pPr>
      <w:r w:rsidRPr="00EF3085">
        <w:rPr>
          <w:b/>
          <w:sz w:val="22"/>
          <w:szCs w:val="22"/>
        </w:rPr>
        <w:t>8 pav</w:t>
      </w:r>
      <w:r w:rsidRPr="00E3311B">
        <w:rPr>
          <w:sz w:val="22"/>
          <w:szCs w:val="22"/>
        </w:rPr>
        <w:t>. 15-mečių mokinių dalis, iš kurių tyčiojosi mokykloje per paskutinius 2 mėnesius, pagal lytį (proc.)</w:t>
      </w:r>
    </w:p>
    <w:p w:rsidR="00995BE0" w:rsidRPr="00E3311B" w:rsidRDefault="00995BE0" w:rsidP="008E467F">
      <w:pPr>
        <w:pStyle w:val="ListParagraph1"/>
        <w:ind w:left="0"/>
        <w:jc w:val="center"/>
        <w:rPr>
          <w:sz w:val="20"/>
          <w:szCs w:val="20"/>
        </w:rPr>
      </w:pPr>
      <w:r w:rsidRPr="00E3311B">
        <w:rPr>
          <w:sz w:val="20"/>
          <w:szCs w:val="20"/>
        </w:rPr>
        <w:t xml:space="preserve"> (* požymiai statistiškai reikšmingai skiriasi)</w:t>
      </w:r>
    </w:p>
    <w:p w:rsidR="00995BE0" w:rsidRDefault="00A54FAC" w:rsidP="008E467F">
      <w:pPr>
        <w:pStyle w:val="ListParagraph1"/>
        <w:ind w:left="0"/>
        <w:jc w:val="center"/>
      </w:pPr>
      <w:r>
        <w:rPr>
          <w:noProof/>
          <w:sz w:val="20"/>
          <w:szCs w:val="20"/>
        </w:rPr>
        <w:lastRenderedPageBreak/>
        <w:drawing>
          <wp:inline distT="0" distB="0" distL="0" distR="0">
            <wp:extent cx="5721350" cy="7263130"/>
            <wp:effectExtent l="0" t="0" r="0" b="0"/>
            <wp:docPr id="48" name="Objekta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995BE0" w:rsidRPr="00E3311B" w:rsidRDefault="00995BE0" w:rsidP="008E467F">
      <w:pPr>
        <w:pStyle w:val="ListParagraph1"/>
        <w:ind w:left="0"/>
        <w:jc w:val="center"/>
        <w:rPr>
          <w:sz w:val="22"/>
          <w:szCs w:val="22"/>
        </w:rPr>
      </w:pPr>
      <w:r w:rsidRPr="00EF3085">
        <w:rPr>
          <w:b/>
          <w:sz w:val="22"/>
          <w:szCs w:val="22"/>
        </w:rPr>
        <w:t>9 pav</w:t>
      </w:r>
      <w:r>
        <w:rPr>
          <w:sz w:val="22"/>
          <w:szCs w:val="22"/>
        </w:rPr>
        <w:t xml:space="preserve">. </w:t>
      </w:r>
      <w:r w:rsidRPr="00E3311B">
        <w:rPr>
          <w:sz w:val="22"/>
          <w:szCs w:val="22"/>
        </w:rPr>
        <w:t>11-mečių mokinių dalis, kurie tyčiojosi mokykloje iš kitų per paskutinius 2 mėnesius, pagal lytį (proc.)</w:t>
      </w:r>
    </w:p>
    <w:p w:rsidR="00995BE0" w:rsidRPr="00E3311B" w:rsidRDefault="00995BE0" w:rsidP="008E467F">
      <w:pPr>
        <w:pStyle w:val="ListParagraph1"/>
        <w:ind w:left="0"/>
        <w:jc w:val="center"/>
        <w:rPr>
          <w:sz w:val="20"/>
          <w:szCs w:val="20"/>
        </w:rPr>
      </w:pPr>
      <w:r w:rsidRPr="00E3311B">
        <w:rPr>
          <w:sz w:val="20"/>
          <w:szCs w:val="20"/>
        </w:rPr>
        <w:t xml:space="preserve"> (* požymiai statistiškai reikšmingai skiriasi)</w:t>
      </w:r>
    </w:p>
    <w:p w:rsidR="00995BE0" w:rsidRDefault="00A54FAC" w:rsidP="008E467F">
      <w:pPr>
        <w:pStyle w:val="ListParagraph1"/>
        <w:ind w:left="0"/>
        <w:jc w:val="center"/>
      </w:pPr>
      <w:r>
        <w:rPr>
          <w:noProof/>
          <w:sz w:val="20"/>
          <w:szCs w:val="20"/>
        </w:rPr>
        <w:lastRenderedPageBreak/>
        <w:drawing>
          <wp:inline distT="0" distB="0" distL="0" distR="0">
            <wp:extent cx="5774055" cy="8216265"/>
            <wp:effectExtent l="0" t="0" r="0" b="0"/>
            <wp:docPr id="49" name="Objektas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995BE0" w:rsidRPr="00E3311B" w:rsidRDefault="00995BE0" w:rsidP="008E467F">
      <w:pPr>
        <w:pStyle w:val="ListParagraph1"/>
        <w:ind w:left="0"/>
        <w:jc w:val="center"/>
        <w:rPr>
          <w:sz w:val="22"/>
          <w:szCs w:val="22"/>
        </w:rPr>
      </w:pPr>
      <w:r w:rsidRPr="00EF3085">
        <w:rPr>
          <w:b/>
          <w:sz w:val="22"/>
          <w:szCs w:val="22"/>
        </w:rPr>
        <w:t>10 pav.</w:t>
      </w:r>
      <w:r w:rsidRPr="00E3311B">
        <w:rPr>
          <w:sz w:val="22"/>
          <w:szCs w:val="22"/>
        </w:rPr>
        <w:t xml:space="preserve"> 13-mečių mokinių dalis, kurie tyčiojosi mokykloje iš kitų per paskutinius 2 mėnesius, pagal lytį (proc.)</w:t>
      </w:r>
    </w:p>
    <w:p w:rsidR="00995BE0" w:rsidRPr="00E3311B" w:rsidRDefault="00995BE0" w:rsidP="008E467F">
      <w:pPr>
        <w:pStyle w:val="ListParagraph1"/>
        <w:ind w:left="0"/>
        <w:jc w:val="center"/>
        <w:rPr>
          <w:sz w:val="20"/>
          <w:szCs w:val="20"/>
        </w:rPr>
      </w:pPr>
      <w:r w:rsidRPr="00E3311B">
        <w:rPr>
          <w:sz w:val="20"/>
          <w:szCs w:val="20"/>
        </w:rPr>
        <w:t xml:space="preserve"> (* požymiai statistiškai reikšmingai skiriasi)</w:t>
      </w:r>
    </w:p>
    <w:p w:rsidR="00995BE0" w:rsidRDefault="00A54FAC" w:rsidP="008E467F">
      <w:pPr>
        <w:pStyle w:val="ListParagraph1"/>
        <w:ind w:left="0"/>
        <w:jc w:val="center"/>
      </w:pPr>
      <w:r>
        <w:rPr>
          <w:noProof/>
          <w:sz w:val="20"/>
          <w:szCs w:val="20"/>
        </w:rPr>
        <w:lastRenderedPageBreak/>
        <w:drawing>
          <wp:inline distT="0" distB="0" distL="0" distR="0">
            <wp:extent cx="5760720" cy="8216265"/>
            <wp:effectExtent l="0" t="0" r="0" b="0"/>
            <wp:docPr id="50" name="Objekta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995BE0" w:rsidRPr="00E3311B" w:rsidRDefault="00995BE0" w:rsidP="008E467F">
      <w:pPr>
        <w:pStyle w:val="ListParagraph1"/>
        <w:ind w:left="0"/>
        <w:jc w:val="center"/>
        <w:rPr>
          <w:sz w:val="22"/>
          <w:szCs w:val="22"/>
        </w:rPr>
      </w:pPr>
      <w:r w:rsidRPr="00EF3085">
        <w:rPr>
          <w:b/>
          <w:sz w:val="22"/>
          <w:szCs w:val="22"/>
        </w:rPr>
        <w:t>11 pav</w:t>
      </w:r>
      <w:r w:rsidRPr="00E3311B">
        <w:rPr>
          <w:sz w:val="22"/>
          <w:szCs w:val="22"/>
        </w:rPr>
        <w:t>. 15-mečių mokinių dalis, kurie tyčiojosi mokykloje iš kitų per paskutinius 2 mėnesius, pagal lytį (proc.)</w:t>
      </w:r>
    </w:p>
    <w:p w:rsidR="00995BE0" w:rsidRDefault="00995BE0" w:rsidP="008E467F">
      <w:pPr>
        <w:pStyle w:val="ListParagraph1"/>
        <w:ind w:left="0"/>
        <w:jc w:val="center"/>
        <w:rPr>
          <w:sz w:val="20"/>
          <w:szCs w:val="20"/>
        </w:rPr>
      </w:pPr>
      <w:r w:rsidRPr="00E3311B">
        <w:rPr>
          <w:sz w:val="20"/>
          <w:szCs w:val="20"/>
        </w:rPr>
        <w:t xml:space="preserve"> (* požymiai statistiškai reikšmingai skiriasi)</w:t>
      </w:r>
      <w:r>
        <w:rPr>
          <w:sz w:val="20"/>
          <w:szCs w:val="20"/>
        </w:rPr>
        <w:t xml:space="preserve"> </w:t>
      </w:r>
    </w:p>
    <w:p w:rsidR="00995BE0" w:rsidRDefault="00995BE0" w:rsidP="00720D04">
      <w:pPr>
        <w:pStyle w:val="ListParagraph1"/>
        <w:ind w:left="0"/>
        <w:jc w:val="right"/>
        <w:rPr>
          <w:b/>
        </w:rPr>
      </w:pPr>
      <w:r>
        <w:rPr>
          <w:sz w:val="20"/>
          <w:szCs w:val="20"/>
        </w:rPr>
        <w:br w:type="page"/>
      </w:r>
      <w:r>
        <w:rPr>
          <w:b/>
        </w:rPr>
        <w:lastRenderedPageBreak/>
        <w:t>10 priedas</w:t>
      </w:r>
    </w:p>
    <w:p w:rsidR="00995BE0" w:rsidRDefault="00995BE0" w:rsidP="008E467F">
      <w:pPr>
        <w:pStyle w:val="ListParagraph1"/>
        <w:ind w:left="0"/>
        <w:jc w:val="center"/>
        <w:rPr>
          <w:b/>
        </w:rPr>
      </w:pPr>
      <w:r w:rsidRPr="00AD4C4F">
        <w:rPr>
          <w:b/>
        </w:rPr>
        <w:t>Šiaulių miesto suaugusių žmonių gyvensenos tyrimo rezultatai, 2008</w:t>
      </w:r>
    </w:p>
    <w:p w:rsidR="00995BE0" w:rsidRPr="00922783" w:rsidRDefault="00995BE0" w:rsidP="008E467F"/>
    <w:p w:rsidR="00995BE0" w:rsidRPr="0017770F" w:rsidRDefault="00A54FAC" w:rsidP="008E467F">
      <w:pPr>
        <w:spacing w:line="360" w:lineRule="auto"/>
        <w:jc w:val="center"/>
      </w:pPr>
      <w:r>
        <w:rPr>
          <w:noProof/>
        </w:rPr>
        <w:drawing>
          <wp:inline distT="0" distB="0" distL="0" distR="0">
            <wp:extent cx="6217920" cy="2691130"/>
            <wp:effectExtent l="0" t="0" r="0" b="0"/>
            <wp:docPr id="51" name="Objekta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995BE0" w:rsidRDefault="00995BE0" w:rsidP="008E467F">
      <w:pPr>
        <w:ind w:left="567" w:right="140"/>
        <w:jc w:val="center"/>
        <w:rPr>
          <w:b/>
        </w:rPr>
      </w:pPr>
      <w:r w:rsidRPr="00922783">
        <w:rPr>
          <w:b/>
          <w:sz w:val="22"/>
          <w:szCs w:val="22"/>
        </w:rPr>
        <w:t>1 pav.</w:t>
      </w:r>
      <w:r w:rsidRPr="00922783">
        <w:rPr>
          <w:sz w:val="22"/>
          <w:szCs w:val="22"/>
        </w:rPr>
        <w:t xml:space="preserve"> Ligos, kurios buvo nustatytos ar gydytos Šiaulių miesto gyventojams  per praėjusius 12 mėnesių, atsižvelgiant į amžių (proc.)</w:t>
      </w:r>
    </w:p>
    <w:p w:rsidR="00995BE0" w:rsidRDefault="00995BE0" w:rsidP="008E467F">
      <w:pPr>
        <w:ind w:left="567" w:right="140"/>
        <w:jc w:val="center"/>
        <w:rPr>
          <w:sz w:val="20"/>
          <w:szCs w:val="20"/>
        </w:rPr>
      </w:pPr>
      <w:r w:rsidRPr="00922783">
        <w:rPr>
          <w:sz w:val="20"/>
          <w:szCs w:val="20"/>
        </w:rPr>
        <w:t>(* - p &lt; 0,05)</w:t>
      </w:r>
    </w:p>
    <w:p w:rsidR="00995BE0" w:rsidRPr="00922783" w:rsidRDefault="00995BE0" w:rsidP="008E467F">
      <w:pPr>
        <w:ind w:left="567" w:right="140"/>
        <w:jc w:val="center"/>
        <w:rPr>
          <w:sz w:val="20"/>
          <w:szCs w:val="20"/>
        </w:rPr>
      </w:pPr>
    </w:p>
    <w:p w:rsidR="00995BE0" w:rsidRPr="0017770F" w:rsidRDefault="00A54FAC" w:rsidP="008E467F">
      <w:pPr>
        <w:spacing w:line="360" w:lineRule="auto"/>
        <w:jc w:val="center"/>
      </w:pPr>
      <w:r>
        <w:rPr>
          <w:noProof/>
        </w:rPr>
        <w:drawing>
          <wp:inline distT="0" distB="0" distL="0" distR="0">
            <wp:extent cx="5904230" cy="2155190"/>
            <wp:effectExtent l="0" t="0" r="0" b="0"/>
            <wp:docPr id="52" name="Objekta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995BE0" w:rsidRDefault="00995BE0" w:rsidP="008E467F">
      <w:pPr>
        <w:spacing w:line="360" w:lineRule="auto"/>
        <w:jc w:val="center"/>
        <w:rPr>
          <w:b/>
          <w:sz w:val="22"/>
          <w:szCs w:val="22"/>
        </w:rPr>
      </w:pPr>
      <w:r w:rsidRPr="00BC188C">
        <w:rPr>
          <w:b/>
          <w:sz w:val="22"/>
          <w:szCs w:val="22"/>
        </w:rPr>
        <w:t xml:space="preserve">2 pav. </w:t>
      </w:r>
      <w:r w:rsidRPr="00BC188C">
        <w:rPr>
          <w:sz w:val="22"/>
          <w:szCs w:val="22"/>
        </w:rPr>
        <w:t>Šiuo metu rūkančių respondentų dažnis, atsižvelgiant į lytį (proc</w:t>
      </w:r>
      <w:r w:rsidRPr="008F720A">
        <w:rPr>
          <w:sz w:val="22"/>
          <w:szCs w:val="22"/>
        </w:rPr>
        <w:t>.)</w:t>
      </w:r>
    </w:p>
    <w:p w:rsidR="00995BE0" w:rsidRPr="00BC188C" w:rsidRDefault="00995BE0" w:rsidP="008E467F">
      <w:pPr>
        <w:spacing w:line="360" w:lineRule="auto"/>
        <w:jc w:val="center"/>
        <w:rPr>
          <w:b/>
          <w:sz w:val="22"/>
          <w:szCs w:val="22"/>
        </w:rPr>
      </w:pPr>
    </w:p>
    <w:p w:rsidR="00995BE0" w:rsidRDefault="00A54FAC" w:rsidP="008E467F">
      <w:pPr>
        <w:spacing w:line="360" w:lineRule="auto"/>
        <w:jc w:val="center"/>
        <w:rPr>
          <w:b/>
        </w:rPr>
      </w:pPr>
      <w:r>
        <w:rPr>
          <w:b/>
          <w:noProof/>
        </w:rPr>
        <w:drawing>
          <wp:inline distT="0" distB="0" distL="0" distR="0">
            <wp:extent cx="5760720" cy="1724025"/>
            <wp:effectExtent l="0" t="0" r="0" b="0"/>
            <wp:docPr id="53" name="Objekta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995BE0" w:rsidRPr="00995170" w:rsidRDefault="00995BE0" w:rsidP="008E467F">
      <w:pPr>
        <w:spacing w:line="360" w:lineRule="auto"/>
        <w:ind w:firstLine="720"/>
        <w:jc w:val="center"/>
        <w:rPr>
          <w:sz w:val="22"/>
          <w:szCs w:val="22"/>
        </w:rPr>
      </w:pPr>
      <w:r>
        <w:rPr>
          <w:b/>
          <w:sz w:val="22"/>
          <w:szCs w:val="22"/>
        </w:rPr>
        <w:t>3</w:t>
      </w:r>
      <w:r w:rsidRPr="00995170">
        <w:rPr>
          <w:b/>
          <w:sz w:val="22"/>
          <w:szCs w:val="22"/>
        </w:rPr>
        <w:t xml:space="preserve"> pav. </w:t>
      </w:r>
      <w:r w:rsidRPr="00995170">
        <w:rPr>
          <w:sz w:val="22"/>
          <w:szCs w:val="22"/>
        </w:rPr>
        <w:t>Kasdien rūkančių respondentų pasiskirstymas Šiaulių ir Lietuvos tyrimų duomenimis (proc.)</w:t>
      </w:r>
    </w:p>
    <w:p w:rsidR="00995BE0" w:rsidRDefault="00995BE0" w:rsidP="008E467F">
      <w:pPr>
        <w:tabs>
          <w:tab w:val="left" w:pos="2850"/>
        </w:tabs>
      </w:pPr>
    </w:p>
    <w:p w:rsidR="00995BE0" w:rsidRDefault="00995BE0" w:rsidP="008E467F">
      <w:pPr>
        <w:tabs>
          <w:tab w:val="left" w:pos="2850"/>
        </w:tabs>
      </w:pPr>
    </w:p>
    <w:p w:rsidR="00995BE0" w:rsidRDefault="00995BE0" w:rsidP="008E467F">
      <w:pPr>
        <w:tabs>
          <w:tab w:val="left" w:pos="2850"/>
        </w:tabs>
      </w:pPr>
    </w:p>
    <w:p w:rsidR="00995BE0" w:rsidRDefault="00A54FAC" w:rsidP="008E467F">
      <w:pPr>
        <w:tabs>
          <w:tab w:val="left" w:pos="2850"/>
        </w:tabs>
      </w:pPr>
      <w:r>
        <w:rPr>
          <w:noProof/>
        </w:rPr>
        <w:lastRenderedPageBreak/>
        <w:drawing>
          <wp:anchor distT="0" distB="3048" distL="114300" distR="114300" simplePos="0" relativeHeight="251665408" behindDoc="0" locked="0" layoutInCell="1" allowOverlap="1">
            <wp:simplePos x="0" y="0"/>
            <wp:positionH relativeFrom="margin">
              <wp:align>center</wp:align>
            </wp:positionH>
            <wp:positionV relativeFrom="margin">
              <wp:posOffset>-49530</wp:posOffset>
            </wp:positionV>
            <wp:extent cx="6351905" cy="8217535"/>
            <wp:effectExtent l="0" t="0" r="635" b="0"/>
            <wp:wrapSquare wrapText="bothSides"/>
            <wp:docPr id="79" name="Objektas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anchor>
        </w:drawing>
      </w:r>
    </w:p>
    <w:p w:rsidR="00995BE0" w:rsidRDefault="00995BE0" w:rsidP="008E467F">
      <w:pPr>
        <w:spacing w:line="360" w:lineRule="auto"/>
        <w:jc w:val="center"/>
        <w:rPr>
          <w:sz w:val="22"/>
          <w:szCs w:val="22"/>
        </w:rPr>
      </w:pPr>
      <w:r w:rsidRPr="008A35A3">
        <w:rPr>
          <w:b/>
          <w:sz w:val="22"/>
          <w:szCs w:val="22"/>
        </w:rPr>
        <w:t>4 pav.</w:t>
      </w:r>
      <w:r w:rsidRPr="008A35A3">
        <w:rPr>
          <w:sz w:val="22"/>
          <w:szCs w:val="22"/>
        </w:rPr>
        <w:t xml:space="preserve"> Kiek kartų per savaitę vartojate tam tikrus maisto produktus (proc.)</w:t>
      </w:r>
    </w:p>
    <w:p w:rsidR="00995BE0" w:rsidRDefault="00995BE0" w:rsidP="008E467F">
      <w:pPr>
        <w:spacing w:line="360" w:lineRule="auto"/>
        <w:jc w:val="center"/>
        <w:rPr>
          <w:sz w:val="22"/>
          <w:szCs w:val="22"/>
        </w:rPr>
      </w:pPr>
    </w:p>
    <w:p w:rsidR="00995BE0" w:rsidRDefault="00995BE0" w:rsidP="008E467F">
      <w:pPr>
        <w:spacing w:line="360" w:lineRule="auto"/>
        <w:jc w:val="center"/>
        <w:rPr>
          <w:sz w:val="22"/>
          <w:szCs w:val="22"/>
        </w:rPr>
      </w:pPr>
    </w:p>
    <w:p w:rsidR="00995BE0" w:rsidRPr="0017770F" w:rsidRDefault="00A54FAC" w:rsidP="008E467F">
      <w:pPr>
        <w:spacing w:line="360" w:lineRule="auto"/>
        <w:jc w:val="center"/>
        <w:rPr>
          <w:b/>
        </w:rPr>
      </w:pPr>
      <w:r>
        <w:rPr>
          <w:b/>
          <w:noProof/>
        </w:rPr>
        <w:lastRenderedPageBreak/>
        <w:drawing>
          <wp:inline distT="0" distB="0" distL="0" distR="0">
            <wp:extent cx="5591175" cy="3069590"/>
            <wp:effectExtent l="0" t="0" r="0" b="0"/>
            <wp:docPr id="55" name="Objektas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995BE0" w:rsidRPr="000C5130" w:rsidRDefault="00995BE0" w:rsidP="008E467F">
      <w:pPr>
        <w:spacing w:line="360" w:lineRule="auto"/>
        <w:jc w:val="center"/>
        <w:rPr>
          <w:sz w:val="22"/>
          <w:szCs w:val="22"/>
        </w:rPr>
      </w:pPr>
      <w:r w:rsidRPr="000C5130">
        <w:rPr>
          <w:b/>
          <w:sz w:val="22"/>
          <w:szCs w:val="22"/>
        </w:rPr>
        <w:t xml:space="preserve">5 pav. </w:t>
      </w:r>
      <w:r w:rsidRPr="000C5130">
        <w:rPr>
          <w:sz w:val="22"/>
          <w:szCs w:val="22"/>
        </w:rPr>
        <w:t>Respondentų alkoholio gėrimo dažnis (proc.)</w:t>
      </w:r>
    </w:p>
    <w:p w:rsidR="00995BE0" w:rsidRDefault="00A54FAC" w:rsidP="008E467F">
      <w:pPr>
        <w:spacing w:line="360" w:lineRule="auto"/>
        <w:jc w:val="center"/>
        <w:rPr>
          <w:b/>
        </w:rPr>
      </w:pPr>
      <w:r>
        <w:rPr>
          <w:b/>
          <w:noProof/>
        </w:rPr>
        <w:drawing>
          <wp:inline distT="0" distB="0" distL="0" distR="0">
            <wp:extent cx="5160010" cy="2691130"/>
            <wp:effectExtent l="0" t="0" r="0" b="0"/>
            <wp:docPr id="56" name="Objektas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995BE0" w:rsidRPr="00F554E5" w:rsidRDefault="00995BE0" w:rsidP="008E467F">
      <w:pPr>
        <w:spacing w:line="360" w:lineRule="auto"/>
        <w:jc w:val="center"/>
        <w:rPr>
          <w:sz w:val="22"/>
          <w:szCs w:val="22"/>
        </w:rPr>
      </w:pPr>
      <w:r w:rsidRPr="00F554E5">
        <w:rPr>
          <w:b/>
          <w:sz w:val="22"/>
          <w:szCs w:val="22"/>
        </w:rPr>
        <w:t>6 pav</w:t>
      </w:r>
      <w:r w:rsidRPr="00F554E5">
        <w:rPr>
          <w:sz w:val="22"/>
          <w:szCs w:val="22"/>
        </w:rPr>
        <w:t>. Bet kokio alkoholinio gėrimo vartojimo dažnis, atsižvelgiant į lytį (proc.)</w:t>
      </w:r>
    </w:p>
    <w:p w:rsidR="00995BE0" w:rsidRPr="000C5130" w:rsidRDefault="00995BE0" w:rsidP="008E467F">
      <w:pPr>
        <w:spacing w:line="360" w:lineRule="auto"/>
        <w:jc w:val="center"/>
        <w:rPr>
          <w:sz w:val="22"/>
          <w:szCs w:val="22"/>
        </w:rPr>
      </w:pPr>
    </w:p>
    <w:p w:rsidR="00995BE0" w:rsidRPr="0017770F" w:rsidRDefault="00A54FAC" w:rsidP="008E467F">
      <w:pPr>
        <w:jc w:val="center"/>
        <w:rPr>
          <w:b/>
        </w:rPr>
      </w:pPr>
      <w:r>
        <w:rPr>
          <w:b/>
          <w:caps/>
          <w:noProof/>
          <w:bdr w:val="single" w:sz="4" w:space="0" w:color="auto"/>
        </w:rPr>
        <w:drawing>
          <wp:inline distT="0" distB="0" distL="0" distR="0">
            <wp:extent cx="4545965" cy="1685290"/>
            <wp:effectExtent l="0" t="0" r="0" b="0"/>
            <wp:docPr id="57" name="Objektas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995BE0" w:rsidRPr="00CF28B7" w:rsidRDefault="00995BE0" w:rsidP="008E467F">
      <w:pPr>
        <w:jc w:val="center"/>
        <w:rPr>
          <w:sz w:val="22"/>
          <w:szCs w:val="22"/>
        </w:rPr>
      </w:pPr>
      <w:r w:rsidRPr="00CF28B7">
        <w:rPr>
          <w:b/>
          <w:sz w:val="22"/>
          <w:szCs w:val="22"/>
        </w:rPr>
        <w:t>7 pav</w:t>
      </w:r>
      <w:r w:rsidRPr="00CF28B7">
        <w:rPr>
          <w:sz w:val="22"/>
          <w:szCs w:val="22"/>
        </w:rPr>
        <w:t>. Laikas, sugaištas per dieną einant ar važiuojant dviračiu į darbą ir atgal, atsižvelgiant į amžių (proc.)</w:t>
      </w:r>
    </w:p>
    <w:p w:rsidR="00995BE0" w:rsidRPr="0017770F" w:rsidRDefault="00A54FAC" w:rsidP="008E467F">
      <w:pPr>
        <w:jc w:val="center"/>
        <w:rPr>
          <w:b/>
        </w:rPr>
      </w:pPr>
      <w:r>
        <w:rPr>
          <w:b/>
          <w:noProof/>
          <w:bdr w:val="single" w:sz="4" w:space="0" w:color="auto"/>
        </w:rPr>
        <w:lastRenderedPageBreak/>
        <w:drawing>
          <wp:inline distT="0" distB="0" distL="0" distR="0">
            <wp:extent cx="4650105" cy="2638425"/>
            <wp:effectExtent l="0" t="0" r="0" b="0"/>
            <wp:docPr id="58" name="Objektas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995BE0" w:rsidRDefault="00995BE0" w:rsidP="008E467F">
      <w:pPr>
        <w:ind w:left="1134" w:right="1133"/>
        <w:jc w:val="center"/>
        <w:rPr>
          <w:sz w:val="22"/>
          <w:szCs w:val="22"/>
        </w:rPr>
      </w:pPr>
      <w:r w:rsidRPr="00CF28B7">
        <w:rPr>
          <w:b/>
          <w:sz w:val="22"/>
          <w:szCs w:val="22"/>
        </w:rPr>
        <w:t>8 pav.</w:t>
      </w:r>
      <w:r w:rsidRPr="00CF28B7">
        <w:rPr>
          <w:sz w:val="22"/>
          <w:szCs w:val="22"/>
        </w:rPr>
        <w:t xml:space="preserve">  Miesto gyventojai, kurie  laisvalaikiu mankštinasi mažiausiai 30 min. taip, kad pagreitėtų kvėpavimas ir suprakaituotų, atsižvelgiant į lytį (proc.)</w:t>
      </w:r>
    </w:p>
    <w:p w:rsidR="00995BE0" w:rsidRPr="00CF28B7" w:rsidRDefault="00995BE0" w:rsidP="008E467F">
      <w:pPr>
        <w:ind w:left="1134" w:right="1133"/>
        <w:jc w:val="center"/>
        <w:rPr>
          <w:sz w:val="22"/>
          <w:szCs w:val="22"/>
        </w:rPr>
      </w:pPr>
    </w:p>
    <w:p w:rsidR="00995BE0" w:rsidRPr="0017770F" w:rsidRDefault="00A54FAC" w:rsidP="008E467F">
      <w:pPr>
        <w:jc w:val="center"/>
        <w:rPr>
          <w:b/>
        </w:rPr>
      </w:pPr>
      <w:r>
        <w:rPr>
          <w:b/>
          <w:noProof/>
          <w:bdr w:val="single" w:sz="4" w:space="0" w:color="auto"/>
        </w:rPr>
        <w:drawing>
          <wp:inline distT="0" distB="0" distL="0" distR="0">
            <wp:extent cx="4245610" cy="1763395"/>
            <wp:effectExtent l="0" t="0" r="0" b="0"/>
            <wp:docPr id="59" name="Objektas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995BE0" w:rsidRDefault="00995BE0" w:rsidP="008E467F">
      <w:pPr>
        <w:jc w:val="center"/>
        <w:rPr>
          <w:sz w:val="22"/>
          <w:szCs w:val="22"/>
        </w:rPr>
      </w:pPr>
      <w:r w:rsidRPr="0052077F">
        <w:rPr>
          <w:b/>
          <w:sz w:val="22"/>
          <w:szCs w:val="22"/>
        </w:rPr>
        <w:t>9 pav.</w:t>
      </w:r>
      <w:r w:rsidRPr="0052077F">
        <w:rPr>
          <w:sz w:val="22"/>
          <w:szCs w:val="22"/>
        </w:rPr>
        <w:t xml:space="preserve"> Ar per praėjusius 12</w:t>
      </w:r>
      <w:r>
        <w:rPr>
          <w:sz w:val="22"/>
          <w:szCs w:val="22"/>
        </w:rPr>
        <w:t xml:space="preserve"> </w:t>
      </w:r>
      <w:r w:rsidRPr="0052077F">
        <w:rPr>
          <w:sz w:val="22"/>
          <w:szCs w:val="22"/>
        </w:rPr>
        <w:t>mėn. respondentas pastebėjo ką nors iš draugų vairuojant išgėrus, atsižvelgiant į lytį (proc.)</w:t>
      </w:r>
    </w:p>
    <w:p w:rsidR="00995BE0" w:rsidRPr="0052077F" w:rsidRDefault="00995BE0" w:rsidP="008E467F">
      <w:pPr>
        <w:jc w:val="center"/>
        <w:rPr>
          <w:sz w:val="22"/>
          <w:szCs w:val="22"/>
        </w:rPr>
      </w:pPr>
    </w:p>
    <w:p w:rsidR="00995BE0" w:rsidRDefault="00A54FAC" w:rsidP="008E467F">
      <w:pPr>
        <w:jc w:val="center"/>
        <w:rPr>
          <w:noProof/>
          <w:bdr w:val="single" w:sz="4" w:space="0" w:color="auto"/>
        </w:rPr>
      </w:pPr>
      <w:r>
        <w:rPr>
          <w:noProof/>
          <w:bdr w:val="single" w:sz="4" w:space="0" w:color="auto"/>
        </w:rPr>
        <w:drawing>
          <wp:inline distT="0" distB="0" distL="0" distR="0">
            <wp:extent cx="5564505" cy="3474720"/>
            <wp:effectExtent l="0" t="0" r="0" b="0"/>
            <wp:docPr id="60" name="Objektas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995BE0" w:rsidRPr="006F0A1F" w:rsidRDefault="00995BE0" w:rsidP="008E467F">
      <w:pPr>
        <w:jc w:val="center"/>
        <w:rPr>
          <w:sz w:val="22"/>
          <w:szCs w:val="22"/>
        </w:rPr>
      </w:pPr>
      <w:r w:rsidRPr="006F0A1F">
        <w:rPr>
          <w:b/>
          <w:sz w:val="22"/>
          <w:szCs w:val="22"/>
        </w:rPr>
        <w:t>10 pav.</w:t>
      </w:r>
      <w:r w:rsidRPr="006F0A1F">
        <w:rPr>
          <w:sz w:val="22"/>
          <w:szCs w:val="22"/>
        </w:rPr>
        <w:t xml:space="preserve"> Veiksniai, kurie respondentų nuomone yra svarbiausios didelio Lietuvos gyventojų sergamumo priežastys, atsižvelgiant į lytį (proc.)</w:t>
      </w:r>
    </w:p>
    <w:p w:rsidR="00995BE0" w:rsidRDefault="00995BE0" w:rsidP="008E467F">
      <w:pPr>
        <w:spacing w:line="360" w:lineRule="auto"/>
        <w:jc w:val="right"/>
        <w:rPr>
          <w:b/>
        </w:rPr>
      </w:pPr>
      <w:r w:rsidRPr="00DA7E8C">
        <w:rPr>
          <w:b/>
        </w:rPr>
        <w:lastRenderedPageBreak/>
        <w:t>11 priedas</w:t>
      </w:r>
    </w:p>
    <w:p w:rsidR="00995BE0" w:rsidRDefault="00995BE0" w:rsidP="008E467F">
      <w:pPr>
        <w:spacing w:line="360" w:lineRule="auto"/>
        <w:jc w:val="center"/>
        <w:rPr>
          <w:b/>
        </w:rPr>
      </w:pPr>
      <w:r>
        <w:rPr>
          <w:b/>
        </w:rPr>
        <w:t>Šiaulių m. sav. VS biuro bendradarbiavimas</w:t>
      </w:r>
    </w:p>
    <w:p w:rsidR="00995BE0" w:rsidRDefault="00995BE0" w:rsidP="006A3036">
      <w:pPr>
        <w:spacing w:line="360" w:lineRule="auto"/>
        <w:rPr>
          <w:b/>
        </w:rPr>
      </w:pPr>
      <w:r>
        <w:rPr>
          <w:b/>
        </w:rPr>
        <w:t xml:space="preserve"> stebėsenos srityje:</w:t>
      </w:r>
    </w:p>
    <w:p w:rsidR="00995BE0" w:rsidRPr="001D71BB" w:rsidRDefault="00995BE0" w:rsidP="008E467F">
      <w:pPr>
        <w:numPr>
          <w:ilvl w:val="0"/>
          <w:numId w:val="12"/>
        </w:numPr>
        <w:spacing w:line="360" w:lineRule="auto"/>
      </w:pPr>
      <w:r w:rsidRPr="001D71BB">
        <w:t>Šiaulių miesto vyriausiuoju policijos komisariatu.</w:t>
      </w:r>
    </w:p>
    <w:p w:rsidR="00995BE0" w:rsidRPr="001D71BB" w:rsidRDefault="00995BE0" w:rsidP="008E467F">
      <w:pPr>
        <w:numPr>
          <w:ilvl w:val="0"/>
          <w:numId w:val="12"/>
        </w:numPr>
        <w:spacing w:line="360" w:lineRule="auto"/>
      </w:pPr>
      <w:r w:rsidRPr="001D71BB">
        <w:t>Šiaulių apskrities visuomenės sveikatos centru.</w:t>
      </w:r>
    </w:p>
    <w:p w:rsidR="00995BE0" w:rsidRPr="001D71BB" w:rsidRDefault="00995BE0" w:rsidP="008E467F">
      <w:pPr>
        <w:numPr>
          <w:ilvl w:val="0"/>
          <w:numId w:val="12"/>
        </w:numPr>
        <w:spacing w:line="360" w:lineRule="auto"/>
        <w:jc w:val="both"/>
      </w:pPr>
      <w:r w:rsidRPr="001D71BB">
        <w:t>Lietuvos Respublikos aplinkos ministerijos Šiaulių regiono aplinkos apsaugos departamento Šiaulių miesto agentūra.</w:t>
      </w:r>
    </w:p>
    <w:p w:rsidR="00995BE0" w:rsidRPr="001D71BB" w:rsidRDefault="00995BE0" w:rsidP="008E467F">
      <w:pPr>
        <w:numPr>
          <w:ilvl w:val="0"/>
          <w:numId w:val="12"/>
        </w:numPr>
        <w:spacing w:line="360" w:lineRule="auto"/>
      </w:pPr>
      <w:r w:rsidRPr="001D71BB">
        <w:t>Užkrečiamų ligų ir AIDS centru.</w:t>
      </w:r>
    </w:p>
    <w:p w:rsidR="00995BE0" w:rsidRPr="001D71BB" w:rsidRDefault="00995BE0" w:rsidP="008E467F">
      <w:pPr>
        <w:numPr>
          <w:ilvl w:val="0"/>
          <w:numId w:val="12"/>
        </w:numPr>
        <w:spacing w:line="360" w:lineRule="auto"/>
      </w:pPr>
      <w:r w:rsidRPr="001D71BB">
        <w:t>Šiaulių teritorine ligonių kasa.</w:t>
      </w:r>
    </w:p>
    <w:p w:rsidR="00995BE0" w:rsidRDefault="00995BE0" w:rsidP="008E467F">
      <w:pPr>
        <w:spacing w:line="360" w:lineRule="auto"/>
        <w:jc w:val="right"/>
        <w:rPr>
          <w:b/>
        </w:rPr>
      </w:pPr>
    </w:p>
    <w:p w:rsidR="00995BE0" w:rsidRPr="00DA7E8C" w:rsidRDefault="00995BE0" w:rsidP="008E467F">
      <w:pPr>
        <w:jc w:val="center"/>
        <w:rPr>
          <w:b/>
        </w:rPr>
      </w:pPr>
      <w:r>
        <w:rPr>
          <w:b/>
        </w:rPr>
        <w:t>Nevyriausybinės organizacijomis, su kuriomis bendradarbiauja Šiaulių m. sav. visuomenės sveikatos biuras</w:t>
      </w:r>
    </w:p>
    <w:p w:rsidR="00995BE0" w:rsidRPr="000C595F" w:rsidRDefault="00995BE0" w:rsidP="008E467F">
      <w:pPr>
        <w:jc w:val="center"/>
        <w:rPr>
          <w:b/>
        </w:rPr>
      </w:pPr>
    </w:p>
    <w:p w:rsidR="00995BE0" w:rsidRDefault="00995BE0" w:rsidP="008E467F">
      <w:pPr>
        <w:numPr>
          <w:ilvl w:val="0"/>
          <w:numId w:val="21"/>
        </w:numPr>
        <w:spacing w:line="360" w:lineRule="auto"/>
      </w:pPr>
      <w:r>
        <w:t>Šiaulių Trečiojo Amžiaus Universitetas.</w:t>
      </w:r>
    </w:p>
    <w:p w:rsidR="00995BE0" w:rsidRDefault="00995BE0" w:rsidP="008E467F">
      <w:pPr>
        <w:numPr>
          <w:ilvl w:val="0"/>
          <w:numId w:val="21"/>
        </w:numPr>
        <w:spacing w:line="360" w:lineRule="auto"/>
      </w:pPr>
      <w:r>
        <w:t>,,Mediko“ sporto klubas. </w:t>
      </w:r>
    </w:p>
    <w:p w:rsidR="00995BE0" w:rsidRDefault="00995BE0" w:rsidP="008E467F">
      <w:pPr>
        <w:numPr>
          <w:ilvl w:val="0"/>
          <w:numId w:val="21"/>
        </w:numPr>
        <w:spacing w:line="360" w:lineRule="auto"/>
      </w:pPr>
      <w:r>
        <w:t>Šiaulių sporto veteranų klubas.</w:t>
      </w:r>
    </w:p>
    <w:p w:rsidR="00995BE0" w:rsidRDefault="00995BE0" w:rsidP="008E467F">
      <w:pPr>
        <w:numPr>
          <w:ilvl w:val="0"/>
          <w:numId w:val="21"/>
        </w:numPr>
        <w:spacing w:line="360" w:lineRule="auto"/>
      </w:pPr>
      <w:r>
        <w:t>Lietuvos aklųjų ir silpnaregių sąjungos Šiaulių miesto ir rajono filialas.</w:t>
      </w:r>
    </w:p>
    <w:p w:rsidR="00995BE0" w:rsidRDefault="00995BE0" w:rsidP="008E467F">
      <w:pPr>
        <w:numPr>
          <w:ilvl w:val="0"/>
          <w:numId w:val="21"/>
        </w:numPr>
        <w:spacing w:line="360" w:lineRule="auto"/>
      </w:pPr>
      <w:r>
        <w:t>Mokytojų pensininkų klubas ,,Šviesa“.</w:t>
      </w:r>
    </w:p>
    <w:p w:rsidR="00995BE0" w:rsidRDefault="00995BE0" w:rsidP="008E467F">
      <w:pPr>
        <w:numPr>
          <w:ilvl w:val="0"/>
          <w:numId w:val="21"/>
        </w:numPr>
        <w:spacing w:line="360" w:lineRule="auto"/>
      </w:pPr>
      <w:r>
        <w:t>Pagyvenusių žmonių asociacija.</w:t>
      </w:r>
    </w:p>
    <w:p w:rsidR="00995BE0" w:rsidRDefault="00995BE0" w:rsidP="008E467F">
      <w:pPr>
        <w:numPr>
          <w:ilvl w:val="0"/>
          <w:numId w:val="21"/>
        </w:numPr>
        <w:spacing w:line="360" w:lineRule="auto"/>
      </w:pPr>
      <w:r>
        <w:t>Šiaulių miesto klubas ,,Globa“</w:t>
      </w:r>
    </w:p>
    <w:p w:rsidR="00995BE0" w:rsidRDefault="00995BE0" w:rsidP="008E467F">
      <w:pPr>
        <w:numPr>
          <w:ilvl w:val="0"/>
          <w:numId w:val="21"/>
        </w:numPr>
        <w:spacing w:line="360" w:lineRule="auto"/>
      </w:pPr>
      <w:r>
        <w:t>Šiaulių žmonių su negalia klubas „Židinys“.</w:t>
      </w:r>
    </w:p>
    <w:p w:rsidR="00995BE0" w:rsidRDefault="00995BE0" w:rsidP="008E467F">
      <w:pPr>
        <w:numPr>
          <w:ilvl w:val="0"/>
          <w:numId w:val="21"/>
        </w:numPr>
        <w:spacing w:line="360" w:lineRule="auto"/>
      </w:pPr>
      <w:r>
        <w:t>Šiaulių inkstų ligomis sergančiųjų draugija „Atgaja“.</w:t>
      </w:r>
    </w:p>
    <w:p w:rsidR="00995BE0" w:rsidRDefault="00995BE0" w:rsidP="008E467F">
      <w:pPr>
        <w:numPr>
          <w:ilvl w:val="0"/>
          <w:numId w:val="21"/>
        </w:numPr>
        <w:spacing w:line="360" w:lineRule="auto"/>
      </w:pPr>
      <w:r>
        <w:t>Šiaulių krašto žmonių, sergančių cukriniu diabetu, klubas ,,Lemtis“.</w:t>
      </w:r>
    </w:p>
    <w:p w:rsidR="00995BE0" w:rsidRDefault="00995BE0" w:rsidP="008E467F">
      <w:pPr>
        <w:numPr>
          <w:ilvl w:val="0"/>
          <w:numId w:val="21"/>
        </w:numPr>
        <w:spacing w:line="360" w:lineRule="auto"/>
      </w:pPr>
      <w:r>
        <w:t>Šiaulių kaulų, raumenų, sąnarių ligomis sergančiųjų draugija „Artis“.</w:t>
      </w:r>
    </w:p>
    <w:p w:rsidR="00995BE0" w:rsidRDefault="00995BE0" w:rsidP="008E467F">
      <w:pPr>
        <w:numPr>
          <w:ilvl w:val="0"/>
          <w:numId w:val="21"/>
        </w:numPr>
        <w:spacing w:line="360" w:lineRule="auto"/>
      </w:pPr>
      <w:r>
        <w:t>Šiaulių miesto asmenų su psichine negalia klubas „Dvasinė šiluma“.</w:t>
      </w:r>
    </w:p>
    <w:p w:rsidR="00995BE0" w:rsidRDefault="00995BE0" w:rsidP="008E467F">
      <w:pPr>
        <w:numPr>
          <w:ilvl w:val="0"/>
          <w:numId w:val="21"/>
        </w:numPr>
        <w:spacing w:line="360" w:lineRule="auto"/>
      </w:pPr>
      <w:r>
        <w:t>Šiaulių širdininkų klubas.</w:t>
      </w:r>
    </w:p>
    <w:p w:rsidR="00995BE0" w:rsidRDefault="00995BE0" w:rsidP="008E467F">
      <w:pPr>
        <w:numPr>
          <w:ilvl w:val="0"/>
          <w:numId w:val="21"/>
        </w:numPr>
        <w:spacing w:line="360" w:lineRule="auto"/>
      </w:pPr>
      <w:r>
        <w:t>Sveikos gyvensenos klubas „Šviesuoliai“.</w:t>
      </w:r>
    </w:p>
    <w:p w:rsidR="00995BE0" w:rsidRDefault="00995BE0" w:rsidP="008E467F">
      <w:pPr>
        <w:numPr>
          <w:ilvl w:val="0"/>
          <w:numId w:val="21"/>
        </w:numPr>
        <w:spacing w:line="360" w:lineRule="auto"/>
      </w:pPr>
      <w:r>
        <w:t>Psichologinis kūrybinis jaunimo centras.</w:t>
      </w: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center"/>
        <w:rPr>
          <w:b/>
          <w:lang w:val="pt-BR"/>
        </w:rPr>
      </w:pPr>
    </w:p>
    <w:p w:rsidR="00995BE0" w:rsidRDefault="00995BE0" w:rsidP="008E467F">
      <w:pPr>
        <w:jc w:val="right"/>
        <w:rPr>
          <w:b/>
          <w:lang w:val="pt-BR"/>
        </w:rPr>
      </w:pPr>
    </w:p>
    <w:p w:rsidR="00995BE0" w:rsidRDefault="00995BE0" w:rsidP="008E467F">
      <w:pPr>
        <w:jc w:val="right"/>
        <w:rPr>
          <w:b/>
          <w:lang w:val="pt-BR"/>
        </w:rPr>
      </w:pPr>
    </w:p>
    <w:p w:rsidR="00995BE0" w:rsidRDefault="00995BE0" w:rsidP="008E467F">
      <w:pPr>
        <w:jc w:val="right"/>
        <w:rPr>
          <w:b/>
          <w:lang w:val="pt-BR"/>
        </w:rPr>
      </w:pPr>
      <w:r>
        <w:rPr>
          <w:b/>
          <w:lang w:val="pt-BR"/>
        </w:rPr>
        <w:t>12 priedas</w:t>
      </w:r>
    </w:p>
    <w:p w:rsidR="00995BE0" w:rsidRDefault="00995BE0" w:rsidP="008E467F">
      <w:pPr>
        <w:jc w:val="right"/>
        <w:rPr>
          <w:b/>
          <w:lang w:val="pt-BR"/>
        </w:rPr>
      </w:pPr>
    </w:p>
    <w:p w:rsidR="00995BE0" w:rsidRPr="001D71BB" w:rsidRDefault="00995BE0" w:rsidP="008E467F">
      <w:pPr>
        <w:suppressAutoHyphens/>
        <w:ind w:right="40" w:firstLine="567"/>
        <w:jc w:val="center"/>
      </w:pPr>
      <w:r>
        <w:rPr>
          <w:b/>
        </w:rPr>
        <w:t>P</w:t>
      </w:r>
      <w:r w:rsidRPr="001D71BB">
        <w:rPr>
          <w:b/>
        </w:rPr>
        <w:t>agrindinės problemos susijusios su visuomenės sveikatos funkcijų finansavimu savivaldybėse</w:t>
      </w:r>
      <w:r w:rsidRPr="001D71BB">
        <w:t>:</w:t>
      </w:r>
    </w:p>
    <w:p w:rsidR="00995BE0" w:rsidRPr="000C595F" w:rsidRDefault="00995BE0" w:rsidP="008E467F">
      <w:pPr>
        <w:jc w:val="center"/>
        <w:rPr>
          <w:b/>
        </w:rPr>
      </w:pPr>
    </w:p>
    <w:p w:rsidR="00995BE0" w:rsidRPr="001D71BB" w:rsidRDefault="00995BE0" w:rsidP="008E467F">
      <w:pPr>
        <w:tabs>
          <w:tab w:val="left" w:pos="851"/>
        </w:tabs>
        <w:suppressAutoHyphens/>
        <w:spacing w:line="360" w:lineRule="auto"/>
        <w:ind w:right="40" w:firstLine="567"/>
        <w:jc w:val="both"/>
      </w:pPr>
      <w:r w:rsidRPr="001D71BB">
        <w:t>Nuo 2007 metų savivaldybėms ir savivaldybių visuomenės sveikatos biurams buvo nuolat akcentuojama, kad visuomenės sveikatos funkcijos bus finansuojamos valstybės biudžeto lėšomis</w:t>
      </w:r>
      <w:r w:rsidRPr="001D71BB">
        <w:rPr>
          <w:i/>
        </w:rPr>
        <w:t>.</w:t>
      </w:r>
      <w:r w:rsidRPr="001D71BB">
        <w:t xml:space="preserve"> Nuo 2008 metų vadovaujantis anksčiau minėtu Vyriausybės nutarimu Savivaldybės užtikrina ne mažiau kaip trečdalį visuomenės sveikatos priežiūrai savivaldybėje per visuomenės sveikatos biurą skiriamo finansavimo, valstybė įsipareigojo skirti 2/3 savivaldybės skirtų asignavimų visuomenės sveikatos priežiūros funkcijoms vykdyti. Tačiau jau 2009 m. šios proporcijos nebuvo išlaikytos, finansavimas iš LR sveikatos apsaugos ministerijos sumažėjo 50 procentų. Jau 2009 m. biurų darbuotojams, siekiant išlaikyti darbo vietas buvo siūloma eiti neapmokamų atostogų, mažinti etatus, nors daugumoje biurų remiantis teisės aktais dirba minimalus darbuotojų skaičius. </w:t>
      </w:r>
    </w:p>
    <w:p w:rsidR="00995BE0" w:rsidRPr="001D71BB" w:rsidRDefault="00995BE0" w:rsidP="008E467F">
      <w:pPr>
        <w:tabs>
          <w:tab w:val="left" w:pos="851"/>
        </w:tabs>
        <w:suppressAutoHyphens/>
        <w:spacing w:line="360" w:lineRule="auto"/>
        <w:ind w:right="40" w:firstLine="567"/>
        <w:jc w:val="both"/>
      </w:pPr>
      <w:r w:rsidRPr="001D71BB">
        <w:rPr>
          <w:i/>
        </w:rPr>
        <w:t>2010 m. bendras finansavimas biurams yra iki šiol nežinomas</w:t>
      </w:r>
      <w:r w:rsidRPr="001D71BB">
        <w:t>, informacija nėra pateikta nei savivaldybėms nei biurams. Savivaldybės savo finansavimo dalį Biurams mažina net iki 20 procentų, kai kurios Savivaldybės išlaiko 2009 m. lygį. Tai parodo, kad savivaldybės savo kaip steigėjo atsakomybės neatsisako. Jeigu 2010 m. finansavimas nebus teikiamas iš valstybės arba bus mažinamas, Biurų išlikimas tampa neaiškus ir komplikuotas, o jų finansavimas 2010 m. bendrai gali sumažėti net 70 procentų.</w:t>
      </w:r>
    </w:p>
    <w:p w:rsidR="00995BE0" w:rsidRPr="001D71BB" w:rsidRDefault="00995BE0" w:rsidP="008E467F">
      <w:pPr>
        <w:tabs>
          <w:tab w:val="left" w:pos="851"/>
        </w:tabs>
        <w:suppressAutoHyphens/>
        <w:spacing w:line="360" w:lineRule="auto"/>
        <w:ind w:right="40" w:firstLine="567"/>
        <w:jc w:val="both"/>
      </w:pPr>
      <w:r w:rsidRPr="001D71BB">
        <w:t xml:space="preserve">2008 – 2010 m. situacija rodo, kad pirmame ketvirtyje savivaldybės, nežino kokios lėšos iš valstybės bus skiriamos funkcijų vykdymui. </w:t>
      </w:r>
      <w:r w:rsidRPr="001D71BB">
        <w:rPr>
          <w:i/>
        </w:rPr>
        <w:t>Lėšos paaiškėja tik antrame ar net trečiame ketvirtyje.</w:t>
      </w:r>
      <w:r w:rsidRPr="001D71BB">
        <w:t xml:space="preserve"> Finansavimas skiriamas iš valstybės minimaliai ir antras lėšų paskirstymas įstaigas pasiekia tik spalio, lapkričio mėnesį. Iki to laikotarpio įstaigos įsiskolina savo darbuotojams, tiekėjams. Pagal viešųjų pirkimų įstatymus įstaigos privalo iki kovo 15 d. pateikti pirkimo planus, tačiau tai atlikti neįmanoma dėl nežinojimo, kokios lėšos bus skiriamos veiklai, programų vykdymui. Kiekvienas Biuras turi įstaigos metinius veiklos planus, tačiau neaiškus, netolygus, nepakankamas ir nesavalaikis finansavimas neužtikrina normalios įstaigos veiklos ir sistemingo visuomenės sveikatos funkcijų vykdymo.</w:t>
      </w:r>
    </w:p>
    <w:p w:rsidR="00995BE0" w:rsidRPr="001D71BB" w:rsidRDefault="00995BE0" w:rsidP="008E467F">
      <w:pPr>
        <w:tabs>
          <w:tab w:val="left" w:pos="851"/>
        </w:tabs>
        <w:suppressAutoHyphens/>
        <w:spacing w:line="360" w:lineRule="auto"/>
        <w:ind w:right="40" w:firstLine="567"/>
        <w:jc w:val="both"/>
      </w:pPr>
      <w:r w:rsidRPr="001D71BB">
        <w:t xml:space="preserve">Nuo 2007 m. nėra žinoma ar yra metodikų, reglamentuojančių valstybės biudžeto lėšų paskirstymo savivaldybėms visuomenės sveikatos funkcijoms vykdyti. Iki šiol yra neaišku, kokiais kriterijais remiantis yra paskirstomos valstybės lėšos savivaldybėms visuomenės sveikatos funkcijų vykdymui. Dėl to savivaldybės negali planuoti prisidėjimo, trečius metus iš eilės, visuomenės sveikatos biuruose dirbantys asmenys yra nežinomybėje dėl darbo vietų perspektyvų. </w:t>
      </w:r>
    </w:p>
    <w:p w:rsidR="00995BE0" w:rsidRPr="000C595F" w:rsidRDefault="00995BE0" w:rsidP="008E467F">
      <w:pPr>
        <w:jc w:val="center"/>
        <w:rPr>
          <w:b/>
        </w:rPr>
      </w:pPr>
    </w:p>
    <w:p w:rsidR="00995BE0" w:rsidRDefault="00995BE0" w:rsidP="008E467F">
      <w:pPr>
        <w:jc w:val="center"/>
        <w:rPr>
          <w:b/>
        </w:rPr>
      </w:pPr>
    </w:p>
    <w:p w:rsidR="00995BE0" w:rsidRPr="000C595F" w:rsidRDefault="00995BE0" w:rsidP="008E467F">
      <w:pPr>
        <w:jc w:val="center"/>
        <w:rPr>
          <w:b/>
        </w:rPr>
      </w:pPr>
    </w:p>
    <w:p w:rsidR="00995BE0" w:rsidRDefault="00995BE0" w:rsidP="008E467F">
      <w:pPr>
        <w:jc w:val="right"/>
        <w:rPr>
          <w:b/>
        </w:rPr>
      </w:pPr>
      <w:r>
        <w:rPr>
          <w:b/>
        </w:rPr>
        <w:lastRenderedPageBreak/>
        <w:t>13 priedas</w:t>
      </w:r>
    </w:p>
    <w:p w:rsidR="00995BE0" w:rsidRDefault="00995BE0" w:rsidP="008E467F">
      <w:pPr>
        <w:jc w:val="right"/>
        <w:rPr>
          <w:b/>
        </w:rPr>
      </w:pPr>
    </w:p>
    <w:p w:rsidR="00995BE0" w:rsidRDefault="00995BE0" w:rsidP="008E467F">
      <w:pPr>
        <w:jc w:val="center"/>
        <w:rPr>
          <w:b/>
        </w:rPr>
      </w:pPr>
      <w:r w:rsidRPr="002443DE">
        <w:rPr>
          <w:b/>
        </w:rPr>
        <w:t>12 kriterijų, kuriais  vadovaujasi visos vaikų ugdymo institucijos, siekdamos įgyvendinti projekte numatytus uždavinius bei rengdamos konkrečius veiklos planus</w:t>
      </w:r>
    </w:p>
    <w:p w:rsidR="00995BE0" w:rsidRPr="002443DE" w:rsidRDefault="00995BE0" w:rsidP="008E467F">
      <w:pPr>
        <w:jc w:val="center"/>
        <w:rPr>
          <w:b/>
        </w:rPr>
      </w:pPr>
    </w:p>
    <w:p w:rsidR="00995BE0" w:rsidRPr="001D71BB" w:rsidRDefault="00995BE0" w:rsidP="008E467F">
      <w:pPr>
        <w:spacing w:line="360" w:lineRule="auto"/>
        <w:ind w:firstLine="567"/>
        <w:jc w:val="both"/>
      </w:pPr>
      <w:r w:rsidRPr="001D71BB">
        <w:t xml:space="preserve">1. Kiekvieno asmeninės vertės bei svarbos pajutimas sveikatos ugdymo srityje. </w:t>
      </w:r>
    </w:p>
    <w:p w:rsidR="00995BE0" w:rsidRPr="001D71BB" w:rsidRDefault="00995BE0" w:rsidP="008E467F">
      <w:pPr>
        <w:spacing w:line="360" w:lineRule="auto"/>
        <w:ind w:firstLine="567"/>
        <w:jc w:val="both"/>
      </w:pPr>
      <w:r w:rsidRPr="001D71BB">
        <w:t xml:space="preserve">2. Geros, pasitikėjimą keliančios atmosferos mokykloje sukūrimas. </w:t>
      </w:r>
    </w:p>
    <w:p w:rsidR="00995BE0" w:rsidRPr="001D71BB" w:rsidRDefault="00995BE0" w:rsidP="008E467F">
      <w:pPr>
        <w:spacing w:line="360" w:lineRule="auto"/>
        <w:ind w:firstLine="567"/>
        <w:jc w:val="both"/>
      </w:pPr>
      <w:r w:rsidRPr="001D71BB">
        <w:t xml:space="preserve">3. Stimulų, lemiančių visų moksleivių dalyvavimą, sukūrimas. </w:t>
      </w:r>
    </w:p>
    <w:p w:rsidR="00995BE0" w:rsidRPr="001D71BB" w:rsidRDefault="00995BE0" w:rsidP="008E467F">
      <w:pPr>
        <w:spacing w:line="360" w:lineRule="auto"/>
        <w:ind w:firstLine="567"/>
        <w:jc w:val="both"/>
      </w:pPr>
      <w:r w:rsidRPr="001D71BB">
        <w:t>4. Kiekvienos galimybės gerinti mokymosi sąlygas išnaudojimas.</w:t>
      </w:r>
    </w:p>
    <w:p w:rsidR="00995BE0" w:rsidRPr="001D71BB" w:rsidRDefault="00995BE0" w:rsidP="008E467F">
      <w:pPr>
        <w:spacing w:line="360" w:lineRule="auto"/>
        <w:ind w:firstLine="567"/>
        <w:jc w:val="both"/>
      </w:pPr>
      <w:r w:rsidRPr="001D71BB">
        <w:t xml:space="preserve">5. Mokyklai keliamų socialinių tikslų supratimas. </w:t>
      </w:r>
    </w:p>
    <w:p w:rsidR="00995BE0" w:rsidRPr="001D71BB" w:rsidRDefault="00995BE0" w:rsidP="008E467F">
      <w:pPr>
        <w:spacing w:line="360" w:lineRule="auto"/>
        <w:ind w:firstLine="567"/>
        <w:jc w:val="both"/>
      </w:pPr>
      <w:r w:rsidRPr="001D71BB">
        <w:t xml:space="preserve">6. Gerų santykių ne tik mokykloje, bet ir šeimoje bei bendruomenėje, kūrimas. </w:t>
      </w:r>
    </w:p>
    <w:p w:rsidR="00995BE0" w:rsidRPr="001D71BB" w:rsidRDefault="00995BE0" w:rsidP="008E467F">
      <w:pPr>
        <w:spacing w:line="360" w:lineRule="auto"/>
        <w:ind w:firstLine="567"/>
        <w:jc w:val="both"/>
      </w:pPr>
      <w:r w:rsidRPr="001D71BB">
        <w:t xml:space="preserve">7. Ryšių tarp pradinių ir vidurinių mokyklų formavimas, siekiant sukurti nuoseklią sveikatos ugdymo sistemą. </w:t>
      </w:r>
    </w:p>
    <w:p w:rsidR="00995BE0" w:rsidRPr="001D71BB" w:rsidRDefault="00995BE0" w:rsidP="008E467F">
      <w:pPr>
        <w:spacing w:line="360" w:lineRule="auto"/>
        <w:ind w:firstLine="567"/>
        <w:jc w:val="both"/>
      </w:pPr>
      <w:r w:rsidRPr="001D71BB">
        <w:t xml:space="preserve">8. Visos mokyklos bendruomenės sveikatos ir gerovės lygio kėlimas. </w:t>
      </w:r>
    </w:p>
    <w:p w:rsidR="00995BE0" w:rsidRPr="001D71BB" w:rsidRDefault="00995BE0" w:rsidP="008E467F">
      <w:pPr>
        <w:spacing w:line="360" w:lineRule="auto"/>
        <w:ind w:firstLine="567"/>
        <w:jc w:val="both"/>
      </w:pPr>
      <w:r w:rsidRPr="001D71BB">
        <w:t xml:space="preserve">9. Teisingos mitybos įpročių formavimas. </w:t>
      </w:r>
    </w:p>
    <w:p w:rsidR="00995BE0" w:rsidRPr="001D71BB" w:rsidRDefault="00995BE0" w:rsidP="008E467F">
      <w:pPr>
        <w:spacing w:line="360" w:lineRule="auto"/>
        <w:ind w:firstLine="567"/>
        <w:jc w:val="both"/>
      </w:pPr>
      <w:r w:rsidRPr="001D71BB">
        <w:t xml:space="preserve">10. Mokytojo, kuriuo seka moksleiviai, vaidmens didinimas sveikatos išsaugojimo ir stiprinimo srityje. </w:t>
      </w:r>
    </w:p>
    <w:p w:rsidR="00995BE0" w:rsidRPr="001D71BB" w:rsidRDefault="00995BE0" w:rsidP="008E467F">
      <w:pPr>
        <w:spacing w:line="360" w:lineRule="auto"/>
        <w:ind w:firstLine="567"/>
        <w:jc w:val="both"/>
      </w:pPr>
      <w:r w:rsidRPr="001D71BB">
        <w:t xml:space="preserve">11. Pagalbos, kurią gali suteikti kitos tarnybos ir organizacijos, panaudojimas. </w:t>
      </w:r>
    </w:p>
    <w:p w:rsidR="00995BE0" w:rsidRPr="001D71BB" w:rsidRDefault="00995BE0" w:rsidP="008E467F">
      <w:pPr>
        <w:spacing w:line="360" w:lineRule="auto"/>
        <w:ind w:firstLine="567"/>
        <w:jc w:val="both"/>
      </w:pPr>
      <w:r w:rsidRPr="001D71BB">
        <w:t>12. Aktyvus sveikatos priežiūros specialistų dalyvavimas sveikatos stiprinimo darbe.</w:t>
      </w:r>
    </w:p>
    <w:p w:rsidR="00995BE0" w:rsidRPr="007C6466"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Default="00995BE0" w:rsidP="008E467F">
      <w:pPr>
        <w:jc w:val="center"/>
        <w:rPr>
          <w:b/>
        </w:rPr>
      </w:pPr>
    </w:p>
    <w:p w:rsidR="00995BE0" w:rsidRPr="00281F66" w:rsidRDefault="00995BE0" w:rsidP="008E467F">
      <w:pPr>
        <w:jc w:val="right"/>
        <w:rPr>
          <w:b/>
        </w:rPr>
      </w:pPr>
    </w:p>
    <w:p w:rsidR="00995BE0" w:rsidRPr="00281F66" w:rsidRDefault="00995BE0" w:rsidP="008E467F">
      <w:pPr>
        <w:jc w:val="right"/>
        <w:rPr>
          <w:b/>
        </w:rPr>
      </w:pPr>
    </w:p>
    <w:p w:rsidR="00995BE0" w:rsidRPr="002E3473" w:rsidRDefault="00995BE0" w:rsidP="008E467F">
      <w:pPr>
        <w:jc w:val="right"/>
        <w:rPr>
          <w:b/>
          <w:lang w:val="pt-BR"/>
        </w:rPr>
      </w:pPr>
      <w:r w:rsidRPr="002E3473">
        <w:rPr>
          <w:b/>
          <w:lang w:val="pt-BR"/>
        </w:rPr>
        <w:lastRenderedPageBreak/>
        <w:t>14 priedas</w:t>
      </w:r>
    </w:p>
    <w:p w:rsidR="00995BE0" w:rsidRPr="004A1F03" w:rsidRDefault="00995BE0" w:rsidP="008E467F">
      <w:pPr>
        <w:autoSpaceDE w:val="0"/>
        <w:autoSpaceDN w:val="0"/>
        <w:adjustRightInd w:val="0"/>
        <w:jc w:val="center"/>
        <w:rPr>
          <w:b/>
          <w:iCs/>
          <w:sz w:val="22"/>
          <w:szCs w:val="22"/>
        </w:rPr>
      </w:pPr>
      <w:r w:rsidRPr="004A1F03">
        <w:rPr>
          <w:b/>
          <w:iCs/>
          <w:sz w:val="22"/>
          <w:szCs w:val="22"/>
        </w:rPr>
        <w:t>Tradicinės sveikatinimo veiklos ir sveikatos stiprinimo mokyklos principais grindžiamos</w:t>
      </w:r>
    </w:p>
    <w:p w:rsidR="00995BE0" w:rsidRPr="004A1F03" w:rsidRDefault="00995BE0" w:rsidP="008E467F">
      <w:pPr>
        <w:jc w:val="center"/>
        <w:rPr>
          <w:b/>
          <w:sz w:val="22"/>
          <w:szCs w:val="22"/>
        </w:rPr>
      </w:pPr>
      <w:r w:rsidRPr="004A1F03">
        <w:rPr>
          <w:b/>
          <w:iCs/>
          <w:sz w:val="22"/>
          <w:szCs w:val="22"/>
        </w:rPr>
        <w:t>veiklos palyginimas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28"/>
        <w:gridCol w:w="319"/>
        <w:gridCol w:w="4748"/>
      </w:tblGrid>
      <w:tr w:rsidR="00995BE0" w:rsidRPr="001D71BB" w:rsidTr="00985775">
        <w:tc>
          <w:tcPr>
            <w:tcW w:w="4747" w:type="dxa"/>
            <w:gridSpan w:val="2"/>
          </w:tcPr>
          <w:p w:rsidR="00995BE0" w:rsidRPr="00631C7F" w:rsidRDefault="00995BE0" w:rsidP="00985775">
            <w:pPr>
              <w:autoSpaceDE w:val="0"/>
              <w:autoSpaceDN w:val="0"/>
              <w:adjustRightInd w:val="0"/>
              <w:jc w:val="center"/>
              <w:rPr>
                <w:b/>
                <w:iCs/>
                <w:sz w:val="20"/>
                <w:szCs w:val="20"/>
              </w:rPr>
            </w:pPr>
            <w:r w:rsidRPr="00631C7F">
              <w:rPr>
                <w:b/>
                <w:iCs/>
                <w:sz w:val="20"/>
                <w:szCs w:val="20"/>
              </w:rPr>
              <w:t>Tradicinė sveikatinimo</w:t>
            </w:r>
          </w:p>
          <w:p w:rsidR="00995BE0" w:rsidRPr="00631C7F" w:rsidRDefault="00995BE0" w:rsidP="00985775">
            <w:pPr>
              <w:jc w:val="center"/>
              <w:rPr>
                <w:b/>
                <w:sz w:val="20"/>
                <w:szCs w:val="20"/>
              </w:rPr>
            </w:pPr>
            <w:r w:rsidRPr="00631C7F">
              <w:rPr>
                <w:b/>
                <w:iCs/>
                <w:sz w:val="20"/>
                <w:szCs w:val="20"/>
              </w:rPr>
              <w:t>veikla mokykloje</w:t>
            </w:r>
          </w:p>
        </w:tc>
        <w:tc>
          <w:tcPr>
            <w:tcW w:w="4748" w:type="dxa"/>
          </w:tcPr>
          <w:p w:rsidR="00995BE0" w:rsidRPr="00631C7F" w:rsidRDefault="00995BE0" w:rsidP="00985775">
            <w:pPr>
              <w:autoSpaceDE w:val="0"/>
              <w:autoSpaceDN w:val="0"/>
              <w:adjustRightInd w:val="0"/>
              <w:jc w:val="center"/>
              <w:rPr>
                <w:b/>
                <w:iCs/>
                <w:sz w:val="20"/>
                <w:szCs w:val="20"/>
              </w:rPr>
            </w:pPr>
            <w:r w:rsidRPr="00631C7F">
              <w:rPr>
                <w:b/>
                <w:iCs/>
                <w:sz w:val="20"/>
                <w:szCs w:val="20"/>
              </w:rPr>
              <w:t>Sveikatos stiprinimo principais grindžiama</w:t>
            </w:r>
          </w:p>
          <w:p w:rsidR="00995BE0" w:rsidRPr="00631C7F" w:rsidRDefault="00995BE0" w:rsidP="00985775">
            <w:pPr>
              <w:jc w:val="center"/>
              <w:rPr>
                <w:b/>
                <w:sz w:val="20"/>
                <w:szCs w:val="20"/>
              </w:rPr>
            </w:pPr>
            <w:r w:rsidRPr="00631C7F">
              <w:rPr>
                <w:b/>
                <w:iCs/>
                <w:sz w:val="20"/>
                <w:szCs w:val="20"/>
              </w:rPr>
              <w:t>veikla mokykloje</w:t>
            </w:r>
          </w:p>
        </w:tc>
      </w:tr>
      <w:tr w:rsidR="00995BE0" w:rsidRPr="001D71BB" w:rsidTr="00985775">
        <w:tc>
          <w:tcPr>
            <w:tcW w:w="9495" w:type="dxa"/>
            <w:gridSpan w:val="3"/>
          </w:tcPr>
          <w:p w:rsidR="00995BE0" w:rsidRPr="00631C7F" w:rsidRDefault="00995BE0" w:rsidP="00985775">
            <w:pPr>
              <w:jc w:val="center"/>
              <w:rPr>
                <w:b/>
                <w:sz w:val="20"/>
                <w:szCs w:val="20"/>
              </w:rPr>
            </w:pPr>
            <w:r w:rsidRPr="00631C7F">
              <w:rPr>
                <w:b/>
                <w:i/>
                <w:iCs/>
                <w:sz w:val="20"/>
                <w:szCs w:val="20"/>
              </w:rPr>
              <w:t>Sveikatos samprata</w:t>
            </w:r>
          </w:p>
        </w:tc>
      </w:tr>
      <w:tr w:rsidR="00995BE0" w:rsidRPr="001D71BB" w:rsidTr="00985775">
        <w:tc>
          <w:tcPr>
            <w:tcW w:w="4428" w:type="dxa"/>
          </w:tcPr>
          <w:p w:rsidR="00995BE0" w:rsidRPr="00631C7F" w:rsidRDefault="00995BE0" w:rsidP="00985775">
            <w:pPr>
              <w:rPr>
                <w:sz w:val="20"/>
                <w:szCs w:val="20"/>
              </w:rPr>
            </w:pPr>
            <w:r w:rsidRPr="00631C7F">
              <w:rPr>
                <w:sz w:val="20"/>
                <w:szCs w:val="20"/>
              </w:rPr>
              <w:t>Dėmesys sutelkiamas į individą, t.y. jo sveikatos problemas, jo įpročius sveikatos atžvilgiu ir gyvenseną.</w:t>
            </w:r>
          </w:p>
        </w:tc>
        <w:tc>
          <w:tcPr>
            <w:tcW w:w="5067" w:type="dxa"/>
            <w:gridSpan w:val="2"/>
          </w:tcPr>
          <w:p w:rsidR="00995BE0" w:rsidRPr="00631C7F" w:rsidRDefault="00995BE0" w:rsidP="00985775">
            <w:pPr>
              <w:rPr>
                <w:sz w:val="20"/>
                <w:szCs w:val="20"/>
              </w:rPr>
            </w:pPr>
            <w:r w:rsidRPr="00631C7F">
              <w:rPr>
                <w:sz w:val="20"/>
                <w:szCs w:val="20"/>
              </w:rPr>
              <w:t>Dėmesys kreipiamas į mokyklą, kaip organizaciją ir visus jos bendruomenės narius (mokinius, visą mokyklos personalą, tėvus, globėjus), taip pat į sveikatos politikos mokykloje plėtotę.</w:t>
            </w:r>
          </w:p>
        </w:tc>
      </w:tr>
      <w:tr w:rsidR="00995BE0" w:rsidRPr="001D71BB" w:rsidTr="00985775">
        <w:tc>
          <w:tcPr>
            <w:tcW w:w="4428" w:type="dxa"/>
          </w:tcPr>
          <w:p w:rsidR="00995BE0" w:rsidRPr="00631C7F" w:rsidRDefault="00995BE0" w:rsidP="00985775">
            <w:pPr>
              <w:autoSpaceDE w:val="0"/>
              <w:autoSpaceDN w:val="0"/>
              <w:adjustRightInd w:val="0"/>
              <w:jc w:val="center"/>
              <w:rPr>
                <w:sz w:val="20"/>
                <w:szCs w:val="20"/>
              </w:rPr>
            </w:pPr>
            <w:r w:rsidRPr="00631C7F">
              <w:rPr>
                <w:sz w:val="20"/>
                <w:szCs w:val="20"/>
              </w:rPr>
              <w:t>Daugiausia dėmesio skiriama fizinei sveikatai.</w:t>
            </w:r>
          </w:p>
          <w:p w:rsidR="00995BE0" w:rsidRPr="00631C7F" w:rsidRDefault="00995BE0" w:rsidP="00985775">
            <w:pPr>
              <w:rPr>
                <w:sz w:val="20"/>
                <w:szCs w:val="20"/>
              </w:rPr>
            </w:pPr>
            <w:r w:rsidRPr="00631C7F">
              <w:rPr>
                <w:sz w:val="20"/>
                <w:szCs w:val="20"/>
              </w:rPr>
              <w:t>Fizinė veikla siejama su sportu.</w:t>
            </w:r>
          </w:p>
        </w:tc>
        <w:tc>
          <w:tcPr>
            <w:tcW w:w="5067" w:type="dxa"/>
            <w:gridSpan w:val="2"/>
          </w:tcPr>
          <w:p w:rsidR="00995BE0" w:rsidRPr="00631C7F" w:rsidRDefault="00995BE0" w:rsidP="00985775">
            <w:pPr>
              <w:rPr>
                <w:sz w:val="20"/>
                <w:szCs w:val="20"/>
              </w:rPr>
            </w:pPr>
            <w:r w:rsidRPr="00631C7F">
              <w:rPr>
                <w:sz w:val="20"/>
                <w:szCs w:val="20"/>
              </w:rPr>
              <w:t>Dėmesys protinei, emocinei ir socialinei, taip pat ir fizinei sveikatai. Fizinio aktyvumo naudą turi pajusti visi, ji turi būti patraukli, ir dalyvavimas fizinio aktyvumo veikloje teikti pasitenkinimą.</w:t>
            </w:r>
          </w:p>
        </w:tc>
      </w:tr>
      <w:tr w:rsidR="00995BE0" w:rsidRPr="001D71BB" w:rsidTr="00985775">
        <w:tc>
          <w:tcPr>
            <w:tcW w:w="4428" w:type="dxa"/>
          </w:tcPr>
          <w:p w:rsidR="00995BE0" w:rsidRPr="00631C7F" w:rsidRDefault="00995BE0" w:rsidP="00985775">
            <w:pPr>
              <w:autoSpaceDE w:val="0"/>
              <w:autoSpaceDN w:val="0"/>
              <w:adjustRightInd w:val="0"/>
              <w:rPr>
                <w:sz w:val="20"/>
                <w:szCs w:val="20"/>
              </w:rPr>
            </w:pPr>
            <w:r w:rsidRPr="00631C7F">
              <w:rPr>
                <w:sz w:val="20"/>
                <w:szCs w:val="20"/>
              </w:rPr>
              <w:t>Sveikata kaip ligų ir kitų sveikatos sutrikimų</w:t>
            </w:r>
          </w:p>
          <w:p w:rsidR="00995BE0" w:rsidRPr="00631C7F" w:rsidRDefault="00995BE0" w:rsidP="00985775">
            <w:pPr>
              <w:autoSpaceDE w:val="0"/>
              <w:autoSpaceDN w:val="0"/>
              <w:adjustRightInd w:val="0"/>
              <w:jc w:val="center"/>
              <w:rPr>
                <w:sz w:val="20"/>
                <w:szCs w:val="20"/>
              </w:rPr>
            </w:pPr>
            <w:r w:rsidRPr="00631C7F">
              <w:rPr>
                <w:sz w:val="20"/>
                <w:szCs w:val="20"/>
              </w:rPr>
              <w:t>nebuvimas. Dėmesys ligoms, jų diagnostikai ir</w:t>
            </w:r>
          </w:p>
          <w:p w:rsidR="00995BE0" w:rsidRPr="00631C7F" w:rsidRDefault="00995BE0" w:rsidP="00985775">
            <w:pPr>
              <w:rPr>
                <w:sz w:val="20"/>
                <w:szCs w:val="20"/>
              </w:rPr>
            </w:pPr>
            <w:r w:rsidRPr="00631C7F">
              <w:rPr>
                <w:sz w:val="20"/>
                <w:szCs w:val="20"/>
              </w:rPr>
              <w:t>gydymui.</w:t>
            </w:r>
          </w:p>
        </w:tc>
        <w:tc>
          <w:tcPr>
            <w:tcW w:w="5067" w:type="dxa"/>
            <w:gridSpan w:val="2"/>
          </w:tcPr>
          <w:p w:rsidR="00995BE0" w:rsidRPr="00631C7F" w:rsidRDefault="00995BE0" w:rsidP="00985775">
            <w:pPr>
              <w:rPr>
                <w:sz w:val="20"/>
                <w:szCs w:val="20"/>
              </w:rPr>
            </w:pPr>
            <w:r w:rsidRPr="00631C7F">
              <w:rPr>
                <w:sz w:val="20"/>
                <w:szCs w:val="20"/>
              </w:rPr>
              <w:t>Sveikata susijusi su gerovės samprata. Dėmesys gyvenimo kokybei, sveikatos problemų prevencija, protinės, socialinės ir fizinės sveikatos stiprinimas.</w:t>
            </w:r>
          </w:p>
        </w:tc>
      </w:tr>
      <w:tr w:rsidR="00995BE0" w:rsidRPr="001D71BB" w:rsidTr="00985775">
        <w:tc>
          <w:tcPr>
            <w:tcW w:w="4428" w:type="dxa"/>
          </w:tcPr>
          <w:p w:rsidR="00995BE0" w:rsidRPr="00631C7F" w:rsidRDefault="00995BE0" w:rsidP="00985775">
            <w:pPr>
              <w:rPr>
                <w:sz w:val="20"/>
                <w:szCs w:val="20"/>
              </w:rPr>
            </w:pPr>
            <w:r w:rsidRPr="00631C7F">
              <w:rPr>
                <w:sz w:val="20"/>
                <w:szCs w:val="20"/>
              </w:rPr>
              <w:t>Sveikatos ugdymas suvokiamas kaip informacijos atskiromis sveikatos temomis perteikimas.</w:t>
            </w:r>
          </w:p>
        </w:tc>
        <w:tc>
          <w:tcPr>
            <w:tcW w:w="5067" w:type="dxa"/>
            <w:gridSpan w:val="2"/>
          </w:tcPr>
          <w:p w:rsidR="00995BE0" w:rsidRPr="00631C7F" w:rsidRDefault="00995BE0" w:rsidP="00985775">
            <w:pPr>
              <w:rPr>
                <w:sz w:val="20"/>
                <w:szCs w:val="20"/>
              </w:rPr>
            </w:pPr>
            <w:r w:rsidRPr="00631C7F">
              <w:rPr>
                <w:sz w:val="20"/>
                <w:szCs w:val="20"/>
              </w:rPr>
              <w:t>Sveikatos stiprinimas grindžiamas aiškiais</w:t>
            </w:r>
            <w:r>
              <w:rPr>
                <w:sz w:val="20"/>
                <w:szCs w:val="20"/>
              </w:rPr>
              <w:t xml:space="preserve"> </w:t>
            </w:r>
            <w:r w:rsidRPr="00631C7F">
              <w:rPr>
                <w:sz w:val="20"/>
                <w:szCs w:val="20"/>
              </w:rPr>
              <w:t>principais, tokiais kaip demokratija, lygybė,</w:t>
            </w:r>
            <w:r>
              <w:rPr>
                <w:sz w:val="20"/>
                <w:szCs w:val="20"/>
              </w:rPr>
              <w:t xml:space="preserve"> </w:t>
            </w:r>
            <w:r w:rsidRPr="00631C7F">
              <w:rPr>
                <w:sz w:val="20"/>
                <w:szCs w:val="20"/>
              </w:rPr>
              <w:t>dalyvavimas.</w:t>
            </w:r>
          </w:p>
        </w:tc>
      </w:tr>
      <w:tr w:rsidR="00995BE0" w:rsidRPr="001D71BB" w:rsidTr="00985775">
        <w:tc>
          <w:tcPr>
            <w:tcW w:w="4428" w:type="dxa"/>
          </w:tcPr>
          <w:p w:rsidR="00995BE0" w:rsidRPr="00631C7F" w:rsidRDefault="00995BE0" w:rsidP="00985775">
            <w:pPr>
              <w:autoSpaceDE w:val="0"/>
              <w:autoSpaceDN w:val="0"/>
              <w:adjustRightInd w:val="0"/>
              <w:rPr>
                <w:sz w:val="20"/>
                <w:szCs w:val="20"/>
              </w:rPr>
            </w:pPr>
            <w:r w:rsidRPr="00631C7F">
              <w:rPr>
                <w:sz w:val="20"/>
                <w:szCs w:val="20"/>
              </w:rPr>
              <w:t>Sveikatos ugdymas pagal bendrąsias programas,</w:t>
            </w:r>
          </w:p>
          <w:p w:rsidR="00995BE0" w:rsidRPr="00631C7F" w:rsidRDefault="00995BE0" w:rsidP="00985775">
            <w:pPr>
              <w:autoSpaceDE w:val="0"/>
              <w:autoSpaceDN w:val="0"/>
              <w:adjustRightInd w:val="0"/>
              <w:rPr>
                <w:sz w:val="20"/>
                <w:szCs w:val="20"/>
              </w:rPr>
            </w:pPr>
            <w:r w:rsidRPr="00631C7F">
              <w:rPr>
                <w:sz w:val="20"/>
                <w:szCs w:val="20"/>
              </w:rPr>
              <w:t>kitos priemonės, kaip krizių valdymas,</w:t>
            </w:r>
          </w:p>
          <w:p w:rsidR="00995BE0" w:rsidRPr="00631C7F" w:rsidRDefault="00995BE0" w:rsidP="00985775">
            <w:pPr>
              <w:rPr>
                <w:sz w:val="20"/>
                <w:szCs w:val="20"/>
              </w:rPr>
            </w:pPr>
            <w:r w:rsidRPr="00631C7F">
              <w:rPr>
                <w:sz w:val="20"/>
                <w:szCs w:val="20"/>
              </w:rPr>
              <w:t>kampanijos.</w:t>
            </w:r>
          </w:p>
        </w:tc>
        <w:tc>
          <w:tcPr>
            <w:tcW w:w="5067" w:type="dxa"/>
            <w:gridSpan w:val="2"/>
          </w:tcPr>
          <w:p w:rsidR="00995BE0" w:rsidRPr="00631C7F" w:rsidRDefault="00995BE0" w:rsidP="00985775">
            <w:pPr>
              <w:rPr>
                <w:sz w:val="20"/>
                <w:szCs w:val="20"/>
              </w:rPr>
            </w:pPr>
            <w:r w:rsidRPr="00631C7F">
              <w:rPr>
                <w:sz w:val="20"/>
                <w:szCs w:val="20"/>
              </w:rPr>
              <w:t>Ilgalaikės programos, pradedamos ankstyvame</w:t>
            </w:r>
            <w:r>
              <w:rPr>
                <w:sz w:val="20"/>
                <w:szCs w:val="20"/>
              </w:rPr>
              <w:t xml:space="preserve"> </w:t>
            </w:r>
            <w:r w:rsidRPr="00631C7F">
              <w:rPr>
                <w:sz w:val="20"/>
                <w:szCs w:val="20"/>
              </w:rPr>
              <w:t>amžiuje, apima visus vaikus, atitinka jų amžiaus ypatumus, poreikius ir interesus.</w:t>
            </w:r>
          </w:p>
        </w:tc>
      </w:tr>
      <w:tr w:rsidR="00995BE0" w:rsidRPr="001D71BB" w:rsidTr="00985775">
        <w:tc>
          <w:tcPr>
            <w:tcW w:w="9495" w:type="dxa"/>
            <w:gridSpan w:val="3"/>
          </w:tcPr>
          <w:p w:rsidR="00995BE0" w:rsidRPr="00631C7F" w:rsidRDefault="00995BE0" w:rsidP="00985775">
            <w:pPr>
              <w:jc w:val="center"/>
              <w:rPr>
                <w:b/>
                <w:sz w:val="20"/>
                <w:szCs w:val="20"/>
              </w:rPr>
            </w:pPr>
            <w:r w:rsidRPr="00631C7F">
              <w:rPr>
                <w:b/>
                <w:i/>
                <w:iCs/>
                <w:sz w:val="20"/>
                <w:szCs w:val="20"/>
              </w:rPr>
              <w:t>Sveikatos ugdymo koncepcija</w:t>
            </w:r>
          </w:p>
        </w:tc>
      </w:tr>
      <w:tr w:rsidR="00995BE0" w:rsidRPr="001D71BB" w:rsidTr="00985775">
        <w:tc>
          <w:tcPr>
            <w:tcW w:w="4428" w:type="dxa"/>
          </w:tcPr>
          <w:p w:rsidR="00995BE0" w:rsidRPr="00631C7F" w:rsidRDefault="00995BE0" w:rsidP="00985775">
            <w:pPr>
              <w:autoSpaceDE w:val="0"/>
              <w:autoSpaceDN w:val="0"/>
              <w:adjustRightInd w:val="0"/>
              <w:rPr>
                <w:sz w:val="20"/>
                <w:szCs w:val="20"/>
              </w:rPr>
            </w:pPr>
            <w:r w:rsidRPr="00631C7F">
              <w:rPr>
                <w:sz w:val="20"/>
                <w:szCs w:val="20"/>
              </w:rPr>
              <w:t>Dėmesys sukoncentruotas į elgsenos pokyčius,</w:t>
            </w:r>
          </w:p>
          <w:p w:rsidR="00995BE0" w:rsidRPr="00631C7F" w:rsidRDefault="00995BE0" w:rsidP="00985775">
            <w:pPr>
              <w:autoSpaceDE w:val="0"/>
              <w:autoSpaceDN w:val="0"/>
              <w:adjustRightInd w:val="0"/>
              <w:rPr>
                <w:sz w:val="20"/>
                <w:szCs w:val="20"/>
              </w:rPr>
            </w:pPr>
            <w:r w:rsidRPr="00631C7F">
              <w:rPr>
                <w:sz w:val="20"/>
                <w:szCs w:val="20"/>
              </w:rPr>
              <w:t>sveikos gyvensenos ir įpročių formavimą:</w:t>
            </w:r>
          </w:p>
          <w:p w:rsidR="00995BE0" w:rsidRPr="00631C7F" w:rsidRDefault="00995BE0" w:rsidP="00985775">
            <w:pPr>
              <w:rPr>
                <w:sz w:val="20"/>
                <w:szCs w:val="20"/>
              </w:rPr>
            </w:pPr>
            <w:r w:rsidRPr="00631C7F">
              <w:rPr>
                <w:sz w:val="20"/>
                <w:szCs w:val="20"/>
              </w:rPr>
              <w:t>prisiderinimas ir paklusnumas.</w:t>
            </w:r>
          </w:p>
        </w:tc>
        <w:tc>
          <w:tcPr>
            <w:tcW w:w="5067" w:type="dxa"/>
            <w:gridSpan w:val="2"/>
          </w:tcPr>
          <w:p w:rsidR="00995BE0" w:rsidRPr="00631C7F" w:rsidRDefault="00995BE0" w:rsidP="00985775">
            <w:pPr>
              <w:autoSpaceDE w:val="0"/>
              <w:autoSpaceDN w:val="0"/>
              <w:adjustRightInd w:val="0"/>
              <w:rPr>
                <w:sz w:val="20"/>
                <w:szCs w:val="20"/>
              </w:rPr>
            </w:pPr>
            <w:r w:rsidRPr="00631C7F">
              <w:rPr>
                <w:sz w:val="20"/>
                <w:szCs w:val="20"/>
              </w:rPr>
              <w:t>Dėmesys sukoncentruotas į autonomiją ir</w:t>
            </w:r>
          </w:p>
          <w:p w:rsidR="00995BE0" w:rsidRPr="00631C7F" w:rsidRDefault="00995BE0" w:rsidP="00985775">
            <w:pPr>
              <w:autoSpaceDE w:val="0"/>
              <w:autoSpaceDN w:val="0"/>
              <w:adjustRightInd w:val="0"/>
              <w:rPr>
                <w:sz w:val="20"/>
                <w:szCs w:val="20"/>
              </w:rPr>
            </w:pPr>
            <w:r w:rsidRPr="00631C7F">
              <w:rPr>
                <w:sz w:val="20"/>
                <w:szCs w:val="20"/>
              </w:rPr>
              <w:t>sprendimų priėmimą – bendruomenės nariai</w:t>
            </w:r>
          </w:p>
          <w:p w:rsidR="00995BE0" w:rsidRPr="00631C7F" w:rsidRDefault="00995BE0" w:rsidP="00985775">
            <w:pPr>
              <w:rPr>
                <w:sz w:val="20"/>
                <w:szCs w:val="20"/>
              </w:rPr>
            </w:pPr>
            <w:r w:rsidRPr="00631C7F">
              <w:rPr>
                <w:sz w:val="20"/>
                <w:szCs w:val="20"/>
              </w:rPr>
              <w:t>patys sprendžia, ar jie nori būti sveiki.</w:t>
            </w:r>
          </w:p>
        </w:tc>
      </w:tr>
      <w:tr w:rsidR="00995BE0" w:rsidRPr="001D71BB" w:rsidTr="00985775">
        <w:tc>
          <w:tcPr>
            <w:tcW w:w="4428" w:type="dxa"/>
          </w:tcPr>
          <w:p w:rsidR="00995BE0" w:rsidRPr="00631C7F" w:rsidRDefault="00995BE0" w:rsidP="00985775">
            <w:pPr>
              <w:autoSpaceDE w:val="0"/>
              <w:autoSpaceDN w:val="0"/>
              <w:adjustRightInd w:val="0"/>
              <w:rPr>
                <w:sz w:val="20"/>
                <w:szCs w:val="20"/>
              </w:rPr>
            </w:pPr>
            <w:r w:rsidRPr="00631C7F">
              <w:rPr>
                <w:sz w:val="20"/>
                <w:szCs w:val="20"/>
              </w:rPr>
              <w:t>Sveikatos ugdymas organizuotas atskirose</w:t>
            </w:r>
          </w:p>
          <w:p w:rsidR="00995BE0" w:rsidRPr="00631C7F" w:rsidRDefault="00995BE0" w:rsidP="00985775">
            <w:pPr>
              <w:rPr>
                <w:sz w:val="20"/>
                <w:szCs w:val="20"/>
              </w:rPr>
            </w:pPr>
            <w:r w:rsidRPr="00631C7F">
              <w:rPr>
                <w:sz w:val="20"/>
                <w:szCs w:val="20"/>
              </w:rPr>
              <w:t>pamokose.</w:t>
            </w:r>
          </w:p>
        </w:tc>
        <w:tc>
          <w:tcPr>
            <w:tcW w:w="5067" w:type="dxa"/>
            <w:gridSpan w:val="2"/>
          </w:tcPr>
          <w:p w:rsidR="00995BE0" w:rsidRPr="00631C7F" w:rsidRDefault="00995BE0" w:rsidP="00985775">
            <w:pPr>
              <w:rPr>
                <w:sz w:val="20"/>
                <w:szCs w:val="20"/>
              </w:rPr>
            </w:pPr>
            <w:r w:rsidRPr="00631C7F">
              <w:rPr>
                <w:sz w:val="20"/>
                <w:szCs w:val="20"/>
              </w:rPr>
              <w:t>Sveikatos ugdymas integruotas į visą mokymo</w:t>
            </w:r>
            <w:r>
              <w:rPr>
                <w:sz w:val="20"/>
                <w:szCs w:val="20"/>
              </w:rPr>
              <w:t xml:space="preserve"> </w:t>
            </w:r>
            <w:r w:rsidRPr="00631C7F">
              <w:rPr>
                <w:sz w:val="20"/>
                <w:szCs w:val="20"/>
              </w:rPr>
              <w:t>programą.</w:t>
            </w:r>
          </w:p>
        </w:tc>
      </w:tr>
      <w:tr w:rsidR="00995BE0" w:rsidRPr="001D71BB" w:rsidTr="00985775">
        <w:tc>
          <w:tcPr>
            <w:tcW w:w="4428" w:type="dxa"/>
          </w:tcPr>
          <w:p w:rsidR="00995BE0" w:rsidRPr="00631C7F" w:rsidRDefault="00995BE0" w:rsidP="00985775">
            <w:pPr>
              <w:rPr>
                <w:sz w:val="20"/>
                <w:szCs w:val="20"/>
              </w:rPr>
            </w:pPr>
            <w:r w:rsidRPr="00631C7F">
              <w:rPr>
                <w:sz w:val="20"/>
                <w:szCs w:val="20"/>
              </w:rPr>
              <w:t>Sveikatos ugdymo tikslas – suteikti žinių.</w:t>
            </w:r>
          </w:p>
        </w:tc>
        <w:tc>
          <w:tcPr>
            <w:tcW w:w="5067" w:type="dxa"/>
            <w:gridSpan w:val="2"/>
          </w:tcPr>
          <w:p w:rsidR="00995BE0" w:rsidRPr="00631C7F" w:rsidRDefault="00995BE0" w:rsidP="00985775">
            <w:pPr>
              <w:rPr>
                <w:sz w:val="20"/>
                <w:szCs w:val="20"/>
              </w:rPr>
            </w:pPr>
            <w:r w:rsidRPr="00631C7F">
              <w:rPr>
                <w:sz w:val="20"/>
                <w:szCs w:val="20"/>
              </w:rPr>
              <w:t>Tikslas – ne tik suteikti žinių, bet padėti vaikams įgyti įgūdžių, susiformuoti vertybines nuostatas.</w:t>
            </w:r>
          </w:p>
        </w:tc>
      </w:tr>
      <w:tr w:rsidR="00995BE0" w:rsidRPr="001D71BB" w:rsidTr="00985775">
        <w:tc>
          <w:tcPr>
            <w:tcW w:w="4428" w:type="dxa"/>
          </w:tcPr>
          <w:p w:rsidR="00995BE0" w:rsidRPr="00631C7F" w:rsidRDefault="00995BE0" w:rsidP="00985775">
            <w:pPr>
              <w:rPr>
                <w:sz w:val="20"/>
                <w:szCs w:val="20"/>
              </w:rPr>
            </w:pPr>
            <w:r w:rsidRPr="00631C7F">
              <w:rPr>
                <w:sz w:val="20"/>
                <w:szCs w:val="20"/>
              </w:rPr>
              <w:t>Moralizuojančio pobūdžio mokymas: mokytojai nusprendžia ko mokyti, kokius metodus pasirinkti. Dažniausiai tai pamokos apie „gerą sveikatą“. Pabrėžiamas „gerų darbų darymas“. Vaikai paprastai pasyvūs.</w:t>
            </w:r>
          </w:p>
        </w:tc>
        <w:tc>
          <w:tcPr>
            <w:tcW w:w="5067" w:type="dxa"/>
            <w:gridSpan w:val="2"/>
          </w:tcPr>
          <w:p w:rsidR="00995BE0" w:rsidRPr="00631C7F" w:rsidRDefault="00995BE0" w:rsidP="00985775">
            <w:pPr>
              <w:rPr>
                <w:sz w:val="20"/>
                <w:szCs w:val="20"/>
              </w:rPr>
            </w:pPr>
            <w:r w:rsidRPr="00631C7F">
              <w:rPr>
                <w:sz w:val="20"/>
                <w:szCs w:val="20"/>
              </w:rPr>
              <w:t>Mokiniai dalyvauja priimant sprendimus.</w:t>
            </w:r>
            <w:r>
              <w:rPr>
                <w:sz w:val="20"/>
                <w:szCs w:val="20"/>
              </w:rPr>
              <w:t xml:space="preserve"> </w:t>
            </w:r>
            <w:r w:rsidRPr="00631C7F">
              <w:rPr>
                <w:sz w:val="20"/>
                <w:szCs w:val="20"/>
              </w:rPr>
              <w:t>Dėmesys labiau sukoncentruotas į mokymąsi</w:t>
            </w:r>
            <w:r>
              <w:rPr>
                <w:sz w:val="20"/>
                <w:szCs w:val="20"/>
              </w:rPr>
              <w:t xml:space="preserve"> </w:t>
            </w:r>
            <w:r w:rsidRPr="00631C7F">
              <w:rPr>
                <w:sz w:val="20"/>
                <w:szCs w:val="20"/>
              </w:rPr>
              <w:t>nei į mokymą. Taikomi aktyvaus mokymo(si)</w:t>
            </w:r>
            <w:r>
              <w:rPr>
                <w:sz w:val="20"/>
                <w:szCs w:val="20"/>
              </w:rPr>
              <w:t xml:space="preserve"> </w:t>
            </w:r>
            <w:r w:rsidRPr="00631C7F">
              <w:rPr>
                <w:sz w:val="20"/>
                <w:szCs w:val="20"/>
              </w:rPr>
              <w:t>metodai, įtraukiantys į mokymąsi, metodai,</w:t>
            </w:r>
            <w:r>
              <w:rPr>
                <w:sz w:val="20"/>
                <w:szCs w:val="20"/>
              </w:rPr>
              <w:t xml:space="preserve"> </w:t>
            </w:r>
            <w:r w:rsidRPr="00631C7F">
              <w:rPr>
                <w:sz w:val="20"/>
                <w:szCs w:val="20"/>
              </w:rPr>
              <w:t>tokie kaip darbas grupėmis, diskusijos, žaidimai, problemų sprendimas ir kt.</w:t>
            </w:r>
          </w:p>
        </w:tc>
      </w:tr>
      <w:tr w:rsidR="00995BE0" w:rsidRPr="001D71BB" w:rsidTr="00985775">
        <w:tc>
          <w:tcPr>
            <w:tcW w:w="4428" w:type="dxa"/>
          </w:tcPr>
          <w:p w:rsidR="00995BE0" w:rsidRPr="00631C7F" w:rsidRDefault="00995BE0" w:rsidP="00985775">
            <w:pPr>
              <w:autoSpaceDE w:val="0"/>
              <w:autoSpaceDN w:val="0"/>
              <w:adjustRightInd w:val="0"/>
              <w:rPr>
                <w:sz w:val="20"/>
                <w:szCs w:val="20"/>
              </w:rPr>
            </w:pPr>
            <w:r w:rsidRPr="00631C7F">
              <w:rPr>
                <w:sz w:val="20"/>
                <w:szCs w:val="20"/>
              </w:rPr>
              <w:t>Labiau koncentruojamasi į pamokymus,</w:t>
            </w:r>
          </w:p>
          <w:p w:rsidR="00995BE0" w:rsidRPr="00631C7F" w:rsidRDefault="00995BE0" w:rsidP="00985775">
            <w:pPr>
              <w:rPr>
                <w:sz w:val="20"/>
                <w:szCs w:val="20"/>
              </w:rPr>
            </w:pPr>
            <w:r w:rsidRPr="00631C7F">
              <w:rPr>
                <w:sz w:val="20"/>
                <w:szCs w:val="20"/>
              </w:rPr>
              <w:t>įspėjimus, tarp jų ir baimes.</w:t>
            </w:r>
          </w:p>
        </w:tc>
        <w:tc>
          <w:tcPr>
            <w:tcW w:w="5067" w:type="dxa"/>
            <w:gridSpan w:val="2"/>
          </w:tcPr>
          <w:p w:rsidR="00995BE0" w:rsidRPr="00631C7F" w:rsidRDefault="00995BE0" w:rsidP="00985775">
            <w:pPr>
              <w:rPr>
                <w:sz w:val="20"/>
                <w:szCs w:val="20"/>
              </w:rPr>
            </w:pPr>
            <w:r w:rsidRPr="00631C7F">
              <w:rPr>
                <w:sz w:val="20"/>
                <w:szCs w:val="20"/>
              </w:rPr>
              <w:t>Koncentravimasis į pozityvius metodus, buvimo sveiku privalumus, pasirinkimą ir sprendimo priėmimą.</w:t>
            </w:r>
          </w:p>
        </w:tc>
      </w:tr>
      <w:tr w:rsidR="00995BE0" w:rsidRPr="001D71BB" w:rsidTr="00985775">
        <w:tc>
          <w:tcPr>
            <w:tcW w:w="9495" w:type="dxa"/>
            <w:gridSpan w:val="3"/>
          </w:tcPr>
          <w:p w:rsidR="00995BE0" w:rsidRPr="00631C7F" w:rsidRDefault="00995BE0" w:rsidP="00985775">
            <w:pPr>
              <w:jc w:val="center"/>
              <w:rPr>
                <w:b/>
                <w:sz w:val="20"/>
                <w:szCs w:val="20"/>
              </w:rPr>
            </w:pPr>
            <w:r w:rsidRPr="00631C7F">
              <w:rPr>
                <w:b/>
                <w:i/>
                <w:iCs/>
                <w:sz w:val="20"/>
                <w:szCs w:val="20"/>
              </w:rPr>
              <w:t>Mokykla</w:t>
            </w:r>
          </w:p>
        </w:tc>
      </w:tr>
      <w:tr w:rsidR="00995BE0" w:rsidRPr="001D71BB" w:rsidTr="00985775">
        <w:tc>
          <w:tcPr>
            <w:tcW w:w="4428" w:type="dxa"/>
            <w:tcBorders>
              <w:right w:val="single" w:sz="4" w:space="0" w:color="auto"/>
            </w:tcBorders>
          </w:tcPr>
          <w:p w:rsidR="00995BE0" w:rsidRPr="00631C7F" w:rsidRDefault="00995BE0" w:rsidP="00985775">
            <w:pPr>
              <w:rPr>
                <w:i/>
                <w:iCs/>
                <w:sz w:val="20"/>
                <w:szCs w:val="20"/>
              </w:rPr>
            </w:pPr>
            <w:r w:rsidRPr="00631C7F">
              <w:rPr>
                <w:sz w:val="20"/>
                <w:szCs w:val="20"/>
              </w:rPr>
              <w:t>Visas dėmesys sutelkiamas į mokinius.</w:t>
            </w:r>
          </w:p>
        </w:tc>
        <w:tc>
          <w:tcPr>
            <w:tcW w:w="5067" w:type="dxa"/>
            <w:gridSpan w:val="2"/>
            <w:tcBorders>
              <w:left w:val="single" w:sz="4" w:space="0" w:color="auto"/>
            </w:tcBorders>
          </w:tcPr>
          <w:p w:rsidR="00995BE0" w:rsidRPr="00631C7F" w:rsidRDefault="00995BE0" w:rsidP="00985775">
            <w:pPr>
              <w:rPr>
                <w:i/>
                <w:iCs/>
                <w:sz w:val="20"/>
                <w:szCs w:val="20"/>
              </w:rPr>
            </w:pPr>
            <w:r w:rsidRPr="00631C7F">
              <w:rPr>
                <w:sz w:val="20"/>
                <w:szCs w:val="20"/>
              </w:rPr>
              <w:t>Mokytojų protinė, emocinė ir socialinė</w:t>
            </w:r>
            <w:r>
              <w:rPr>
                <w:sz w:val="20"/>
                <w:szCs w:val="20"/>
              </w:rPr>
              <w:t xml:space="preserve"> </w:t>
            </w:r>
            <w:r w:rsidRPr="00631C7F">
              <w:rPr>
                <w:sz w:val="20"/>
                <w:szCs w:val="20"/>
              </w:rPr>
              <w:t>sveikata tiek pat svarbi kaip ir mokinių. Parama mokytojams ir jų mokymui – būtina.</w:t>
            </w:r>
          </w:p>
        </w:tc>
      </w:tr>
      <w:tr w:rsidR="00995BE0" w:rsidRPr="001D71BB" w:rsidTr="00985775">
        <w:tc>
          <w:tcPr>
            <w:tcW w:w="4428" w:type="dxa"/>
            <w:tcBorders>
              <w:right w:val="single" w:sz="4" w:space="0" w:color="auto"/>
            </w:tcBorders>
          </w:tcPr>
          <w:p w:rsidR="00995BE0" w:rsidRPr="00631C7F" w:rsidRDefault="00995BE0" w:rsidP="00985775">
            <w:pPr>
              <w:rPr>
                <w:i/>
                <w:iCs/>
                <w:sz w:val="20"/>
                <w:szCs w:val="20"/>
              </w:rPr>
            </w:pPr>
            <w:r w:rsidRPr="00631C7F">
              <w:rPr>
                <w:sz w:val="20"/>
                <w:szCs w:val="20"/>
              </w:rPr>
              <w:t>Fizinės ugdymo aplinkos svarbos pripažinimas.</w:t>
            </w:r>
          </w:p>
        </w:tc>
        <w:tc>
          <w:tcPr>
            <w:tcW w:w="5067" w:type="dxa"/>
            <w:gridSpan w:val="2"/>
            <w:tcBorders>
              <w:left w:val="single" w:sz="4" w:space="0" w:color="auto"/>
            </w:tcBorders>
          </w:tcPr>
          <w:p w:rsidR="00995BE0" w:rsidRPr="00631C7F" w:rsidRDefault="00995BE0" w:rsidP="00985775">
            <w:pPr>
              <w:rPr>
                <w:i/>
                <w:iCs/>
                <w:sz w:val="20"/>
                <w:szCs w:val="20"/>
              </w:rPr>
            </w:pPr>
            <w:r w:rsidRPr="00631C7F">
              <w:rPr>
                <w:sz w:val="20"/>
                <w:szCs w:val="20"/>
              </w:rPr>
              <w:t>Fizinės ir psichosocialinės aplinkos svarbos</w:t>
            </w:r>
            <w:r>
              <w:rPr>
                <w:sz w:val="20"/>
                <w:szCs w:val="20"/>
              </w:rPr>
              <w:t xml:space="preserve"> </w:t>
            </w:r>
            <w:r w:rsidRPr="00631C7F">
              <w:rPr>
                <w:sz w:val="20"/>
                <w:szCs w:val="20"/>
              </w:rPr>
              <w:t>sveikatai pripažinimas.</w:t>
            </w:r>
          </w:p>
        </w:tc>
      </w:tr>
      <w:tr w:rsidR="00995BE0" w:rsidRPr="001D71BB" w:rsidTr="00985775">
        <w:tc>
          <w:tcPr>
            <w:tcW w:w="9495" w:type="dxa"/>
            <w:gridSpan w:val="3"/>
          </w:tcPr>
          <w:p w:rsidR="00995BE0" w:rsidRPr="00631C7F" w:rsidRDefault="00995BE0" w:rsidP="00985775">
            <w:pPr>
              <w:jc w:val="center"/>
              <w:rPr>
                <w:b/>
                <w:i/>
                <w:iCs/>
                <w:sz w:val="20"/>
                <w:szCs w:val="20"/>
              </w:rPr>
            </w:pPr>
            <w:r w:rsidRPr="00631C7F">
              <w:rPr>
                <w:b/>
                <w:i/>
                <w:iCs/>
                <w:sz w:val="20"/>
                <w:szCs w:val="20"/>
              </w:rPr>
              <w:t>Ryšys su bendruomene</w:t>
            </w:r>
          </w:p>
        </w:tc>
      </w:tr>
      <w:tr w:rsidR="00995BE0" w:rsidRPr="001D71BB" w:rsidTr="00985775">
        <w:tc>
          <w:tcPr>
            <w:tcW w:w="4428" w:type="dxa"/>
            <w:tcBorders>
              <w:right w:val="single" w:sz="4" w:space="0" w:color="auto"/>
            </w:tcBorders>
          </w:tcPr>
          <w:p w:rsidR="00995BE0" w:rsidRPr="00631C7F" w:rsidRDefault="00995BE0" w:rsidP="00985775">
            <w:pPr>
              <w:rPr>
                <w:i/>
                <w:iCs/>
                <w:sz w:val="20"/>
                <w:szCs w:val="20"/>
              </w:rPr>
            </w:pPr>
            <w:r w:rsidRPr="00631C7F">
              <w:rPr>
                <w:sz w:val="20"/>
                <w:szCs w:val="20"/>
              </w:rPr>
              <w:t>Išorės ekspertai kviečiami į mokyklą.</w:t>
            </w:r>
          </w:p>
        </w:tc>
        <w:tc>
          <w:tcPr>
            <w:tcW w:w="5067" w:type="dxa"/>
            <w:gridSpan w:val="2"/>
            <w:tcBorders>
              <w:left w:val="single" w:sz="4" w:space="0" w:color="auto"/>
            </w:tcBorders>
          </w:tcPr>
          <w:p w:rsidR="00995BE0" w:rsidRPr="00631C7F" w:rsidRDefault="00995BE0" w:rsidP="00985775">
            <w:pPr>
              <w:rPr>
                <w:i/>
                <w:iCs/>
                <w:sz w:val="20"/>
                <w:szCs w:val="20"/>
              </w:rPr>
            </w:pPr>
            <w:r w:rsidRPr="00631C7F">
              <w:rPr>
                <w:sz w:val="20"/>
                <w:szCs w:val="20"/>
              </w:rPr>
              <w:t>Mokyklos bendruomenės nariai, tarp jų ir</w:t>
            </w:r>
            <w:r>
              <w:rPr>
                <w:sz w:val="20"/>
                <w:szCs w:val="20"/>
              </w:rPr>
              <w:t xml:space="preserve"> </w:t>
            </w:r>
            <w:r w:rsidRPr="00631C7F">
              <w:rPr>
                <w:sz w:val="20"/>
                <w:szCs w:val="20"/>
              </w:rPr>
              <w:t>mokiniai, dalyvauja visuomenėje vykstančiuose procesuose kaip partneriai. Mokiniai inicijuoja veiksmus ir juose dalyvauja.</w:t>
            </w:r>
          </w:p>
        </w:tc>
      </w:tr>
      <w:tr w:rsidR="00995BE0" w:rsidRPr="001D71BB" w:rsidTr="00985775">
        <w:tc>
          <w:tcPr>
            <w:tcW w:w="4428" w:type="dxa"/>
            <w:tcBorders>
              <w:right w:val="single" w:sz="4" w:space="0" w:color="auto"/>
            </w:tcBorders>
          </w:tcPr>
          <w:p w:rsidR="00995BE0" w:rsidRPr="00631C7F" w:rsidRDefault="00995BE0" w:rsidP="00985775">
            <w:pPr>
              <w:autoSpaceDE w:val="0"/>
              <w:autoSpaceDN w:val="0"/>
              <w:adjustRightInd w:val="0"/>
              <w:rPr>
                <w:sz w:val="20"/>
                <w:szCs w:val="20"/>
              </w:rPr>
            </w:pPr>
            <w:r w:rsidRPr="00631C7F">
              <w:rPr>
                <w:sz w:val="20"/>
                <w:szCs w:val="20"/>
              </w:rPr>
              <w:t>Tėvai, kiti bendruomenės nariai ignoruojami</w:t>
            </w:r>
          </w:p>
          <w:p w:rsidR="00995BE0" w:rsidRPr="00631C7F" w:rsidRDefault="00995BE0" w:rsidP="00985775">
            <w:pPr>
              <w:rPr>
                <w:i/>
                <w:iCs/>
                <w:sz w:val="20"/>
                <w:szCs w:val="20"/>
              </w:rPr>
            </w:pPr>
            <w:r w:rsidRPr="00631C7F">
              <w:rPr>
                <w:sz w:val="20"/>
                <w:szCs w:val="20"/>
              </w:rPr>
              <w:t>arba jų prašoma tik paremti mokyklą.</w:t>
            </w:r>
          </w:p>
        </w:tc>
        <w:tc>
          <w:tcPr>
            <w:tcW w:w="5067" w:type="dxa"/>
            <w:gridSpan w:val="2"/>
            <w:tcBorders>
              <w:left w:val="single" w:sz="4" w:space="0" w:color="auto"/>
            </w:tcBorders>
          </w:tcPr>
          <w:p w:rsidR="00995BE0" w:rsidRPr="00631C7F" w:rsidRDefault="00995BE0" w:rsidP="00985775">
            <w:pPr>
              <w:rPr>
                <w:i/>
                <w:iCs/>
                <w:sz w:val="20"/>
                <w:szCs w:val="20"/>
              </w:rPr>
            </w:pPr>
            <w:r w:rsidRPr="00631C7F">
              <w:rPr>
                <w:sz w:val="20"/>
                <w:szCs w:val="20"/>
              </w:rPr>
              <w:t>Tėvai ir kiti bendruomenės nariai aktyviai</w:t>
            </w:r>
            <w:r>
              <w:rPr>
                <w:sz w:val="20"/>
                <w:szCs w:val="20"/>
              </w:rPr>
              <w:t xml:space="preserve"> </w:t>
            </w:r>
            <w:r w:rsidRPr="00631C7F">
              <w:rPr>
                <w:sz w:val="20"/>
                <w:szCs w:val="20"/>
              </w:rPr>
              <w:t>įtraukiami į sprendimų priėmimą ir tai</w:t>
            </w:r>
            <w:r>
              <w:rPr>
                <w:sz w:val="20"/>
                <w:szCs w:val="20"/>
              </w:rPr>
              <w:t xml:space="preserve"> </w:t>
            </w:r>
            <w:r w:rsidRPr="00631C7F">
              <w:rPr>
                <w:sz w:val="20"/>
                <w:szCs w:val="20"/>
              </w:rPr>
              <w:t>planuojama.</w:t>
            </w:r>
          </w:p>
        </w:tc>
      </w:tr>
      <w:tr w:rsidR="00995BE0" w:rsidRPr="001D71BB" w:rsidTr="00985775">
        <w:tc>
          <w:tcPr>
            <w:tcW w:w="9495" w:type="dxa"/>
            <w:gridSpan w:val="3"/>
          </w:tcPr>
          <w:p w:rsidR="00995BE0" w:rsidRPr="00631C7F" w:rsidRDefault="00995BE0" w:rsidP="00985775">
            <w:pPr>
              <w:jc w:val="center"/>
              <w:rPr>
                <w:b/>
                <w:i/>
                <w:iCs/>
                <w:sz w:val="20"/>
                <w:szCs w:val="20"/>
              </w:rPr>
            </w:pPr>
            <w:r w:rsidRPr="00631C7F">
              <w:rPr>
                <w:b/>
                <w:i/>
                <w:iCs/>
                <w:sz w:val="20"/>
                <w:szCs w:val="20"/>
              </w:rPr>
              <w:t>Vertinimas</w:t>
            </w:r>
          </w:p>
        </w:tc>
      </w:tr>
      <w:tr w:rsidR="00995BE0" w:rsidRPr="001D71BB" w:rsidTr="00985775">
        <w:tc>
          <w:tcPr>
            <w:tcW w:w="4428" w:type="dxa"/>
            <w:tcBorders>
              <w:right w:val="single" w:sz="4" w:space="0" w:color="auto"/>
            </w:tcBorders>
          </w:tcPr>
          <w:p w:rsidR="00995BE0" w:rsidRPr="00631C7F" w:rsidRDefault="00995BE0" w:rsidP="00985775">
            <w:pPr>
              <w:rPr>
                <w:i/>
                <w:iCs/>
                <w:sz w:val="20"/>
                <w:szCs w:val="20"/>
              </w:rPr>
            </w:pPr>
            <w:r w:rsidRPr="00631C7F">
              <w:rPr>
                <w:sz w:val="20"/>
                <w:szCs w:val="20"/>
              </w:rPr>
              <w:t>Vertinama mokinio elgsena, susijusi su rūkymu, alkoholio vartojimu, mityba ir kt.</w:t>
            </w:r>
          </w:p>
        </w:tc>
        <w:tc>
          <w:tcPr>
            <w:tcW w:w="5067" w:type="dxa"/>
            <w:gridSpan w:val="2"/>
            <w:tcBorders>
              <w:left w:val="single" w:sz="4" w:space="0" w:color="auto"/>
            </w:tcBorders>
          </w:tcPr>
          <w:p w:rsidR="00995BE0" w:rsidRPr="00631C7F" w:rsidRDefault="00995BE0" w:rsidP="00985775">
            <w:pPr>
              <w:rPr>
                <w:i/>
                <w:iCs/>
                <w:sz w:val="20"/>
                <w:szCs w:val="20"/>
              </w:rPr>
            </w:pPr>
            <w:r w:rsidRPr="00631C7F">
              <w:rPr>
                <w:sz w:val="20"/>
                <w:szCs w:val="20"/>
              </w:rPr>
              <w:t>Vertinama mokinių veiklos kompetencija</w:t>
            </w:r>
            <w:r>
              <w:rPr>
                <w:sz w:val="20"/>
                <w:szCs w:val="20"/>
              </w:rPr>
              <w:t xml:space="preserve"> </w:t>
            </w:r>
            <w:r w:rsidRPr="00631C7F">
              <w:rPr>
                <w:sz w:val="20"/>
                <w:szCs w:val="20"/>
              </w:rPr>
              <w:t>(mąstysena, įsipareigojimai, vizijos).</w:t>
            </w:r>
          </w:p>
        </w:tc>
      </w:tr>
      <w:tr w:rsidR="00995BE0" w:rsidRPr="001D71BB" w:rsidTr="00985775">
        <w:tc>
          <w:tcPr>
            <w:tcW w:w="4428" w:type="dxa"/>
            <w:tcBorders>
              <w:right w:val="single" w:sz="4" w:space="0" w:color="auto"/>
            </w:tcBorders>
          </w:tcPr>
          <w:p w:rsidR="00995BE0" w:rsidRPr="00631C7F" w:rsidRDefault="00995BE0" w:rsidP="00985775">
            <w:pPr>
              <w:rPr>
                <w:i/>
                <w:iCs/>
                <w:sz w:val="20"/>
                <w:szCs w:val="20"/>
              </w:rPr>
            </w:pPr>
            <w:r w:rsidRPr="00631C7F">
              <w:rPr>
                <w:sz w:val="20"/>
                <w:szCs w:val="20"/>
              </w:rPr>
              <w:t>Veikla grindžiama tuo, ką įprasta daryti.</w:t>
            </w:r>
          </w:p>
        </w:tc>
        <w:tc>
          <w:tcPr>
            <w:tcW w:w="5067" w:type="dxa"/>
            <w:gridSpan w:val="2"/>
            <w:tcBorders>
              <w:left w:val="single" w:sz="4" w:space="0" w:color="auto"/>
            </w:tcBorders>
          </w:tcPr>
          <w:p w:rsidR="00995BE0" w:rsidRPr="00631C7F" w:rsidRDefault="00995BE0" w:rsidP="00985775">
            <w:pPr>
              <w:rPr>
                <w:i/>
                <w:iCs/>
                <w:sz w:val="20"/>
                <w:szCs w:val="20"/>
              </w:rPr>
            </w:pPr>
            <w:r w:rsidRPr="00631C7F">
              <w:rPr>
                <w:sz w:val="20"/>
                <w:szCs w:val="20"/>
              </w:rPr>
              <w:t>Veikla grindžiama įrodymais, kurie tikėtina bus įgyvendinti konkrečioje situacijoje ir įžvalgomis.</w:t>
            </w:r>
          </w:p>
        </w:tc>
      </w:tr>
    </w:tbl>
    <w:p w:rsidR="00995BE0" w:rsidRPr="00631C7F" w:rsidRDefault="00995BE0" w:rsidP="008E467F">
      <w:pPr>
        <w:autoSpaceDE w:val="0"/>
        <w:autoSpaceDN w:val="0"/>
        <w:adjustRightInd w:val="0"/>
        <w:jc w:val="both"/>
        <w:rPr>
          <w:sz w:val="20"/>
          <w:szCs w:val="20"/>
        </w:rPr>
      </w:pPr>
      <w:r w:rsidRPr="00631C7F">
        <w:rPr>
          <w:sz w:val="20"/>
          <w:szCs w:val="20"/>
        </w:rPr>
        <w:t>Šaltinis: Gray G., Young I., Barnekow V. (2006). Developing a health – promoting school. A practical resource for developing effective partnerships in school health, based on the experience of the European Network of Health Promoting Schools. Internatinal Planing Committee.</w:t>
      </w:r>
    </w:p>
    <w:p w:rsidR="00995BE0" w:rsidRPr="007C6466" w:rsidRDefault="00995BE0" w:rsidP="008E467F">
      <w:pPr>
        <w:jc w:val="center"/>
        <w:rPr>
          <w:b/>
          <w:lang w:val="en-GB"/>
        </w:rPr>
      </w:pPr>
    </w:p>
    <w:p w:rsidR="00995BE0" w:rsidRPr="007C6466" w:rsidRDefault="00995BE0" w:rsidP="008E467F">
      <w:pPr>
        <w:jc w:val="center"/>
        <w:rPr>
          <w:b/>
        </w:rPr>
      </w:pPr>
    </w:p>
    <w:p w:rsidR="00995BE0" w:rsidRDefault="00995BE0" w:rsidP="008E467F">
      <w:pPr>
        <w:jc w:val="right"/>
        <w:rPr>
          <w:b/>
          <w:lang w:val="pt-BR"/>
        </w:rPr>
      </w:pPr>
    </w:p>
    <w:p w:rsidR="00995BE0" w:rsidRDefault="00995BE0" w:rsidP="008E467F">
      <w:pPr>
        <w:jc w:val="right"/>
        <w:rPr>
          <w:b/>
          <w:lang w:val="pt-BR"/>
        </w:rPr>
      </w:pPr>
    </w:p>
    <w:p w:rsidR="00995BE0" w:rsidRDefault="00995BE0" w:rsidP="008E467F">
      <w:pPr>
        <w:jc w:val="right"/>
        <w:rPr>
          <w:b/>
          <w:lang w:val="pt-BR"/>
        </w:rPr>
      </w:pPr>
      <w:r>
        <w:rPr>
          <w:b/>
          <w:lang w:val="pt-BR"/>
        </w:rPr>
        <w:lastRenderedPageBreak/>
        <w:t>15 priedas</w:t>
      </w:r>
    </w:p>
    <w:p w:rsidR="00995BE0" w:rsidRPr="003922D2" w:rsidRDefault="00A54FAC" w:rsidP="008E467F">
      <w:pPr>
        <w:spacing w:line="360" w:lineRule="auto"/>
      </w:pPr>
      <w:r>
        <w:rPr>
          <w:rFonts w:ascii="Tahoma" w:hAnsi="Tahoma" w:cs="Tahoma"/>
          <w:noProof/>
          <w:color w:val="333333"/>
          <w:sz w:val="16"/>
          <w:szCs w:val="16"/>
        </w:rPr>
        <w:drawing>
          <wp:inline distT="0" distB="0" distL="0" distR="0">
            <wp:extent cx="5917565" cy="3971290"/>
            <wp:effectExtent l="19050" t="0" r="6985" b="0"/>
            <wp:docPr id="61" name="Paveikslėlis 33" descr="http://www.stat.gov.lt/uploads/images/senejimo_koef2007-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descr="http://www.stat.gov.lt/uploads/images/senejimo_koef2007-2009.jpg"/>
                    <pic:cNvPicPr>
                      <a:picLocks noChangeAspect="1" noChangeArrowheads="1"/>
                    </pic:cNvPicPr>
                  </pic:nvPicPr>
                  <pic:blipFill>
                    <a:blip r:embed="rId210"/>
                    <a:srcRect/>
                    <a:stretch>
                      <a:fillRect/>
                    </a:stretch>
                  </pic:blipFill>
                  <pic:spPr bwMode="auto">
                    <a:xfrm>
                      <a:off x="0" y="0"/>
                      <a:ext cx="5917565" cy="3971290"/>
                    </a:xfrm>
                    <a:prstGeom prst="rect">
                      <a:avLst/>
                    </a:prstGeom>
                    <a:noFill/>
                    <a:ln w="9525">
                      <a:noFill/>
                      <a:miter lim="800000"/>
                      <a:headEnd/>
                      <a:tailEnd/>
                    </a:ln>
                  </pic:spPr>
                </pic:pic>
              </a:graphicData>
            </a:graphic>
          </wp:inline>
        </w:drawing>
      </w:r>
    </w:p>
    <w:p w:rsidR="00995BE0" w:rsidRPr="003922D2" w:rsidRDefault="00995BE0" w:rsidP="008E467F">
      <w:pPr>
        <w:pStyle w:val="Betarp2"/>
        <w:ind w:right="567"/>
        <w:jc w:val="center"/>
        <w:rPr>
          <w:rFonts w:ascii="Times New Roman" w:hAnsi="Times New Roman"/>
          <w:b/>
          <w:sz w:val="24"/>
          <w:szCs w:val="24"/>
        </w:rPr>
      </w:pPr>
      <w:r w:rsidRPr="00A97F94">
        <w:rPr>
          <w:rFonts w:ascii="Times New Roman" w:hAnsi="Times New Roman"/>
        </w:rPr>
        <w:t>Lietuvos miestų ir rajonų paskirstymas pagal demografinės senatvės koeficientą 2007-2009 m. pradžioje</w:t>
      </w:r>
    </w:p>
    <w:p w:rsidR="00995BE0" w:rsidRPr="003922D2" w:rsidRDefault="00995BE0" w:rsidP="008E467F">
      <w:pPr>
        <w:pStyle w:val="Betarp2"/>
        <w:spacing w:line="360" w:lineRule="auto"/>
        <w:ind w:right="566" w:firstLine="720"/>
        <w:jc w:val="center"/>
        <w:rPr>
          <w:rFonts w:ascii="Times New Roman" w:hAnsi="Times New Roman"/>
          <w:sz w:val="20"/>
          <w:szCs w:val="20"/>
        </w:rPr>
      </w:pPr>
      <w:r w:rsidRPr="003922D2">
        <w:rPr>
          <w:rFonts w:ascii="Times New Roman" w:hAnsi="Times New Roman"/>
          <w:sz w:val="20"/>
          <w:szCs w:val="20"/>
        </w:rPr>
        <w:t>Šaltinis: Statistikos departamentas prie LR Vyriausybės</w:t>
      </w:r>
      <w:r>
        <w:rPr>
          <w:rFonts w:ascii="Times New Roman" w:hAnsi="Times New Roman"/>
          <w:sz w:val="20"/>
          <w:szCs w:val="20"/>
        </w:rPr>
        <w:t>.</w:t>
      </w:r>
    </w:p>
    <w:p w:rsidR="00995BE0" w:rsidRDefault="00995BE0" w:rsidP="00841B60">
      <w:pPr>
        <w:jc w:val="right"/>
        <w:rPr>
          <w:b/>
        </w:rPr>
      </w:pPr>
    </w:p>
    <w:p w:rsidR="00995BE0" w:rsidRDefault="00995BE0" w:rsidP="00841B60">
      <w:pPr>
        <w:jc w:val="right"/>
        <w:rPr>
          <w:b/>
        </w:rPr>
      </w:pPr>
    </w:p>
    <w:p w:rsidR="00995BE0" w:rsidRDefault="00995BE0" w:rsidP="00841B60">
      <w:pPr>
        <w:jc w:val="right"/>
        <w:rPr>
          <w:b/>
        </w:rPr>
      </w:pPr>
    </w:p>
    <w:p w:rsidR="00995BE0" w:rsidRDefault="00995BE0" w:rsidP="00841B60">
      <w:pPr>
        <w:jc w:val="right"/>
        <w:rPr>
          <w:b/>
        </w:rPr>
      </w:pPr>
    </w:p>
    <w:p w:rsidR="00995BE0" w:rsidRDefault="00995BE0" w:rsidP="00841B60">
      <w:pPr>
        <w:jc w:val="right"/>
        <w:rPr>
          <w:b/>
        </w:rPr>
      </w:pPr>
      <w:r>
        <w:rPr>
          <w:b/>
        </w:rPr>
        <w:t>16 priedas</w:t>
      </w:r>
    </w:p>
    <w:p w:rsidR="00995BE0" w:rsidRPr="001D71BB" w:rsidRDefault="00A54FAC" w:rsidP="00841B60">
      <w:pPr>
        <w:spacing w:line="360" w:lineRule="auto"/>
        <w:jc w:val="center"/>
      </w:pPr>
      <w:r>
        <w:rPr>
          <w:noProof/>
        </w:rPr>
        <w:drawing>
          <wp:inline distT="0" distB="0" distL="0" distR="0">
            <wp:extent cx="5564505" cy="2233930"/>
            <wp:effectExtent l="0" t="0" r="0" b="0"/>
            <wp:docPr id="62" name="Objekta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995BE0" w:rsidRPr="00A65848" w:rsidRDefault="00995BE0" w:rsidP="00841B60">
      <w:pPr>
        <w:pStyle w:val="Betarp1"/>
        <w:spacing w:after="120"/>
        <w:ind w:left="426"/>
        <w:jc w:val="center"/>
        <w:rPr>
          <w:rFonts w:ascii="Times New Roman" w:hAnsi="Times New Roman"/>
          <w:b/>
        </w:rPr>
      </w:pPr>
      <w:r w:rsidRPr="00A65848">
        <w:rPr>
          <w:rFonts w:ascii="Times New Roman" w:hAnsi="Times New Roman"/>
        </w:rPr>
        <w:t>Šiaulių miesto 0-17 m. vaikų sergamumas kai kuriomis ligomis ir sutrikimais 2007 - 2009 m. (proc. nuo apsilankiusiųjų)</w:t>
      </w:r>
    </w:p>
    <w:p w:rsidR="00995BE0" w:rsidRPr="001D71BB" w:rsidRDefault="00995BE0" w:rsidP="00841B60">
      <w:pPr>
        <w:spacing w:after="120"/>
        <w:ind w:right="424"/>
        <w:jc w:val="center"/>
        <w:rPr>
          <w:sz w:val="20"/>
          <w:szCs w:val="20"/>
        </w:rPr>
      </w:pPr>
      <w:r w:rsidRPr="001D71BB">
        <w:rPr>
          <w:sz w:val="20"/>
          <w:szCs w:val="20"/>
        </w:rPr>
        <w:t xml:space="preserve">Sudaryta autoriaus, remiantis </w:t>
      </w:r>
      <w:r>
        <w:rPr>
          <w:sz w:val="20"/>
          <w:szCs w:val="20"/>
        </w:rPr>
        <w:t>š</w:t>
      </w:r>
      <w:r w:rsidRPr="001D71BB">
        <w:rPr>
          <w:sz w:val="20"/>
          <w:szCs w:val="20"/>
        </w:rPr>
        <w:t>altini</w:t>
      </w:r>
      <w:r>
        <w:rPr>
          <w:sz w:val="20"/>
          <w:szCs w:val="20"/>
        </w:rPr>
        <w:t>u</w:t>
      </w:r>
      <w:r w:rsidRPr="001D71BB">
        <w:rPr>
          <w:sz w:val="20"/>
          <w:szCs w:val="20"/>
        </w:rPr>
        <w:t>:</w:t>
      </w:r>
      <w:r>
        <w:rPr>
          <w:sz w:val="20"/>
          <w:szCs w:val="20"/>
        </w:rPr>
        <w:t xml:space="preserve"> </w:t>
      </w:r>
      <w:r w:rsidRPr="001D71BB">
        <w:rPr>
          <w:sz w:val="20"/>
          <w:szCs w:val="20"/>
        </w:rPr>
        <w:t>Higienos instituto Sveikatos  informacijos centr</w:t>
      </w:r>
      <w:r>
        <w:rPr>
          <w:sz w:val="20"/>
          <w:szCs w:val="20"/>
        </w:rPr>
        <w:t>as.</w:t>
      </w: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r>
        <w:rPr>
          <w:b/>
        </w:rPr>
        <w:lastRenderedPageBreak/>
        <w:t>17 priedas</w:t>
      </w:r>
    </w:p>
    <w:p w:rsidR="00995BE0" w:rsidRDefault="00995BE0" w:rsidP="008E467F">
      <w:pPr>
        <w:jc w:val="right"/>
        <w:rPr>
          <w:b/>
        </w:rPr>
      </w:pPr>
    </w:p>
    <w:p w:rsidR="00995BE0" w:rsidRDefault="00995BE0" w:rsidP="008E467F">
      <w:pPr>
        <w:jc w:val="right"/>
        <w:rPr>
          <w:b/>
        </w:rPr>
      </w:pPr>
    </w:p>
    <w:p w:rsidR="00995BE0" w:rsidRDefault="00995BE0" w:rsidP="00EB426F">
      <w:pPr>
        <w:autoSpaceDE w:val="0"/>
        <w:autoSpaceDN w:val="0"/>
        <w:adjustRightInd w:val="0"/>
        <w:spacing w:line="360" w:lineRule="auto"/>
        <w:jc w:val="center"/>
        <w:rPr>
          <w:b/>
        </w:rPr>
      </w:pPr>
      <w:r w:rsidRPr="00A64467">
        <w:rPr>
          <w:b/>
        </w:rPr>
        <w:t>Šiaulių miesto savivaldybės visuomenės sveikatos biuro etatų struktūra</w:t>
      </w:r>
    </w:p>
    <w:p w:rsidR="00995BE0" w:rsidRDefault="00995BE0" w:rsidP="00EB426F">
      <w:pPr>
        <w:autoSpaceDE w:val="0"/>
        <w:autoSpaceDN w:val="0"/>
        <w:adjustRightInd w:val="0"/>
        <w:jc w:val="center"/>
      </w:pPr>
      <w:r w:rsidRPr="00416703">
        <w:t>(patvirtinta Šiaulių miesto savivaldybės visuomenės sveikatos biuro direktoriaus 2009 m. gegužės 4 d. įsakymu Nr. V-17)</w:t>
      </w:r>
    </w:p>
    <w:p w:rsidR="00995BE0" w:rsidRDefault="00995BE0" w:rsidP="00EB426F">
      <w:pPr>
        <w:autoSpaceDE w:val="0"/>
        <w:autoSpaceDN w:val="0"/>
        <w:adjustRightInd w:val="0"/>
        <w:jc w:val="center"/>
        <w:rPr>
          <w:rFonts w:ascii="Verdana" w:hAnsi="Verdana"/>
          <w:bCs/>
          <w:color w:val="339966"/>
        </w:rPr>
      </w:pPr>
    </w:p>
    <w:p w:rsidR="00995BE0" w:rsidRPr="00416703" w:rsidRDefault="00995BE0" w:rsidP="00EB426F">
      <w:pPr>
        <w:autoSpaceDE w:val="0"/>
        <w:autoSpaceDN w:val="0"/>
        <w:adjustRightInd w:val="0"/>
        <w:jc w:val="center"/>
        <w:rPr>
          <w:rFonts w:ascii="Verdana" w:hAnsi="Verdana"/>
          <w:bCs/>
          <w:color w:val="339966"/>
        </w:rPr>
      </w:pPr>
    </w:p>
    <w:p w:rsidR="00995BE0" w:rsidRPr="00A64467" w:rsidRDefault="00CB16CF" w:rsidP="00EB426F">
      <w:pPr>
        <w:autoSpaceDE w:val="0"/>
        <w:autoSpaceDN w:val="0"/>
        <w:adjustRightInd w:val="0"/>
        <w:jc w:val="both"/>
        <w:rPr>
          <w:rFonts w:ascii="Verdana" w:hAnsi="Verdana"/>
          <w:b/>
          <w:bCs/>
          <w:color w:val="339966"/>
          <w:sz w:val="23"/>
          <w:szCs w:val="23"/>
        </w:rPr>
      </w:pPr>
      <w:r w:rsidRPr="00CB16CF">
        <w:rPr>
          <w:noProof/>
        </w:rPr>
        <w:pict>
          <v:rect id="_x0000_s1104" style="position:absolute;left:0;text-align:left;margin-left:6pt;margin-top:3.7pt;width:486pt;height:171pt;z-index:251635712">
            <v:textbox style="mso-next-textbox:#_x0000_s1104">
              <w:txbxContent>
                <w:p w:rsidR="00995BE0" w:rsidRPr="006D6E20" w:rsidRDefault="00995BE0" w:rsidP="00EB426F">
                  <w:pPr>
                    <w:jc w:val="center"/>
                    <w:rPr>
                      <w:b/>
                    </w:rPr>
                  </w:pPr>
                  <w:r w:rsidRPr="006D6E20">
                    <w:rPr>
                      <w:b/>
                    </w:rPr>
                    <w:t>ADMINISTRACIJA</w:t>
                  </w:r>
                </w:p>
              </w:txbxContent>
            </v:textbox>
          </v:rect>
        </w:pict>
      </w:r>
    </w:p>
    <w:p w:rsidR="00995BE0" w:rsidRPr="00A64467" w:rsidRDefault="00CB16CF" w:rsidP="00EB426F">
      <w:pPr>
        <w:autoSpaceDE w:val="0"/>
        <w:autoSpaceDN w:val="0"/>
        <w:adjustRightInd w:val="0"/>
        <w:spacing w:line="360" w:lineRule="auto"/>
        <w:ind w:firstLine="720"/>
        <w:jc w:val="both"/>
        <w:rPr>
          <w:rFonts w:ascii="Verdana" w:hAnsi="Verdana"/>
          <w:b/>
          <w:bCs/>
          <w:sz w:val="23"/>
          <w:szCs w:val="23"/>
        </w:rPr>
      </w:pPr>
      <w:r w:rsidRPr="00CB16CF">
        <w:rPr>
          <w:noProof/>
        </w:rPr>
        <w:pict>
          <v:rect id="_x0000_s1105" style="position:absolute;left:0;text-align:left;margin-left:186pt;margin-top:15.2pt;width:126pt;height:63pt;z-index:251636736">
            <v:textbox style="mso-next-textbox:#_x0000_s1105">
              <w:txbxContent>
                <w:p w:rsidR="00995BE0" w:rsidRDefault="00995BE0" w:rsidP="00EB426F">
                  <w:pPr>
                    <w:jc w:val="center"/>
                    <w:rPr>
                      <w:b/>
                    </w:rPr>
                  </w:pPr>
                </w:p>
                <w:p w:rsidR="00995BE0" w:rsidRPr="006D6E20" w:rsidRDefault="00995BE0" w:rsidP="00EB426F">
                  <w:pPr>
                    <w:jc w:val="center"/>
                    <w:rPr>
                      <w:b/>
                    </w:rPr>
                  </w:pPr>
                  <w:r w:rsidRPr="006D6E20">
                    <w:rPr>
                      <w:b/>
                    </w:rPr>
                    <w:t>Direktorius</w:t>
                  </w:r>
                </w:p>
              </w:txbxContent>
            </v:textbox>
          </v:rect>
        </w:pict>
      </w:r>
    </w:p>
    <w:p w:rsidR="00995BE0" w:rsidRDefault="00995BE0" w:rsidP="00EB426F">
      <w:pPr>
        <w:autoSpaceDE w:val="0"/>
        <w:autoSpaceDN w:val="0"/>
        <w:adjustRightInd w:val="0"/>
        <w:jc w:val="center"/>
        <w:rPr>
          <w:bCs/>
          <w:sz w:val="20"/>
          <w:szCs w:val="20"/>
        </w:rPr>
      </w:pPr>
    </w:p>
    <w:p w:rsidR="00995BE0" w:rsidRDefault="00CB16CF" w:rsidP="00EB426F">
      <w:pPr>
        <w:autoSpaceDE w:val="0"/>
        <w:autoSpaceDN w:val="0"/>
        <w:adjustRightInd w:val="0"/>
        <w:jc w:val="center"/>
        <w:rPr>
          <w:bCs/>
          <w:sz w:val="20"/>
          <w:szCs w:val="20"/>
        </w:rPr>
      </w:pPr>
      <w:r w:rsidRPr="00CB16CF">
        <w:rPr>
          <w:noProof/>
        </w:rPr>
        <w:pict>
          <v:rect id="_x0000_s1106" style="position:absolute;left:0;text-align:left;margin-left:348pt;margin-top:9.75pt;width:114pt;height:36pt;z-index:251641856">
            <v:textbox style="mso-next-textbox:#_x0000_s1106">
              <w:txbxContent>
                <w:p w:rsidR="00995BE0" w:rsidRPr="006D6E20" w:rsidRDefault="00995BE0" w:rsidP="00EB426F">
                  <w:pPr>
                    <w:jc w:val="center"/>
                    <w:rPr>
                      <w:b/>
                    </w:rPr>
                  </w:pPr>
                  <w:r w:rsidRPr="006D6E20">
                    <w:rPr>
                      <w:b/>
                    </w:rPr>
                    <w:t>Administratorius</w:t>
                  </w:r>
                </w:p>
              </w:txbxContent>
            </v:textbox>
          </v:rect>
        </w:pict>
      </w:r>
      <w:r w:rsidRPr="00CB16CF">
        <w:rPr>
          <w:noProof/>
        </w:rPr>
        <w:pict>
          <v:rect id="_x0000_s1107" style="position:absolute;left:0;text-align:left;margin-left:42pt;margin-top:9.75pt;width:114pt;height:36pt;z-index:251642880">
            <v:textbox style="mso-next-textbox:#_x0000_s1107">
              <w:txbxContent>
                <w:p w:rsidR="00995BE0" w:rsidRPr="006D6E20" w:rsidRDefault="00995BE0" w:rsidP="00EB426F">
                  <w:pPr>
                    <w:jc w:val="center"/>
                    <w:rPr>
                      <w:b/>
                    </w:rPr>
                  </w:pPr>
                  <w:r w:rsidRPr="006D6E20">
                    <w:rPr>
                      <w:b/>
                    </w:rPr>
                    <w:t>Vyriausias buhalteris</w:t>
                  </w:r>
                </w:p>
              </w:txbxContent>
            </v:textbox>
          </v:rect>
        </w:pict>
      </w:r>
    </w:p>
    <w:p w:rsidR="00995BE0" w:rsidRDefault="00995BE0" w:rsidP="00EB426F">
      <w:pPr>
        <w:autoSpaceDE w:val="0"/>
        <w:autoSpaceDN w:val="0"/>
        <w:adjustRightInd w:val="0"/>
        <w:jc w:val="center"/>
        <w:rPr>
          <w:bCs/>
          <w:sz w:val="20"/>
          <w:szCs w:val="20"/>
        </w:rPr>
      </w:pPr>
    </w:p>
    <w:p w:rsidR="00995BE0" w:rsidRDefault="00CB16CF" w:rsidP="00EB426F">
      <w:pPr>
        <w:autoSpaceDE w:val="0"/>
        <w:autoSpaceDN w:val="0"/>
        <w:adjustRightInd w:val="0"/>
        <w:jc w:val="center"/>
        <w:rPr>
          <w:bCs/>
          <w:sz w:val="20"/>
          <w:szCs w:val="20"/>
        </w:rPr>
      </w:pPr>
      <w:r w:rsidRPr="00CB16CF">
        <w:rPr>
          <w:noProof/>
        </w:rPr>
        <w:pict>
          <v:line id="_x0000_s1108" style="position:absolute;left:0;text-align:left;flip:x;z-index:251652096" from="156pt,4.75pt" to="186pt,4.75pt">
            <v:stroke endarrow="block"/>
          </v:line>
        </w:pict>
      </w:r>
    </w:p>
    <w:p w:rsidR="00995BE0" w:rsidRDefault="00995BE0" w:rsidP="00EB426F">
      <w:pPr>
        <w:autoSpaceDE w:val="0"/>
        <w:autoSpaceDN w:val="0"/>
        <w:adjustRightInd w:val="0"/>
        <w:jc w:val="center"/>
        <w:rPr>
          <w:bCs/>
          <w:sz w:val="20"/>
          <w:szCs w:val="20"/>
        </w:rPr>
      </w:pPr>
    </w:p>
    <w:p w:rsidR="00995BE0" w:rsidRDefault="00CB16CF" w:rsidP="00EB426F">
      <w:pPr>
        <w:autoSpaceDE w:val="0"/>
        <w:autoSpaceDN w:val="0"/>
        <w:adjustRightInd w:val="0"/>
        <w:jc w:val="center"/>
        <w:rPr>
          <w:bCs/>
          <w:sz w:val="20"/>
          <w:szCs w:val="20"/>
        </w:rPr>
      </w:pPr>
      <w:r w:rsidRPr="00CB16CF">
        <w:rPr>
          <w:noProof/>
        </w:rPr>
        <w:pict>
          <v:line id="_x0000_s1109" style="position:absolute;left:0;text-align:left;z-index:251654144" from="252pt,-.25pt" to="252pt,80.75pt">
            <v:stroke endarrow="block"/>
          </v:line>
        </w:pict>
      </w:r>
      <w:r w:rsidRPr="00CB16CF">
        <w:rPr>
          <w:noProof/>
        </w:rPr>
        <w:pict>
          <v:line id="_x0000_s1110" style="position:absolute;left:0;text-align:left;z-index:251653120" from="96pt,-.25pt" to="96pt,26.75pt">
            <v:stroke endarrow="block"/>
          </v:line>
        </w:pict>
      </w:r>
    </w:p>
    <w:p w:rsidR="00995BE0" w:rsidRDefault="00995BE0" w:rsidP="00EB426F">
      <w:pPr>
        <w:autoSpaceDE w:val="0"/>
        <w:autoSpaceDN w:val="0"/>
        <w:adjustRightInd w:val="0"/>
        <w:jc w:val="center"/>
        <w:rPr>
          <w:bCs/>
          <w:sz w:val="20"/>
          <w:szCs w:val="20"/>
        </w:rPr>
      </w:pPr>
    </w:p>
    <w:p w:rsidR="00995BE0" w:rsidRDefault="00CB16CF" w:rsidP="00EB426F">
      <w:pPr>
        <w:autoSpaceDE w:val="0"/>
        <w:autoSpaceDN w:val="0"/>
        <w:adjustRightInd w:val="0"/>
        <w:jc w:val="center"/>
        <w:rPr>
          <w:bCs/>
          <w:sz w:val="20"/>
          <w:szCs w:val="20"/>
        </w:rPr>
      </w:pPr>
      <w:r w:rsidRPr="00CB16CF">
        <w:rPr>
          <w:noProof/>
        </w:rPr>
        <w:pict>
          <v:rect id="_x0000_s1111" style="position:absolute;left:0;text-align:left;margin-left:42pt;margin-top:3.75pt;width:114pt;height:36pt;z-index:251637760">
            <v:textbox style="mso-next-textbox:#_x0000_s1111">
              <w:txbxContent>
                <w:p w:rsidR="00995BE0" w:rsidRPr="006D6E20" w:rsidRDefault="00995BE0" w:rsidP="00EB426F">
                  <w:pPr>
                    <w:jc w:val="center"/>
                    <w:rPr>
                      <w:b/>
                    </w:rPr>
                  </w:pPr>
                  <w:r w:rsidRPr="006D6E20">
                    <w:rPr>
                      <w:b/>
                    </w:rPr>
                    <w:t>Buhalteris</w:t>
                  </w:r>
                </w:p>
              </w:txbxContent>
            </v:textbox>
          </v:rect>
        </w:pict>
      </w:r>
    </w:p>
    <w:p w:rsidR="00995BE0" w:rsidRDefault="00995BE0" w:rsidP="00EB426F">
      <w:pPr>
        <w:autoSpaceDE w:val="0"/>
        <w:autoSpaceDN w:val="0"/>
        <w:adjustRightInd w:val="0"/>
        <w:jc w:val="center"/>
        <w:rPr>
          <w:bCs/>
          <w:sz w:val="20"/>
          <w:szCs w:val="20"/>
        </w:rPr>
      </w:pPr>
    </w:p>
    <w:p w:rsidR="00995BE0" w:rsidRDefault="00995BE0" w:rsidP="00EB426F">
      <w:pPr>
        <w:autoSpaceDE w:val="0"/>
        <w:autoSpaceDN w:val="0"/>
        <w:adjustRightInd w:val="0"/>
        <w:jc w:val="center"/>
        <w:rPr>
          <w:bCs/>
          <w:sz w:val="20"/>
          <w:szCs w:val="20"/>
        </w:rPr>
      </w:pPr>
    </w:p>
    <w:p w:rsidR="00995BE0" w:rsidRDefault="00995BE0" w:rsidP="00EB426F">
      <w:pPr>
        <w:autoSpaceDE w:val="0"/>
        <w:autoSpaceDN w:val="0"/>
        <w:adjustRightInd w:val="0"/>
        <w:jc w:val="center"/>
        <w:rPr>
          <w:bCs/>
          <w:sz w:val="20"/>
          <w:szCs w:val="20"/>
        </w:rPr>
      </w:pPr>
    </w:p>
    <w:p w:rsidR="00995BE0" w:rsidRDefault="00995BE0" w:rsidP="00EB426F">
      <w:pPr>
        <w:autoSpaceDE w:val="0"/>
        <w:autoSpaceDN w:val="0"/>
        <w:adjustRightInd w:val="0"/>
        <w:jc w:val="center"/>
        <w:rPr>
          <w:bCs/>
          <w:sz w:val="20"/>
          <w:szCs w:val="20"/>
        </w:rPr>
      </w:pPr>
    </w:p>
    <w:p w:rsidR="00995BE0" w:rsidRDefault="00CB16CF" w:rsidP="00EB426F">
      <w:pPr>
        <w:autoSpaceDE w:val="0"/>
        <w:autoSpaceDN w:val="0"/>
        <w:adjustRightInd w:val="0"/>
        <w:jc w:val="center"/>
        <w:rPr>
          <w:bCs/>
          <w:sz w:val="20"/>
          <w:szCs w:val="20"/>
        </w:rPr>
      </w:pPr>
      <w:r w:rsidRPr="00CB16CF">
        <w:rPr>
          <w:noProof/>
        </w:rPr>
        <w:pict>
          <v:line id="_x0000_s1112" style="position:absolute;left:0;text-align:left;z-index:251655168" from="66pt,1.75pt" to="66pt,45.25pt"/>
        </w:pict>
      </w:r>
      <w:r w:rsidRPr="00CB16CF">
        <w:rPr>
          <w:noProof/>
        </w:rPr>
        <w:pict>
          <v:line id="_x0000_s1113" style="position:absolute;left:0;text-align:left;z-index:251656192" from="198pt,1.75pt" to="198pt,45.25pt"/>
        </w:pict>
      </w:r>
      <w:r w:rsidRPr="00CB16CF">
        <w:rPr>
          <w:noProof/>
        </w:rPr>
        <w:pict>
          <v:line id="_x0000_s1114" style="position:absolute;left:0;text-align:left;z-index:251657216" from="318pt,1.75pt" to="318pt,45.25pt"/>
        </w:pict>
      </w:r>
      <w:r w:rsidRPr="00CB16CF">
        <w:rPr>
          <w:noProof/>
        </w:rPr>
        <w:pict>
          <v:line id="_x0000_s1115" style="position:absolute;left:0;text-align:left;z-index:251658240" from="438pt,1.75pt" to="438pt,45.25pt"/>
        </w:pict>
      </w:r>
    </w:p>
    <w:p w:rsidR="00995BE0" w:rsidRDefault="00995BE0" w:rsidP="00EB426F">
      <w:pPr>
        <w:autoSpaceDE w:val="0"/>
        <w:autoSpaceDN w:val="0"/>
        <w:adjustRightInd w:val="0"/>
        <w:jc w:val="center"/>
        <w:rPr>
          <w:bCs/>
          <w:sz w:val="20"/>
          <w:szCs w:val="20"/>
        </w:rPr>
      </w:pPr>
    </w:p>
    <w:p w:rsidR="00995BE0" w:rsidRDefault="00995BE0" w:rsidP="00EB426F">
      <w:pPr>
        <w:autoSpaceDE w:val="0"/>
        <w:autoSpaceDN w:val="0"/>
        <w:adjustRightInd w:val="0"/>
        <w:jc w:val="center"/>
        <w:rPr>
          <w:bCs/>
          <w:sz w:val="20"/>
          <w:szCs w:val="20"/>
        </w:rPr>
      </w:pPr>
    </w:p>
    <w:p w:rsidR="00995BE0" w:rsidRDefault="00CB16CF" w:rsidP="00EB426F">
      <w:pPr>
        <w:autoSpaceDE w:val="0"/>
        <w:autoSpaceDN w:val="0"/>
        <w:adjustRightInd w:val="0"/>
        <w:jc w:val="center"/>
        <w:rPr>
          <w:bCs/>
          <w:sz w:val="20"/>
          <w:szCs w:val="20"/>
        </w:rPr>
      </w:pPr>
      <w:r w:rsidRPr="00CB16CF">
        <w:rPr>
          <w:noProof/>
        </w:rPr>
        <w:pict>
          <v:rect id="_x0000_s1116" style="position:absolute;left:0;text-align:left;margin-left:138pt;margin-top:10.75pt;width:120pt;height:81pt;z-index:251639808">
            <v:textbox style="mso-next-textbox:#_x0000_s1116">
              <w:txbxContent>
                <w:p w:rsidR="00995BE0" w:rsidRDefault="00995BE0" w:rsidP="00EB426F">
                  <w:pPr>
                    <w:jc w:val="center"/>
                    <w:rPr>
                      <w:b/>
                      <w:sz w:val="22"/>
                    </w:rPr>
                  </w:pPr>
                </w:p>
                <w:p w:rsidR="00995BE0" w:rsidRPr="00696134" w:rsidRDefault="00995BE0" w:rsidP="00EB426F">
                  <w:pPr>
                    <w:jc w:val="center"/>
                    <w:rPr>
                      <w:b/>
                      <w:sz w:val="22"/>
                    </w:rPr>
                  </w:pPr>
                  <w:r w:rsidRPr="00696134">
                    <w:rPr>
                      <w:b/>
                      <w:sz w:val="22"/>
                    </w:rPr>
                    <w:t xml:space="preserve">Visuomenės  sveikatos </w:t>
                  </w:r>
                  <w:r>
                    <w:rPr>
                      <w:b/>
                      <w:sz w:val="22"/>
                    </w:rPr>
                    <w:t>stebėsenos ir programų</w:t>
                  </w:r>
                  <w:r w:rsidRPr="00696134">
                    <w:rPr>
                      <w:b/>
                      <w:sz w:val="22"/>
                    </w:rPr>
                    <w:t xml:space="preserve"> skyriaus vedėjas</w:t>
                  </w:r>
                </w:p>
              </w:txbxContent>
            </v:textbox>
          </v:rect>
        </w:pict>
      </w:r>
      <w:r w:rsidRPr="00CB16CF">
        <w:rPr>
          <w:noProof/>
        </w:rPr>
        <w:pict>
          <v:rect id="_x0000_s1117" style="position:absolute;left:0;text-align:left;margin-left:264pt;margin-top:10.75pt;width:114pt;height:81pt;z-index:251640832">
            <v:textbox style="mso-next-textbox:#_x0000_s1117">
              <w:txbxContent>
                <w:p w:rsidR="00995BE0" w:rsidRDefault="00995BE0" w:rsidP="00EB426F">
                  <w:pPr>
                    <w:jc w:val="center"/>
                    <w:rPr>
                      <w:b/>
                    </w:rPr>
                  </w:pPr>
                </w:p>
                <w:p w:rsidR="00995BE0" w:rsidRPr="00696134" w:rsidRDefault="00995BE0" w:rsidP="00EB426F">
                  <w:pPr>
                    <w:jc w:val="center"/>
                    <w:rPr>
                      <w:b/>
                      <w:sz w:val="22"/>
                    </w:rPr>
                  </w:pPr>
                  <w:r w:rsidRPr="00696134">
                    <w:rPr>
                      <w:b/>
                      <w:sz w:val="22"/>
                    </w:rPr>
                    <w:t>Sveikatos stiprinimo skyriaus vedėjas</w:t>
                  </w:r>
                </w:p>
              </w:txbxContent>
            </v:textbox>
          </v:rect>
        </w:pict>
      </w:r>
      <w:r w:rsidRPr="00CB16CF">
        <w:rPr>
          <w:noProof/>
        </w:rPr>
        <w:pict>
          <v:rect id="_x0000_s1118" style="position:absolute;left:0;text-align:left;margin-left:384pt;margin-top:10.75pt;width:111.4pt;height:81pt;z-index:251643904">
            <v:textbox style="mso-next-textbox:#_x0000_s1118">
              <w:txbxContent>
                <w:p w:rsidR="00995BE0" w:rsidRDefault="00995BE0" w:rsidP="00EB426F">
                  <w:pPr>
                    <w:jc w:val="center"/>
                    <w:rPr>
                      <w:b/>
                    </w:rPr>
                  </w:pPr>
                </w:p>
                <w:p w:rsidR="00995BE0" w:rsidRDefault="00995BE0" w:rsidP="00EB426F">
                  <w:pPr>
                    <w:jc w:val="center"/>
                    <w:rPr>
                      <w:b/>
                    </w:rPr>
                  </w:pPr>
                  <w:r>
                    <w:rPr>
                      <w:b/>
                    </w:rPr>
                    <w:t>Aptarnaujantis personalas</w:t>
                  </w:r>
                </w:p>
              </w:txbxContent>
            </v:textbox>
          </v:rect>
        </w:pict>
      </w:r>
      <w:r w:rsidRPr="00CB16CF">
        <w:rPr>
          <w:noProof/>
        </w:rPr>
        <w:pict>
          <v:rect id="_x0000_s1119" style="position:absolute;left:0;text-align:left;margin-left:6pt;margin-top:10.75pt;width:120pt;height:81pt;z-index:251638784">
            <v:textbox style="mso-next-textbox:#_x0000_s1119">
              <w:txbxContent>
                <w:p w:rsidR="00995BE0" w:rsidRDefault="00995BE0" w:rsidP="00EB426F">
                  <w:pPr>
                    <w:jc w:val="center"/>
                    <w:rPr>
                      <w:b/>
                      <w:sz w:val="22"/>
                    </w:rPr>
                  </w:pPr>
                </w:p>
                <w:p w:rsidR="00995BE0" w:rsidRPr="00696134" w:rsidRDefault="00995BE0" w:rsidP="00EB426F">
                  <w:pPr>
                    <w:jc w:val="center"/>
                    <w:rPr>
                      <w:b/>
                      <w:sz w:val="22"/>
                    </w:rPr>
                  </w:pPr>
                  <w:r w:rsidRPr="00696134">
                    <w:rPr>
                      <w:b/>
                      <w:sz w:val="22"/>
                    </w:rPr>
                    <w:t>Vaikų ir jaunimo sveikatos priežiūros skyriaus vedėjas</w:t>
                  </w:r>
                </w:p>
              </w:txbxContent>
            </v:textbox>
          </v:rect>
        </w:pict>
      </w:r>
    </w:p>
    <w:p w:rsidR="00995BE0" w:rsidRDefault="00995BE0" w:rsidP="00EB426F">
      <w:pPr>
        <w:autoSpaceDE w:val="0"/>
        <w:autoSpaceDN w:val="0"/>
        <w:adjustRightInd w:val="0"/>
        <w:jc w:val="center"/>
        <w:rPr>
          <w:bCs/>
          <w:sz w:val="20"/>
          <w:szCs w:val="20"/>
        </w:rPr>
      </w:pPr>
    </w:p>
    <w:p w:rsidR="00995BE0" w:rsidRDefault="00995BE0" w:rsidP="00EB426F">
      <w:pPr>
        <w:autoSpaceDE w:val="0"/>
        <w:autoSpaceDN w:val="0"/>
        <w:adjustRightInd w:val="0"/>
        <w:jc w:val="center"/>
        <w:rPr>
          <w:bCs/>
          <w:sz w:val="20"/>
          <w:szCs w:val="20"/>
        </w:rPr>
      </w:pPr>
    </w:p>
    <w:p w:rsidR="00995BE0" w:rsidRDefault="00995BE0" w:rsidP="00EB426F">
      <w:pPr>
        <w:autoSpaceDE w:val="0"/>
        <w:autoSpaceDN w:val="0"/>
        <w:adjustRightInd w:val="0"/>
        <w:jc w:val="center"/>
        <w:rPr>
          <w:bCs/>
          <w:sz w:val="20"/>
          <w:szCs w:val="20"/>
        </w:rPr>
      </w:pPr>
    </w:p>
    <w:p w:rsidR="00995BE0" w:rsidRPr="00A64467" w:rsidRDefault="00995BE0" w:rsidP="00EB426F">
      <w:pPr>
        <w:autoSpaceDE w:val="0"/>
        <w:autoSpaceDN w:val="0"/>
        <w:adjustRightInd w:val="0"/>
        <w:spacing w:line="360" w:lineRule="auto"/>
        <w:ind w:firstLine="720"/>
        <w:jc w:val="both"/>
        <w:rPr>
          <w:rFonts w:ascii="Verdana" w:hAnsi="Verdana"/>
          <w:b/>
          <w:bCs/>
          <w:color w:val="339966"/>
          <w:sz w:val="23"/>
          <w:szCs w:val="23"/>
        </w:rPr>
      </w:pPr>
    </w:p>
    <w:p w:rsidR="00995BE0" w:rsidRPr="00A64467" w:rsidRDefault="00995BE0" w:rsidP="00EB426F">
      <w:pPr>
        <w:spacing w:line="360" w:lineRule="auto"/>
        <w:ind w:left="360" w:hanging="360"/>
        <w:jc w:val="both"/>
      </w:pPr>
    </w:p>
    <w:p w:rsidR="00995BE0" w:rsidRPr="00A64467" w:rsidRDefault="00CB16CF" w:rsidP="00EB426F">
      <w:pPr>
        <w:spacing w:line="360" w:lineRule="auto"/>
        <w:ind w:left="360" w:hanging="360"/>
        <w:jc w:val="both"/>
      </w:pPr>
      <w:r>
        <w:rPr>
          <w:noProof/>
        </w:rPr>
        <w:pict>
          <v:line id="_x0000_s1120" style="position:absolute;left:0;text-align:left;z-index:251661312" from="204pt,5.6pt" to="204pt,23.6pt">
            <v:stroke endarrow="block"/>
          </v:line>
        </w:pict>
      </w:r>
      <w:r>
        <w:rPr>
          <w:noProof/>
        </w:rPr>
        <w:pict>
          <v:line id="_x0000_s1121" style="position:absolute;left:0;text-align:left;z-index:251662336" from="4in,5.6pt" to="4in,23.6pt">
            <v:stroke endarrow="block"/>
          </v:line>
        </w:pict>
      </w:r>
      <w:r>
        <w:rPr>
          <w:noProof/>
        </w:rPr>
        <w:pict>
          <v:line id="_x0000_s1122" style="position:absolute;left:0;text-align:left;flip:x;z-index:251663360" from="390pt,4.1pt" to="6in,23.6pt">
            <v:stroke endarrow="block"/>
          </v:line>
        </w:pict>
      </w:r>
      <w:r>
        <w:rPr>
          <w:noProof/>
        </w:rPr>
        <w:pict>
          <v:line id="_x0000_s1123" style="position:absolute;left:0;text-align:left;z-index:251664384" from="6in,4.1pt" to="450pt,22.1pt">
            <v:stroke endarrow="block"/>
          </v:line>
        </w:pict>
      </w:r>
      <w:r>
        <w:rPr>
          <w:noProof/>
        </w:rPr>
        <w:pict>
          <v:line id="_x0000_s1124" style="position:absolute;left:0;text-align:left;z-index:251660288" from="66pt,4.1pt" to="96pt,22.1pt">
            <v:stroke endarrow="block"/>
          </v:line>
        </w:pict>
      </w:r>
      <w:r>
        <w:rPr>
          <w:noProof/>
        </w:rPr>
        <w:pict>
          <v:line id="_x0000_s1125" style="position:absolute;left:0;text-align:left;flip:x;z-index:251659264" from="48pt,4.1pt" to="66pt,22.1pt">
            <v:stroke endarrow="block"/>
          </v:line>
        </w:pict>
      </w:r>
    </w:p>
    <w:p w:rsidR="00995BE0" w:rsidRPr="00A64467" w:rsidRDefault="00CB16CF" w:rsidP="00EB426F">
      <w:pPr>
        <w:spacing w:line="360" w:lineRule="auto"/>
        <w:ind w:left="360" w:hanging="360"/>
        <w:jc w:val="both"/>
      </w:pPr>
      <w:r>
        <w:rPr>
          <w:noProof/>
        </w:rPr>
        <w:pict>
          <v:rect id="_x0000_s1126" style="position:absolute;left:0;text-align:left;margin-left:414pt;margin-top:2.9pt;width:78pt;height:81pt;z-index:251650048">
            <v:textbox style="mso-next-textbox:#_x0000_s1126">
              <w:txbxContent>
                <w:p w:rsidR="00995BE0" w:rsidRDefault="00995BE0" w:rsidP="00EB426F">
                  <w:pPr>
                    <w:rPr>
                      <w:b/>
                    </w:rPr>
                  </w:pPr>
                </w:p>
                <w:p w:rsidR="00995BE0" w:rsidRPr="00E23227" w:rsidRDefault="00995BE0" w:rsidP="00EB426F">
                  <w:pPr>
                    <w:jc w:val="center"/>
                    <w:rPr>
                      <w:b/>
                      <w:sz w:val="22"/>
                    </w:rPr>
                  </w:pPr>
                  <w:r>
                    <w:rPr>
                      <w:b/>
                      <w:sz w:val="22"/>
                    </w:rPr>
                    <w:t>Vairuotojas</w:t>
                  </w:r>
                </w:p>
              </w:txbxContent>
            </v:textbox>
          </v:rect>
        </w:pict>
      </w:r>
      <w:r>
        <w:rPr>
          <w:noProof/>
        </w:rPr>
        <w:pict>
          <v:rect id="_x0000_s1127" style="position:absolute;left:0;text-align:left;margin-left:258pt;margin-top:2.9pt;width:1in;height:81pt;z-index:251648000">
            <v:textbox style="mso-next-textbox:#_x0000_s1127">
              <w:txbxContent>
                <w:p w:rsidR="00995BE0" w:rsidRPr="00696134" w:rsidRDefault="00995BE0" w:rsidP="00EB426F">
                  <w:pPr>
                    <w:jc w:val="center"/>
                    <w:rPr>
                      <w:b/>
                      <w:sz w:val="22"/>
                    </w:rPr>
                  </w:pPr>
                  <w:r w:rsidRPr="00696134">
                    <w:rPr>
                      <w:b/>
                      <w:sz w:val="22"/>
                    </w:rPr>
                    <w:t xml:space="preserve">Visuomenės sveikatos </w:t>
                  </w:r>
                  <w:r>
                    <w:rPr>
                      <w:b/>
                      <w:sz w:val="22"/>
                    </w:rPr>
                    <w:t>stiprinimo</w:t>
                  </w:r>
                  <w:r w:rsidRPr="00696134">
                    <w:rPr>
                      <w:b/>
                      <w:sz w:val="22"/>
                    </w:rPr>
                    <w:t xml:space="preserve"> specialistai</w:t>
                  </w:r>
                </w:p>
              </w:txbxContent>
            </v:textbox>
          </v:rect>
        </w:pict>
      </w:r>
      <w:r>
        <w:rPr>
          <w:noProof/>
        </w:rPr>
        <w:pict>
          <v:rect id="_x0000_s1128" style="position:absolute;left:0;text-align:left;margin-left:174pt;margin-top:2.9pt;width:1in;height:81pt;z-index:251646976">
            <v:textbox style="mso-next-textbox:#_x0000_s1128">
              <w:txbxContent>
                <w:p w:rsidR="00995BE0" w:rsidRPr="00696134" w:rsidRDefault="00995BE0" w:rsidP="00EB426F">
                  <w:pPr>
                    <w:jc w:val="center"/>
                    <w:rPr>
                      <w:b/>
                      <w:sz w:val="22"/>
                    </w:rPr>
                  </w:pPr>
                  <w:r w:rsidRPr="00696134">
                    <w:rPr>
                      <w:b/>
                      <w:sz w:val="22"/>
                    </w:rPr>
                    <w:t xml:space="preserve">Visuomenės sveikatos </w:t>
                  </w:r>
                  <w:r>
                    <w:rPr>
                      <w:b/>
                      <w:sz w:val="22"/>
                    </w:rPr>
                    <w:t>stebėsenos</w:t>
                  </w:r>
                  <w:r w:rsidRPr="00696134">
                    <w:rPr>
                      <w:b/>
                      <w:sz w:val="22"/>
                    </w:rPr>
                    <w:t xml:space="preserve"> specialistai</w:t>
                  </w:r>
                </w:p>
              </w:txbxContent>
            </v:textbox>
          </v:rect>
        </w:pict>
      </w:r>
      <w:r>
        <w:rPr>
          <w:noProof/>
        </w:rPr>
        <w:pict>
          <v:rect id="_x0000_s1129" style="position:absolute;left:0;text-align:left;margin-left:348pt;margin-top:2.9pt;width:60pt;height:81pt;z-index:251649024">
            <v:textbox style="mso-next-textbox:#_x0000_s1129">
              <w:txbxContent>
                <w:p w:rsidR="00995BE0" w:rsidRDefault="00995BE0" w:rsidP="00EB426F">
                  <w:pPr>
                    <w:rPr>
                      <w:b/>
                    </w:rPr>
                  </w:pPr>
                </w:p>
                <w:p w:rsidR="00995BE0" w:rsidRPr="00E23227" w:rsidRDefault="00995BE0" w:rsidP="00EB426F">
                  <w:pPr>
                    <w:jc w:val="center"/>
                    <w:rPr>
                      <w:b/>
                      <w:sz w:val="22"/>
                    </w:rPr>
                  </w:pPr>
                  <w:r w:rsidRPr="00E23227">
                    <w:rPr>
                      <w:b/>
                      <w:sz w:val="22"/>
                    </w:rPr>
                    <w:t>Ūkvedys</w:t>
                  </w:r>
                </w:p>
              </w:txbxContent>
            </v:textbox>
          </v:rect>
        </w:pict>
      </w:r>
      <w:r>
        <w:rPr>
          <w:noProof/>
        </w:rPr>
        <w:pict>
          <v:rect id="_x0000_s1130" style="position:absolute;left:0;text-align:left;margin-left:84pt;margin-top:1.4pt;width:1in;height:81pt;z-index:251645952">
            <v:textbox style="mso-next-textbox:#_x0000_s1130">
              <w:txbxContent>
                <w:p w:rsidR="00995BE0" w:rsidRPr="00696134" w:rsidRDefault="00995BE0" w:rsidP="00EB426F">
                  <w:pPr>
                    <w:jc w:val="center"/>
                    <w:rPr>
                      <w:b/>
                      <w:sz w:val="22"/>
                    </w:rPr>
                  </w:pPr>
                  <w:r w:rsidRPr="00696134">
                    <w:rPr>
                      <w:b/>
                      <w:sz w:val="22"/>
                    </w:rPr>
                    <w:t>Visuomenės sveikatos priežiūros specialistai</w:t>
                  </w:r>
                </w:p>
              </w:txbxContent>
            </v:textbox>
          </v:rect>
        </w:pict>
      </w:r>
      <w:r>
        <w:rPr>
          <w:noProof/>
        </w:rPr>
        <w:pict>
          <v:rect id="_x0000_s1131" style="position:absolute;left:0;text-align:left;margin-left:6pt;margin-top:1.4pt;width:1in;height:81pt;z-index:251644928">
            <v:textbox style="mso-next-textbox:#_x0000_s1131">
              <w:txbxContent>
                <w:p w:rsidR="00995BE0" w:rsidRPr="00696134" w:rsidRDefault="00995BE0" w:rsidP="00EB426F">
                  <w:pPr>
                    <w:jc w:val="center"/>
                    <w:rPr>
                      <w:b/>
                      <w:sz w:val="22"/>
                    </w:rPr>
                  </w:pPr>
                  <w:r w:rsidRPr="00696134">
                    <w:rPr>
                      <w:b/>
                      <w:sz w:val="22"/>
                    </w:rPr>
                    <w:t>Vaikų ir jaunimo sveikatos priežiūros specialistai</w:t>
                  </w:r>
                </w:p>
              </w:txbxContent>
            </v:textbox>
          </v:rect>
        </w:pict>
      </w:r>
    </w:p>
    <w:p w:rsidR="00995BE0" w:rsidRPr="00A64467" w:rsidRDefault="00995BE0" w:rsidP="00EB426F">
      <w:pPr>
        <w:spacing w:line="360" w:lineRule="auto"/>
        <w:ind w:left="360" w:hanging="360"/>
        <w:jc w:val="both"/>
      </w:pPr>
    </w:p>
    <w:p w:rsidR="00995BE0" w:rsidRPr="00A64467" w:rsidRDefault="00995BE0" w:rsidP="00EB426F">
      <w:pPr>
        <w:spacing w:line="360" w:lineRule="auto"/>
        <w:ind w:left="360" w:hanging="360"/>
        <w:jc w:val="both"/>
      </w:pPr>
    </w:p>
    <w:p w:rsidR="00995BE0" w:rsidRPr="00A64467" w:rsidRDefault="00995BE0" w:rsidP="00EB426F">
      <w:pPr>
        <w:spacing w:line="360" w:lineRule="auto"/>
        <w:ind w:left="360" w:hanging="360"/>
        <w:jc w:val="both"/>
      </w:pPr>
    </w:p>
    <w:p w:rsidR="00995BE0" w:rsidRPr="00A64467" w:rsidRDefault="00995BE0" w:rsidP="00EB426F">
      <w:pPr>
        <w:spacing w:line="360" w:lineRule="auto"/>
        <w:ind w:left="360" w:hanging="360"/>
        <w:jc w:val="both"/>
      </w:pPr>
    </w:p>
    <w:p w:rsidR="00995BE0" w:rsidRPr="002B3BE2" w:rsidRDefault="00CB16CF" w:rsidP="002B3BE2">
      <w:pPr>
        <w:spacing w:line="360" w:lineRule="auto"/>
        <w:ind w:left="360" w:hanging="360"/>
        <w:jc w:val="center"/>
        <w:rPr>
          <w:bCs/>
          <w:sz w:val="20"/>
          <w:szCs w:val="20"/>
        </w:rPr>
      </w:pPr>
      <w:r w:rsidRPr="00CB16CF">
        <w:rPr>
          <w:noProof/>
        </w:rPr>
        <w:pict>
          <v:line id="_x0000_s1132" style="position:absolute;left:0;text-align:left;z-index:251651072" from="312pt,-345.1pt" to="348pt,-345.1pt">
            <v:stroke endarrow="block"/>
          </v:line>
        </w:pict>
      </w:r>
      <w:r w:rsidR="00995BE0" w:rsidRPr="002B3BE2">
        <w:rPr>
          <w:bCs/>
          <w:sz w:val="20"/>
          <w:szCs w:val="20"/>
        </w:rPr>
        <w:t>Šaltinis: Šiaulių miesto savivaldybės visuomenės sveikatos biuras (2011). Struktūra. [žiūrėta 2011-02-22]. Prieiga internete: &lt;</w:t>
      </w:r>
      <w:hyperlink r:id="rId212" w:history="1">
        <w:r w:rsidR="00995BE0" w:rsidRPr="002B3BE2">
          <w:rPr>
            <w:rStyle w:val="Hipersaitas"/>
            <w:bCs/>
            <w:sz w:val="20"/>
            <w:szCs w:val="20"/>
          </w:rPr>
          <w:t>http://www.sveikatos-biuras.lt/index.php?id=20</w:t>
        </w:r>
      </w:hyperlink>
      <w:r w:rsidR="00995BE0" w:rsidRPr="002B3BE2">
        <w:rPr>
          <w:bCs/>
          <w:sz w:val="20"/>
          <w:szCs w:val="20"/>
        </w:rPr>
        <w:t>&gt;.</w:t>
      </w: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Default="00995BE0" w:rsidP="008E467F">
      <w:pPr>
        <w:jc w:val="right"/>
        <w:rPr>
          <w:b/>
        </w:rPr>
      </w:pPr>
    </w:p>
    <w:p w:rsidR="00995BE0" w:rsidRPr="002E3473" w:rsidRDefault="00995BE0" w:rsidP="008E467F">
      <w:pPr>
        <w:jc w:val="right"/>
        <w:rPr>
          <w:b/>
        </w:rPr>
      </w:pPr>
      <w:r>
        <w:rPr>
          <w:b/>
        </w:rPr>
        <w:lastRenderedPageBreak/>
        <w:t>18 priedas</w:t>
      </w:r>
    </w:p>
    <w:p w:rsidR="00995BE0" w:rsidRPr="00D44C35" w:rsidRDefault="00995BE0" w:rsidP="008E467F">
      <w:pPr>
        <w:jc w:val="center"/>
        <w:rPr>
          <w:b/>
        </w:rPr>
      </w:pPr>
      <w:r w:rsidRPr="00D44C35">
        <w:rPr>
          <w:b/>
        </w:rPr>
        <w:t>Interviu metodo rezultatai</w:t>
      </w:r>
    </w:p>
    <w:p w:rsidR="00995BE0" w:rsidRPr="00D44C35" w:rsidRDefault="00995BE0" w:rsidP="008E467F">
      <w:pPr>
        <w:jc w:val="center"/>
        <w:rPr>
          <w:b/>
        </w:rPr>
      </w:pPr>
    </w:p>
    <w:p w:rsidR="00995BE0" w:rsidRDefault="00995BE0" w:rsidP="00944F51">
      <w:pPr>
        <w:jc w:val="both"/>
      </w:pPr>
      <w:r>
        <w:rPr>
          <w:b/>
          <w:sz w:val="28"/>
          <w:szCs w:val="28"/>
        </w:rPr>
        <w:t>E1</w:t>
      </w:r>
      <w:r w:rsidRPr="001D71BB">
        <w:t xml:space="preserve"> </w:t>
      </w:r>
    </w:p>
    <w:p w:rsidR="00995BE0" w:rsidRPr="00E73456" w:rsidRDefault="00995BE0" w:rsidP="00944F51">
      <w:pPr>
        <w:jc w:val="both"/>
        <w:rPr>
          <w:b/>
        </w:rPr>
      </w:pPr>
      <w:r w:rsidRPr="00E73456">
        <w:rPr>
          <w:b/>
        </w:rPr>
        <w:t>Radviliškio rajono savivaldybės visuomenės sveikatos biuro direktorė.</w:t>
      </w:r>
    </w:p>
    <w:p w:rsidR="00995BE0" w:rsidRPr="001D71BB" w:rsidRDefault="00995BE0" w:rsidP="00944F51">
      <w:pPr>
        <w:jc w:val="both"/>
      </w:pPr>
      <w:r w:rsidRPr="001D71BB">
        <w:t xml:space="preserve">Biurai tikrai reikalingi, nes žmonės dar labai klaidžioja sveikos  gyvensenos ,,sunkiame kelyje". Nors informacijos be galo daug, bet kaip  iš tos daugumos išsirinkti tą vienintelę teisingą. Čia ir turi  darbuotis biurai. Ypatingai turi didelį įnašą daryti nuo  ikimokyklinukų, neaplenkiant ir moksleivių. Kokius jiems įgūdžius įskiepysime tokią kartą ir turėsime. Manau, kad šią sritį reiktų  </w:t>
      </w:r>
      <w:r w:rsidRPr="001D71BB">
        <w:br/>
        <w:t xml:space="preserve">daugiau stiprinti. Tobulinti reikėtų biurų finansavimą ir etatinę  struktūrą. Ypatingai su biurų veikla turėtų būti supažindinti  politikai, kad juos pasikviestų ministerija ir išaiškintų visą biurų  </w:t>
      </w:r>
      <w:r w:rsidRPr="001D71BB">
        <w:br/>
        <w:t>veiklą, nes mes jiems ne rodiklis.</w:t>
      </w:r>
    </w:p>
    <w:p w:rsidR="00995BE0" w:rsidRPr="001D71BB" w:rsidRDefault="00995BE0" w:rsidP="00944F51">
      <w:pPr>
        <w:jc w:val="both"/>
      </w:pPr>
      <w:r w:rsidRPr="001D71BB">
        <w:t>dėl etatinės struktūros:</w:t>
      </w:r>
    </w:p>
    <w:p w:rsidR="00995BE0" w:rsidRPr="001D71BB" w:rsidRDefault="00995BE0" w:rsidP="00944F51">
      <w:pPr>
        <w:jc w:val="both"/>
      </w:pPr>
      <w:r w:rsidRPr="001D71BB">
        <w:t xml:space="preserve">1. turi būti atskiras žmogus privalomiesiems mokymams </w:t>
      </w:r>
    </w:p>
    <w:p w:rsidR="00995BE0" w:rsidRPr="001D71BB" w:rsidRDefault="00995BE0" w:rsidP="00944F51">
      <w:pPr>
        <w:jc w:val="both"/>
      </w:pPr>
      <w:r w:rsidRPr="001D71BB">
        <w:t>2.būtinai viešųjų ryšių specialistas dėl viešinimo</w:t>
      </w:r>
    </w:p>
    <w:p w:rsidR="00995BE0" w:rsidRPr="001D71BB" w:rsidRDefault="00995BE0" w:rsidP="00944F51">
      <w:pPr>
        <w:jc w:val="both"/>
      </w:pPr>
      <w:r w:rsidRPr="001D71BB">
        <w:t>3. visi kiti likusieji.</w:t>
      </w:r>
    </w:p>
    <w:p w:rsidR="00995BE0" w:rsidRPr="001D71BB" w:rsidRDefault="00995BE0" w:rsidP="00944F51">
      <w:pPr>
        <w:jc w:val="both"/>
      </w:pPr>
      <w:r w:rsidRPr="001D71BB">
        <w:t xml:space="preserve"> dėl finansavimo:</w:t>
      </w:r>
    </w:p>
    <w:p w:rsidR="00995BE0" w:rsidRPr="001D71BB" w:rsidRDefault="00995BE0" w:rsidP="00944F51">
      <w:pPr>
        <w:jc w:val="both"/>
      </w:pPr>
      <w:r w:rsidRPr="001D71BB">
        <w:t>1. padaryti deleguotą funkciją savivaldybei</w:t>
      </w:r>
    </w:p>
    <w:p w:rsidR="00995BE0" w:rsidRDefault="00995BE0" w:rsidP="00944F51">
      <w:pPr>
        <w:jc w:val="both"/>
      </w:pPr>
      <w:r w:rsidRPr="001D71BB">
        <w:t>2. tada pinigus jau gautumėm pradžioje metų, o ne kaip dabar-liepos mėn.</w:t>
      </w:r>
    </w:p>
    <w:p w:rsidR="00995BE0" w:rsidRPr="001D71BB" w:rsidRDefault="00995BE0" w:rsidP="00944F51">
      <w:pPr>
        <w:jc w:val="both"/>
      </w:pPr>
    </w:p>
    <w:p w:rsidR="00995BE0" w:rsidRDefault="00995BE0" w:rsidP="00944F51">
      <w:pPr>
        <w:jc w:val="both"/>
        <w:rPr>
          <w:b/>
        </w:rPr>
      </w:pPr>
      <w:r>
        <w:rPr>
          <w:b/>
        </w:rPr>
        <w:t xml:space="preserve">E2 </w:t>
      </w:r>
    </w:p>
    <w:p w:rsidR="00995BE0" w:rsidRPr="00E73456" w:rsidRDefault="00995BE0" w:rsidP="00944F51">
      <w:pPr>
        <w:jc w:val="both"/>
        <w:rPr>
          <w:b/>
        </w:rPr>
      </w:pPr>
      <w:r w:rsidRPr="00E73456">
        <w:rPr>
          <w:b/>
        </w:rPr>
        <w:t>Šiaulių universiteto socialinės gerovės ir negalės studijų fakulteto Medicinos pagrindų katedros vedėjas.</w:t>
      </w:r>
    </w:p>
    <w:p w:rsidR="00995BE0" w:rsidRPr="001D71BB" w:rsidRDefault="00995BE0" w:rsidP="00944F51">
      <w:pPr>
        <w:jc w:val="both"/>
      </w:pPr>
      <w:r w:rsidRPr="001D71BB">
        <w:t>Rodikliai. Ne visi rodikliai, patvirtinti SAM, adekvačiai atspindi gyventojų šiuolaikinę sveikatą. Biuro tikslas yra stiprinti sveikatą, o kaip tą padaryti? Negalima pasakyti koks yra gyventojų fizinis aktyvumas ar pavyzdžiui kiek iš viso mieste yra skaitytų pranešimų sveikatinimo tema. Neparametriniai rodikliai, SAM manė, kad kitų nereikia, todėl jie ir nėra įtraukti į sąrašą. Todėl būtų toks siūlymas įtraukti juos į renkamų sąrašą, bei sukurti analizės sistemą. Kita problema - žiniasklaida, prie sveikatinimo prisiliečia labai minimaliai.</w:t>
      </w:r>
    </w:p>
    <w:p w:rsidR="00995BE0" w:rsidRPr="001D71BB" w:rsidRDefault="00995BE0" w:rsidP="00944F51">
      <w:pPr>
        <w:jc w:val="both"/>
      </w:pPr>
      <w:r w:rsidRPr="001D71BB">
        <w:t>Kitą, dar viena labai svarbi problema, kurią būtiną spręsti – kad mokyklose būtų atitinkama disciplina, skirta sveikatos ugdymui mokyti. Tačiau, tam, kad galėtų visuomenės sveikatos priežiūros specialistai, dirbantys mokyklose tai padaryti, jie turi būti tam kompetentingi, t.y., turėtų 4 metų edukacinių studijų. Tai turėtų padaryti švietimo ir mokslo ministerija.</w:t>
      </w:r>
    </w:p>
    <w:p w:rsidR="00995BE0" w:rsidRPr="001D71BB" w:rsidRDefault="00995BE0" w:rsidP="00944F51">
      <w:pPr>
        <w:jc w:val="both"/>
      </w:pPr>
      <w:r w:rsidRPr="001D71BB">
        <w:t>Šeimos pajungimas į sveikatinimo veiklą.</w:t>
      </w:r>
    </w:p>
    <w:p w:rsidR="00995BE0" w:rsidRPr="001D71BB" w:rsidRDefault="00995BE0" w:rsidP="00944F51">
      <w:pPr>
        <w:jc w:val="both"/>
      </w:pPr>
      <w:r w:rsidRPr="001D71BB">
        <w:t>Komandos kiekvienoje mokykloje, į kurią įeina socialinis pedagogas, visuomenės sveikatos priežiūros specialistas, psichologas.</w:t>
      </w:r>
    </w:p>
    <w:p w:rsidR="00995BE0" w:rsidRPr="001D71BB" w:rsidRDefault="00995BE0" w:rsidP="00944F51">
      <w:pPr>
        <w:jc w:val="both"/>
      </w:pPr>
      <w:r w:rsidRPr="001D71BB">
        <w:t xml:space="preserve">Stebėsena turi žinoti ką konkrečiai ir kokiai problemai spręsti darė (pranešimus, akcijos, paskaitos ir pan.). </w:t>
      </w:r>
    </w:p>
    <w:p w:rsidR="00995BE0" w:rsidRPr="001D71BB" w:rsidRDefault="00995BE0" w:rsidP="00944F51">
      <w:pPr>
        <w:jc w:val="both"/>
      </w:pPr>
      <w:r w:rsidRPr="001D71BB">
        <w:t>Sveikatos politika, būtina bendradarbiauti, palaikyti ryšius su politikais. Juos reikia įtraukti į biuro gyvenimą, nes nuo jų sprendimų daug priklauso.</w:t>
      </w:r>
    </w:p>
    <w:p w:rsidR="00995BE0" w:rsidRPr="001D71BB" w:rsidRDefault="00995BE0" w:rsidP="00944F51">
      <w:pPr>
        <w:jc w:val="both"/>
      </w:pPr>
      <w:r w:rsidRPr="001D71BB">
        <w:t>Nuomonė apie biurus, jų steigimą. Teigiam</w:t>
      </w:r>
      <w:r>
        <w:t>a</w:t>
      </w:r>
      <w:r w:rsidRPr="001D71BB">
        <w:t>, tačiau yra nemažai trūkumų: specialistų nekvalifikuotumas, įtraukiant ir nepakankamos kvalifikacijos administracijos darbuotojus.</w:t>
      </w:r>
      <w:r>
        <w:t xml:space="preserve"> </w:t>
      </w:r>
      <w:r w:rsidRPr="001D71BB">
        <w:t>Biuras turėtų platinti, skelbti apie savo veiklą per žiniasklaidos priemones.</w:t>
      </w:r>
    </w:p>
    <w:p w:rsidR="00995BE0" w:rsidRPr="001D71BB" w:rsidRDefault="00995BE0" w:rsidP="00944F51">
      <w:pPr>
        <w:jc w:val="both"/>
      </w:pPr>
      <w:r w:rsidRPr="001D71BB">
        <w:t>Mokyklų vadovai nesupranta biuro veiklos reikšmingumo</w:t>
      </w:r>
    </w:p>
    <w:p w:rsidR="00995BE0" w:rsidRPr="001D71BB" w:rsidRDefault="00995BE0" w:rsidP="00944F51"/>
    <w:p w:rsidR="00995BE0" w:rsidRDefault="00995BE0" w:rsidP="00944F51">
      <w:pPr>
        <w:rPr>
          <w:b/>
        </w:rPr>
      </w:pPr>
      <w:r w:rsidRPr="004E20D7">
        <w:rPr>
          <w:b/>
        </w:rPr>
        <w:t xml:space="preserve">E3 </w:t>
      </w:r>
    </w:p>
    <w:p w:rsidR="00995BE0" w:rsidRPr="004E20D7" w:rsidRDefault="00995BE0" w:rsidP="00944F51">
      <w:pPr>
        <w:rPr>
          <w:b/>
        </w:rPr>
      </w:pPr>
      <w:r w:rsidRPr="00E73456">
        <w:rPr>
          <w:b/>
        </w:rPr>
        <w:t>Šiaulių teritorinės ligonių kasos analizės skyriaus vedėja</w:t>
      </w:r>
      <w:r w:rsidRPr="00E73456">
        <w:t>.</w:t>
      </w:r>
    </w:p>
    <w:p w:rsidR="00995BE0" w:rsidRPr="001D71BB" w:rsidRDefault="00995BE0" w:rsidP="00944F51">
      <w:pPr>
        <w:jc w:val="both"/>
      </w:pPr>
      <w:r w:rsidRPr="001D71BB">
        <w:t xml:space="preserve">Retoj savivaldybėj požiūris yra teigiamas, kad savivaldybė, politikai žiūrėtų į visuomenės sveikatos biurus kaip į tikrai žmonių sveikatos saugojimo garantą. Jie žiūri į biurus kaip į dar vieną, nereikalingą biudžetinę įstaigą, kuri ima žmonių pinigus, kuri nieko nedaro, jie nori rezultato šiandien ir dabar ir suvokimas, kad rezultatai atsiranda vėliau, nesupranta. Biuras kai padirbs 10 metų mažiausiai, tada jau galime žiūrėti ar yra bent kokių pokyčių mūsų visuomenės sveikatos </w:t>
      </w:r>
      <w:r w:rsidRPr="001D71BB">
        <w:lastRenderedPageBreak/>
        <w:t>srityje. O dabar tikėtis kokių tai rezultatų nerealu, biurai tik gali pateikti kaip tokį rezultatą už metus kaip veiklos ataskaitą. Joje matosi kiek padaryta sveikatos stiprinimo srityje, kokio pobūdžio, kokioms bendruomenės grupėms, kaip dirba mokinių visuomenės sveikatos specialistai, kokie atlikti stebėsenos tyrimai, rodikliai, kas išleista, kas padaryta. Šiuo metu tik taip galima vertinti VSB veiklą. Todėl politikų noras pamatyti pokyčius per jų kadenciją (4 m.), nėra įgyvendinamas. Todėl ir nėra biurai taip priimami kaip norėtųsi. Didžioji dalis mūsų politikų nesuvokia visos visuomenės sveikatos esmės, kas įtakoja visuomenės sveikatą ir kas turėtų ką daryti, kad ta sveikata gerėtų. Yra keli momentai į kuriuos jie neatsižvelgia: jie galvoja, kad VSB yra vienas atsakingas už sveikatą, o ne tai, jog visuomenės sveikata yra organizacinė, įvairiausių institucijų bendradarbiavimo ir strateginio mąstymo priemonės visos tos, kurios padeda gerinti sveikatą, t.y. ir aplinkos sveikata, gyventojų sveikata, psichologinis gerbūvio, socialinė aplinka, taip kad apie sveikatą mes galime kalbėti visapusiškai tik iš tų trijų pozicijų. Biuras yra tas organas, kuris gali būti kaip tarpinė grandis tarp visų institucijų, padėti joms draugauti, būti jungiamoji grandis tarp politikų ir socialinės visos rūpybos sistemos ir psichologinės visos žmonių gerinimo sistemos ir asmens sveikatos. Kada atsiras toks požiūris ir supratimas nėra aišku, nes pvz., Olandai darydami šį visuomenės sveikatos pertvarkymo veiklą, jie priėmė biurą, kaip instituciją tik po 20 metų.</w:t>
      </w:r>
    </w:p>
    <w:p w:rsidR="00995BE0" w:rsidRPr="001D71BB" w:rsidRDefault="00995BE0" w:rsidP="00944F51">
      <w:pPr>
        <w:jc w:val="both"/>
      </w:pPr>
      <w:r w:rsidRPr="001D71BB">
        <w:t>Nėra išspręstas finansavimo klausimas, nuo pat įkūrimo ši problema egzistuoja. Savivaldybei yra ribota ši funkcija, jiems tarsi deleguota ši funkcija valstybės, tačiau nėra atskira eilute išskirta pinigų ir tas dalykas yra didžiausias trukdis, kuris neleidžia biurams plėtotis dėl tų lėšų, be to kalbama, kad nuo 2011 m. savivaldybė turės išlaikyti savo darbuotojus, nors veiklai SAM duos lėšų VSB.</w:t>
      </w:r>
    </w:p>
    <w:p w:rsidR="00995BE0" w:rsidRPr="001D71BB" w:rsidRDefault="00995BE0" w:rsidP="00944F51">
      <w:pPr>
        <w:jc w:val="both"/>
      </w:pPr>
      <w:r w:rsidRPr="001D71BB">
        <w:t>Požiūris toks, kad kol nėra tokio įstatymo ir savivaldos įstatyme pakeitimų padarytų ir visuose po to sekančiuose, kad valstybė skirtų lėšas biurams atskira eilute, t. y. kad savivaldybės atliktų visuomenės sveikatos funkciją savivaldybės, bet kad pinigai iš valstybės biudžeto tiksliškai ateitų biurams atskira eilute ir veiklai ir atlygiams. Tada savivaldybės požiūris keistųsi į teigiamą pusę, o ir patiems biurams būtų ramiau, jog jų finansavimas yra garantuotas. Nors visa pasaulinė praktika rodo, kad užsiėmimas sveikatinimo veikla, iš pradžių stebėsena, monitoringas, numatymas, kokios sveikatinimo programos galėtų būti papildomai finansuojamos, kokie galėtų būti prioritetai, po to mokinių sveikata jų įvertinimas ir vykdymas, ir galiausiai sveikatos stiprinimas bendruomenėje – kaip tai turėtų būti dar</w:t>
      </w:r>
      <w:r>
        <w:t>oma, kad tai būtų ne tik popieriuje</w:t>
      </w:r>
      <w:r w:rsidRPr="001D71BB">
        <w:t xml:space="preserve"> strategiškai išdėstyta. Labai dar priklauso nuo vadovų įstaigoje, nes vadovas neturėtų gąsdinti savo darbuotojų.</w:t>
      </w:r>
    </w:p>
    <w:p w:rsidR="00995BE0" w:rsidRPr="001D71BB" w:rsidRDefault="00995BE0" w:rsidP="00944F51">
      <w:pPr>
        <w:jc w:val="both"/>
      </w:pPr>
      <w:r w:rsidRPr="001D71BB">
        <w:t>Siūlyčiau parengtą strategiją išsinagrinėti, palyginti su ataskaitomis ir pažiūrėti ar atliekami darbai atitinka išsikeltus tikslus. Ir tuomet reikia nustatyti kurioje srityje reikia dar padirbėti, ką patobulinti, kažką išmesti. Dirbti turėtum ne viena, administracija turi padėti. Labai bloga situacija kai vyksta nuolatinė darbuotojų kaita – rodo, kad jie nesijaučia tvirtai darbe.</w:t>
      </w:r>
    </w:p>
    <w:p w:rsidR="00995BE0" w:rsidRDefault="00995BE0" w:rsidP="00944F51">
      <w:pPr>
        <w:jc w:val="both"/>
      </w:pPr>
      <w:r w:rsidRPr="001D71BB">
        <w:t>Senąją strategiją ruošė teoretikas, mažai kreipdamas dėmesį į praktikus (KMU mokslininkai).</w:t>
      </w:r>
    </w:p>
    <w:p w:rsidR="00995BE0" w:rsidRPr="001D71BB" w:rsidRDefault="00995BE0" w:rsidP="00944F51">
      <w:pPr>
        <w:jc w:val="both"/>
      </w:pPr>
    </w:p>
    <w:p w:rsidR="00995BE0" w:rsidRDefault="00995BE0" w:rsidP="00944F51">
      <w:pPr>
        <w:jc w:val="both"/>
        <w:rPr>
          <w:b/>
        </w:rPr>
      </w:pPr>
      <w:r>
        <w:rPr>
          <w:b/>
        </w:rPr>
        <w:t>E</w:t>
      </w:r>
      <w:r w:rsidRPr="0087786E">
        <w:rPr>
          <w:b/>
        </w:rPr>
        <w:t>4</w:t>
      </w:r>
      <w:r>
        <w:rPr>
          <w:b/>
        </w:rPr>
        <w:t xml:space="preserve"> </w:t>
      </w:r>
    </w:p>
    <w:p w:rsidR="00995BE0" w:rsidRPr="00E73456" w:rsidRDefault="00995BE0" w:rsidP="00944F51">
      <w:pPr>
        <w:jc w:val="both"/>
        <w:rPr>
          <w:b/>
          <w:sz w:val="32"/>
          <w:szCs w:val="32"/>
        </w:rPr>
      </w:pPr>
      <w:r w:rsidRPr="00E73456">
        <w:rPr>
          <w:b/>
        </w:rPr>
        <w:t>Šiaulių miesto savivaldybės visuomenės sveikatos biuro direktorė</w:t>
      </w:r>
      <w:r w:rsidRPr="00E73456">
        <w:rPr>
          <w:b/>
          <w:sz w:val="32"/>
          <w:szCs w:val="32"/>
        </w:rPr>
        <w:t>.</w:t>
      </w:r>
    </w:p>
    <w:p w:rsidR="00995BE0" w:rsidRDefault="00995BE0" w:rsidP="00944F51">
      <w:pPr>
        <w:jc w:val="both"/>
      </w:pPr>
      <w:r w:rsidRPr="00BD11DA">
        <w:t>Biurų kūrimasis nebuvo netikėtas, nes visada buvo akcentuojama asmens sveikata, gydymas, kuo geresnis išgydymas</w:t>
      </w:r>
      <w:r>
        <w:t>, o biurų atsiradimas iškėlė naują tikslą – bendruomenės sveikata. Svarbiausia išmokyti žmones, kad ne tik vaistą reikia išgerti kai skauda, bet siekti to, kad nereiktų to vaisto gerti. To siekti galima visomis mūsų mokymo priemonėmis. Problema yra ta, kad veikla yra labai plati. Biuro skyrių darbas persipina, tarp jų turi vykti bendradarbiavimas. Pagal stebėsenos rodiklius turi orientuotis stiprinimo ir vaikų skyrių specialistai, kad žinotų kuria linkme dirbti. Neužtenka susikurti strategiją ar priemonių planą jį turėti tik kaip dokumentą, turėtų būti ir vertinimas. Skyriai kiekvienais metai kuriasi savo darbo planus, bet vertinimo nėra, o turėtų būti. Universitetuose turi būti visuomenės sveikatos dalykas suvienodintas, neturėtų būti tokie skirtumai tarp atskirų universitetų, be to trūksta medicininių žinių.  Silpnybė – nepakanka patalpų mokymams, užsienio kalbų nemokėjimas.</w:t>
      </w:r>
    </w:p>
    <w:p w:rsidR="00995BE0" w:rsidRDefault="00995BE0" w:rsidP="00944F51">
      <w:pPr>
        <w:jc w:val="both"/>
      </w:pPr>
    </w:p>
    <w:p w:rsidR="00995BE0" w:rsidRPr="001D71BB" w:rsidRDefault="00995BE0" w:rsidP="00944F51">
      <w:pPr>
        <w:jc w:val="both"/>
        <w:rPr>
          <w:b/>
          <w:sz w:val="32"/>
          <w:szCs w:val="32"/>
        </w:rPr>
      </w:pPr>
    </w:p>
    <w:p w:rsidR="00995BE0" w:rsidRDefault="00995BE0" w:rsidP="00944F51">
      <w:pPr>
        <w:jc w:val="both"/>
        <w:rPr>
          <w:b/>
        </w:rPr>
      </w:pPr>
    </w:p>
    <w:p w:rsidR="00995BE0" w:rsidRDefault="00995BE0" w:rsidP="00944F51">
      <w:pPr>
        <w:jc w:val="both"/>
        <w:rPr>
          <w:b/>
        </w:rPr>
      </w:pPr>
      <w:r>
        <w:rPr>
          <w:b/>
        </w:rPr>
        <w:lastRenderedPageBreak/>
        <w:t>E</w:t>
      </w:r>
      <w:r w:rsidRPr="0087786E">
        <w:rPr>
          <w:b/>
        </w:rPr>
        <w:t xml:space="preserve">5 </w:t>
      </w:r>
    </w:p>
    <w:p w:rsidR="00995BE0" w:rsidRDefault="00995BE0" w:rsidP="00944F51">
      <w:pPr>
        <w:jc w:val="both"/>
        <w:rPr>
          <w:b/>
          <w:sz w:val="32"/>
          <w:szCs w:val="32"/>
        </w:rPr>
      </w:pPr>
      <w:r w:rsidRPr="0087786E">
        <w:rPr>
          <w:b/>
        </w:rPr>
        <w:t>Klaipėdos rajono visuomenės sveikatos biuro direktorė, visuomenės sveikatos biurų asociacijos prezidentė.</w:t>
      </w:r>
    </w:p>
    <w:p w:rsidR="00995BE0" w:rsidRDefault="00995BE0" w:rsidP="00944F51">
      <w:pPr>
        <w:jc w:val="both"/>
      </w:pPr>
      <w:r w:rsidRPr="00255F51">
        <w:t>Žinoma, kad biurai reikalingi. Ateis toks metas, kada visas finansavimas bus iš valstybės. Tačiau šiuo metu reikėtų sutvarkyti paslaugų nomenklatūrą, lėšų poreikio skaičiaus metodiką</w:t>
      </w:r>
      <w:r>
        <w:t>. Galimas vienas iš sprendimų būdų – lėšas skirti priklausomai nuo savivaldybėje gyvenančių žmonių skaičiaus. Būtina stiprinimo specialistams suprasti, kad nėra efektyvu rengti konkursus ir akcijas. Nemanau, kad ilgiau išsilaikys VS biurai nedidelėse savivaldybėse, tikėtina, kad išliks tik apskričių centrai, tačiau reikia nepamiršti, kad specialistai neturėtų prarasti darbų. Atlyginimų skyrimas nesutvarkytas. Savivaldybėse yra skaičiuojamas vidurkis ir pagal specialistų skaičių skiriami pinigai atlyginimams, pasidalijimas – vadovo reikalas kam skirs mažiau, - kam daugiau.</w:t>
      </w:r>
    </w:p>
    <w:p w:rsidR="00995BE0" w:rsidRDefault="00995BE0" w:rsidP="00944F51">
      <w:pPr>
        <w:jc w:val="both"/>
        <w:rPr>
          <w:b/>
          <w:sz w:val="32"/>
          <w:szCs w:val="32"/>
        </w:rPr>
      </w:pPr>
    </w:p>
    <w:p w:rsidR="00995BE0" w:rsidRDefault="00995BE0" w:rsidP="00944F51">
      <w:pPr>
        <w:jc w:val="both"/>
        <w:rPr>
          <w:b/>
        </w:rPr>
      </w:pPr>
      <w:r w:rsidRPr="009F2A0F">
        <w:rPr>
          <w:b/>
        </w:rPr>
        <w:t>E6</w:t>
      </w:r>
      <w:r w:rsidRPr="0087786E">
        <w:rPr>
          <w:b/>
        </w:rPr>
        <w:t xml:space="preserve"> </w:t>
      </w:r>
    </w:p>
    <w:p w:rsidR="00995BE0" w:rsidRDefault="00995BE0" w:rsidP="00944F51">
      <w:pPr>
        <w:jc w:val="both"/>
        <w:rPr>
          <w:b/>
          <w:sz w:val="28"/>
          <w:szCs w:val="28"/>
        </w:rPr>
      </w:pPr>
      <w:r w:rsidRPr="0087786E">
        <w:rPr>
          <w:b/>
        </w:rPr>
        <w:t>Šiaulių visuomenės sveikatos centro direktorius</w:t>
      </w:r>
      <w:r w:rsidRPr="00E22ACD">
        <w:rPr>
          <w:b/>
          <w:sz w:val="28"/>
          <w:szCs w:val="28"/>
        </w:rPr>
        <w:t>.</w:t>
      </w:r>
      <w:r>
        <w:rPr>
          <w:b/>
          <w:sz w:val="28"/>
          <w:szCs w:val="28"/>
        </w:rPr>
        <w:t xml:space="preserve"> </w:t>
      </w:r>
    </w:p>
    <w:p w:rsidR="00995BE0" w:rsidRDefault="00995BE0" w:rsidP="00944F51">
      <w:pPr>
        <w:jc w:val="both"/>
      </w:pPr>
      <w:r w:rsidRPr="00C55FCD">
        <w:t>Manau, kad biurai reikalingi, pats buvau jų iniciatorius, nes kaip tik iš mano įstaigos „išplėšė“ skyrių ir sukūrė naują organizaciją. Tačiau vis dar trūksta kvalifikuotų specialistų, taip pat nesutvarkytas finansavimas ir aplamai savivaldybė per mažai skiria visuomenei sveikatai. Reikia apie 10 metų, kad realiai pasimatytų biurų teikiama nauda ir rezultatai. Kiekvienai savivaldybei biuro nereikia, jų per daug.</w:t>
      </w:r>
    </w:p>
    <w:p w:rsidR="00995BE0" w:rsidRDefault="00995BE0" w:rsidP="00944F51">
      <w:pPr>
        <w:jc w:val="both"/>
      </w:pPr>
    </w:p>
    <w:p w:rsidR="00995BE0" w:rsidRDefault="00995BE0" w:rsidP="009F2A0F">
      <w:pPr>
        <w:jc w:val="both"/>
        <w:rPr>
          <w:b/>
        </w:rPr>
      </w:pPr>
      <w:r>
        <w:rPr>
          <w:b/>
        </w:rPr>
        <w:t>E</w:t>
      </w:r>
      <w:r w:rsidRPr="0087786E">
        <w:rPr>
          <w:b/>
        </w:rPr>
        <w:t xml:space="preserve">7 </w:t>
      </w:r>
    </w:p>
    <w:p w:rsidR="00995BE0" w:rsidRDefault="00995BE0" w:rsidP="009F2A0F">
      <w:pPr>
        <w:jc w:val="both"/>
      </w:pPr>
      <w:r w:rsidRPr="0087786E">
        <w:rPr>
          <w:b/>
        </w:rPr>
        <w:t xml:space="preserve">Šiaulių </w:t>
      </w:r>
      <w:r>
        <w:rPr>
          <w:b/>
        </w:rPr>
        <w:t xml:space="preserve">miesto savivaldybės </w:t>
      </w:r>
      <w:r w:rsidRPr="0087786E">
        <w:rPr>
          <w:b/>
        </w:rPr>
        <w:t>visuomenės sveikatos biuro vaikų ir jaunimo priežiūros skyriaus vedėja</w:t>
      </w:r>
      <w:r>
        <w:t xml:space="preserve">. </w:t>
      </w:r>
      <w:r w:rsidRPr="00DD405A">
        <w:t>2007 m. gegužės 24 d. Lietuvos Respublikos visuomenės sveikatos priežiūros įstatymo</w:t>
      </w:r>
      <w:r>
        <w:t xml:space="preserve"> priimtoje</w:t>
      </w:r>
      <w:r w:rsidRPr="00DD405A">
        <w:t xml:space="preserve"> naujoje redakcijoje (Žin., 2007, Nr. </w:t>
      </w:r>
      <w:hyperlink r:id="rId213" w:history="1">
        <w:r w:rsidRPr="00944F51">
          <w:rPr>
            <w:rStyle w:val="Hipersaitas"/>
            <w:color w:val="auto"/>
            <w:u w:val="none"/>
          </w:rPr>
          <w:t>64–2455</w:t>
        </w:r>
      </w:hyperlink>
      <w:r w:rsidRPr="00944F51">
        <w:t>)</w:t>
      </w:r>
      <w:r w:rsidRPr="00DD405A">
        <w:t xml:space="preserve"> aiškiai apibrėžta visuomenės sveikatos priežiūra valstybės ir savivaldybių lygiu</w:t>
      </w:r>
      <w:r>
        <w:t xml:space="preserve">. Joje </w:t>
      </w:r>
      <w:r w:rsidRPr="00DD405A">
        <w:t xml:space="preserve">nustatyta, kad nuo 2008 m. sausio 1 d. savivaldybės visuomenės sveikatos priežiūros funkcijoms vykdyti steigia visuomenės sveikatos priežiūros biudžetines įstaigas – savivaldybių visuomenės sveikatos biurus. </w:t>
      </w:r>
      <w:r>
        <w:t>Pagrindinis Biuro veiklos tikslas – rūpintis savivaldybės gyventojų sveikata, vykdyti visuomenės sveikatos priežiūrą, siekiant mažinti gyventojų sergamumą ir mirtingumą, gerinti gyventojų kokybę, teikiant kokybiškas visuomenės sveikatos priežiūros paslaugas.</w:t>
      </w:r>
    </w:p>
    <w:p w:rsidR="00995BE0" w:rsidRDefault="00995BE0" w:rsidP="00944F51">
      <w:pPr>
        <w:ind w:firstLine="720"/>
        <w:jc w:val="both"/>
      </w:pPr>
      <w:r w:rsidRPr="00DD405A">
        <w:t xml:space="preserve">Viena iš pagrindinių savivaldybių visuomenės sveikatos priežiūros funkcijų, yra visuomenės sveikatos stebėsena siekiant gauti išsamią informaciją apie gyventojų sveikatos būklę ir ją lemiančius rizikos veiksnius, nustatyti visuomenės sveikatos problemas ir visuomenės sveikatos stiprinimo prioritetus, taip pat remiantis objektyvia informacija planuoti ir įgyvendinti vietines visuomenės sveikatos stiprinimo ir prevencijos programas. </w:t>
      </w:r>
      <w:r>
        <w:t>Svarbu savivaldybių gyventojams teikti kokybiškas sveikatos stiprinimo paslaugas, išskirtinį dėmesį skiriant vaikų ir jaunimo sveikatos stiprinimui.</w:t>
      </w:r>
    </w:p>
    <w:p w:rsidR="00995BE0" w:rsidRDefault="00995BE0" w:rsidP="00944F51">
      <w:pPr>
        <w:ind w:firstLine="720"/>
        <w:jc w:val="both"/>
      </w:pPr>
      <w:r>
        <w:t xml:space="preserve">Šiuo metu Lietuvoje visuomenės sveikatos priežiūros paslaugas savivaldybių gyventojams teikia 32 Biurai. Biuruose dirba visuomenės sveikatos stebėsenos, visuomenės sveikatos stiprinimo bei vaikų ir jaunimo sveikatos priežiūros specialistai. Iš 32 Biurų tik 18 turi suformavę pilną komandą (visus specialistus), 7 trūksta visuomenės sveikatos stiprinimo specialisto, 6 – vaikų ir jaunimo sveikatos priežiūros specialisto, 5 – visuomenės sveikatos stebėsenos specialisto. Kaip bebūtų gaila 2 Biuruose Lietuvoje šiuo metu yra tik direktoriai. </w:t>
      </w:r>
      <w:r w:rsidRPr="00735581">
        <w:rPr>
          <w:i/>
        </w:rPr>
        <w:t>Nesuformuotos struktūros</w:t>
      </w:r>
      <w:r>
        <w:rPr>
          <w:i/>
        </w:rPr>
        <w:t>, žmogiškųjų resursų trūkumas</w:t>
      </w:r>
      <w:r w:rsidRPr="00735581">
        <w:rPr>
          <w:i/>
        </w:rPr>
        <w:t xml:space="preserve"> blogina visuomenės sveikatos paslaugų teikimo gyventojams kokybę.</w:t>
      </w:r>
    </w:p>
    <w:p w:rsidR="00995BE0" w:rsidRDefault="00995BE0" w:rsidP="00610E0D">
      <w:pPr>
        <w:autoSpaceDE w:val="0"/>
        <w:autoSpaceDN w:val="0"/>
        <w:adjustRightInd w:val="0"/>
        <w:ind w:firstLine="720"/>
        <w:jc w:val="both"/>
      </w:pPr>
      <w:r w:rsidRPr="004D6E57">
        <w:t>Visuomenės sveikatos iššūkiai reikalauja</w:t>
      </w:r>
      <w:r>
        <w:t>, kad</w:t>
      </w:r>
      <w:r w:rsidRPr="004D6E57">
        <w:t xml:space="preserve"> šiuolaikin</w:t>
      </w:r>
      <w:r>
        <w:t>ę</w:t>
      </w:r>
      <w:r w:rsidRPr="004D6E57">
        <w:t xml:space="preserve"> visuomenės sveikatos priežiūr</w:t>
      </w:r>
      <w:r>
        <w:t>ą, teiktų</w:t>
      </w:r>
      <w:r w:rsidRPr="004D6E57">
        <w:t xml:space="preserve"> aukštos profesinės kompetencijos visuomenės sveikatos specialist</w:t>
      </w:r>
      <w:r>
        <w:t>ai</w:t>
      </w:r>
      <w:r w:rsidRPr="004D6E57">
        <w:t>, geban</w:t>
      </w:r>
      <w:r>
        <w:t>tys</w:t>
      </w:r>
      <w:r w:rsidRPr="004D6E57">
        <w:t xml:space="preserve"> formuoti ir įgyvendinti aktyvią sveikatos politiką, įtraukiant</w:t>
      </w:r>
      <w:r>
        <w:t>ys</w:t>
      </w:r>
      <w:r w:rsidRPr="004D6E57">
        <w:t xml:space="preserve"> į sveikatinimo veiklą visus sektorius, siekiant gyventojų sveikatos gerėjimo</w:t>
      </w:r>
      <w:r>
        <w:t xml:space="preserve">. </w:t>
      </w:r>
      <w:r w:rsidRPr="004D6E57">
        <w:t>Visuomenės sveikatos specialistai turi tapti „varomąja jėga“ atlikdami tarpininko ir informacijos skleidėjo funkcijas, dirbdami su kitais visuomenės partneriais.</w:t>
      </w:r>
      <w:r>
        <w:t xml:space="preserve"> </w:t>
      </w:r>
      <w:r w:rsidRPr="00735581">
        <w:rPr>
          <w:i/>
        </w:rPr>
        <w:t xml:space="preserve">Problema Biuruose – </w:t>
      </w:r>
      <w:r>
        <w:rPr>
          <w:i/>
        </w:rPr>
        <w:t>nepakankama esamų specialistų kvalifikacija</w:t>
      </w:r>
      <w:r>
        <w:t xml:space="preserve"> (mokyklose dažniausiai dirba med. felčerio, slaugytojo išsilavinimą turintys specialistai). Biurų specialistams yra numatyti tobulinimo kursai, tačiau visuomenės sveikatos specialistų tobulinimo sistemos Lietuvoje dar nėra </w:t>
      </w:r>
      <w:r>
        <w:lastRenderedPageBreak/>
        <w:t xml:space="preserve">(šiuo metu vykdomas projektas, kurio metu sistema kuriama. Projektas bus baigtas 2012 m.). </w:t>
      </w:r>
      <w:r w:rsidRPr="00173727">
        <w:rPr>
          <w:i/>
        </w:rPr>
        <w:t>Visuomenės sveikatos priežiūros sektorius nepakankamai finansuojamas. Nesutvarkytas iki galo ir Biurų finansavimo mechanizmas.</w:t>
      </w:r>
      <w:r>
        <w:t xml:space="preserve"> Iš SAM lėšos, skirtos visuomenės sveikatos paslaugų teikimui pasiekia Biurus dažniausiai vasaros pabaigoje, tuo nulemdami nuolatinį Biurų darbo disbalansą (neįmanoma planuoti paslaugų, nežinant gaunamo finansavimo). </w:t>
      </w:r>
      <w:r w:rsidRPr="0024173E">
        <w:rPr>
          <w:i/>
        </w:rPr>
        <w:t xml:space="preserve">Biurams trūksta vieningo metodinio vadovavimo, nėra parengta visuomenės sveikatos specialistų veiklos metodinių rekomendacijų. </w:t>
      </w:r>
      <w:r>
        <w:t>Svarbu būtų turėti ir veiklos efektyvumo vertinimo rodiklius bei vykdyti Biurų veiklos kontrolę. N</w:t>
      </w:r>
      <w:r w:rsidRPr="00DD405A">
        <w:t>aujoji visuomenės sveikatos paradigma diktuoja būtinybę į sveikatos problemų sprendimą įtraukti visą socialinę visuomenės struktūrą. Visiems jos sektoriams būtina ne tik suvokti atsakomybę už žmonių sveikatą, bet ir priskirti atitinkamus įsipareigojimus sveikatos saugai ir ugdymui.</w:t>
      </w:r>
      <w:r>
        <w:t xml:space="preserve"> Šiuo metu Biurai nėra tos institucijos, kurios turėtų „autoritetą“ tarp tarpžinybinių institucijų (ko gal būt jau nebegalėčiau pasakyti apie Šiaulių Biurą). </w:t>
      </w:r>
      <w:r w:rsidRPr="00173727">
        <w:rPr>
          <w:i/>
        </w:rPr>
        <w:t>Biurai Lietuvoje mažai įtraukia kitus savivaldybių skyrius, institucijas ir visuomenines organizacijas.</w:t>
      </w:r>
      <w:r>
        <w:t xml:space="preserve"> Visuomenės sveikatos priežiūros sektoriui (ypač profilaktikos srityje) stinga politinės paramos, jo svarba neįvertinta ne tik valstybiniu mąstu, bet ir SAM viduje, o ypač - savivaldybėse.Nežiūrint į visas išvardintas problemas, Biurų indėlis be galo reikšmingas profilaktikos srityje. Sukurtos struktūros priartina visuomenės sveikatos paslaugų teikimą prie gyventojo, atsižvelgiant į jų lūkesčius. Biurai savivaldybėse kartu su gyventojais geriausiai  gali atskleisti jų teritorijoje vyraujančias visuomenės sveikatos problemas, nustatyti visuomenės sveikatos priežiūros prioritetus, imtis veiksmingų sveikatos išsaugojimo ir stiprinimo priemonių. </w:t>
      </w:r>
    </w:p>
    <w:p w:rsidR="00995BE0" w:rsidRDefault="00995BE0" w:rsidP="00944F51">
      <w:pPr>
        <w:ind w:firstLine="709"/>
        <w:jc w:val="both"/>
      </w:pPr>
    </w:p>
    <w:p w:rsidR="00995BE0" w:rsidRDefault="00995BE0" w:rsidP="00E73456">
      <w:pPr>
        <w:jc w:val="both"/>
        <w:rPr>
          <w:b/>
        </w:rPr>
      </w:pPr>
      <w:bookmarkStart w:id="141" w:name="OLE_LINK17"/>
      <w:bookmarkStart w:id="142" w:name="OLE_LINK18"/>
      <w:r>
        <w:rPr>
          <w:b/>
        </w:rPr>
        <w:t>E8</w:t>
      </w:r>
    </w:p>
    <w:p w:rsidR="00995BE0" w:rsidRDefault="00995BE0" w:rsidP="00E73456">
      <w:pPr>
        <w:jc w:val="both"/>
      </w:pPr>
      <w:r>
        <w:t xml:space="preserve"> </w:t>
      </w:r>
      <w:r w:rsidRPr="006D57DF">
        <w:rPr>
          <w:b/>
        </w:rPr>
        <w:t>Šiaulių teritorinės ligonių kasos kontrolės ir ekspertizės skyriaus vyriausioji specialist</w:t>
      </w:r>
      <w:r w:rsidRPr="00971120">
        <w:rPr>
          <w:b/>
        </w:rPr>
        <w:t>ė</w:t>
      </w:r>
      <w:r>
        <w:t xml:space="preserve">. </w:t>
      </w:r>
    </w:p>
    <w:p w:rsidR="00995BE0" w:rsidRDefault="00995BE0" w:rsidP="00610E0D">
      <w:pPr>
        <w:jc w:val="both"/>
      </w:pPr>
      <w:r>
        <w:t>Kadangi esu kelis metus dirbusi šioje įstaigoje, galiu pasakyti, kad tokio tipo organizacijos yra labai reikalingos, būtinos, tačiau joms veikti „visu pajėgumu“ trukdo keletas dalykų, kuriuos reiktų vienaip ar kitaip tvarkyti. Visų pirma – finansavimas, jei ir toliau išliks tokia finansavimo sistema – nieko gera laukti nėra ko – specialistų kaita toliau vyks, jie nebus patenkinti, motyvuoti. Kai nežinai kada ir kiek lėšų gausi – negali planuoti savo veiklų, o vėliau, paskubomis atlikti darbai, kad tik gautos lėšos būtų panaudotos – dažnai nėra rezultatyvūs, nukreipti ne į prioritetus, tikslines grupes ir pan. Nežinau kada visa tai pasikeis, kada pasikeis savivaldybės politikų požiūris į biurus, juo labiau kai jie keičiasi kas kadencija ir vėl iš naujo reikia juos mokyti ir aiškinti ką biuras veikia, koks tikslas ir pan. – tam reikia skirti papildomo laiko, o atrodo jie patys turėtų geriau visa tai išmanyti. Tai kaip minėjau dar trūkumas Šiaulių miesto biure – darbuotojų kaita, kurio priežastis – nepakankamai apmokamas darbas. Taip pat paminėčiau ir tai, kad labai maža dalis darbuotojų, kurie yra „tikri“ visuomenės sveikatos specialistai, t.y. įgijo visuomenės sveikatos bakalauro ar visuomenės sveikatos vadybos išsilavinimą. Tuo laiku, kai aš dar dirbau buvo tik 2 tokie specialistai, o iš tiesų turi būti visi be išimties, ir jokių sveikatos edukologijos, pedagogikos ar dar kokios kitos specialybės neturėtų dirbti tokioje srityje. Mano manymu net ir kiekvienos tokios įstaigos vadovas turi turėti visuomenės sveikatos išsilavinimą, o ne kokį kitą. Tai labai svarbu. Biure stinga komandinio darbo, dirba kas sau. Manau pastaruoju metu yra susikūrę per daug biurų – kažin ar tiek reikia, kažkaip turėtų atsirasti reglamentacija: ar pagal gyventojų skaičių, ar apskrities centrai. Kol kas nėra darbo metodikos, kiekvienas biuras savo funkcijas atlieka kaip kas nori ir moka, ataskaitas taip pat rengia įvairiai. Taip pat prie viso šito paminėčiau dar vieną labai svarbų dalyką, kurį reikia skatinti – į bendrojo ugdymo sistemą reikia integruoti bent vieną pamoką per savaitę skirtą sveikai gyvensenai. Šiauliai galėtų būtų kuo puikiausi iniciatoriai, tačiau taip pat žinau mokyklų nusistatymą šiuo klausimu, tad šį ėjimą padaryti nėra lengva. Vis tik tikiuosi, kad viskas palaipsniui susitvarkys, ir biurai toliau sėkmingai gyvuos, mokys bendruomenės sveikos gyvensenos, teiks konsultacijas įvairiais sveikatos klausimais, ugdys vaikus bei jų tėvelius. Toks darbas yra be galo svarbus ir niekas kitas to nepadarys. Iki šiol nebūdavo ir tokios tikslios, skirtos būtent tai savivaldybei gyventojų sveikatos būklės analizės, kurią kasmet daro biuro darbuotojai, pagal ją galima tiksliau planuoti savo veiklą, nusistatyti prioritetus. Gaila, kad ne visi supranta viso to prasmės.</w:t>
      </w:r>
    </w:p>
    <w:p w:rsidR="00995BE0" w:rsidRPr="00063468" w:rsidRDefault="00995BE0" w:rsidP="00063468">
      <w:pPr>
        <w:ind w:firstLine="709"/>
        <w:jc w:val="right"/>
        <w:rPr>
          <w:b/>
        </w:rPr>
      </w:pPr>
      <w:r w:rsidRPr="00063468">
        <w:rPr>
          <w:b/>
        </w:rPr>
        <w:lastRenderedPageBreak/>
        <w:t>1</w:t>
      </w:r>
      <w:r>
        <w:rPr>
          <w:b/>
        </w:rPr>
        <w:t>9</w:t>
      </w:r>
      <w:r w:rsidRPr="00063468">
        <w:rPr>
          <w:b/>
        </w:rPr>
        <w:t xml:space="preserve"> priedas</w:t>
      </w:r>
    </w:p>
    <w:bookmarkEnd w:id="141"/>
    <w:bookmarkEnd w:id="142"/>
    <w:p w:rsidR="00995BE0" w:rsidRDefault="00995BE0" w:rsidP="00063468">
      <w:pPr>
        <w:jc w:val="center"/>
        <w:rPr>
          <w:b/>
        </w:rPr>
      </w:pPr>
    </w:p>
    <w:p w:rsidR="00995BE0" w:rsidRPr="005727B8" w:rsidRDefault="00995BE0" w:rsidP="00063468">
      <w:pPr>
        <w:jc w:val="center"/>
        <w:rPr>
          <w:b/>
          <w:sz w:val="18"/>
          <w:szCs w:val="18"/>
        </w:rPr>
      </w:pPr>
      <w:r>
        <w:rPr>
          <w:b/>
        </w:rPr>
        <w:t>Šiaulių miesto VS 2007-2013 metų strategijos tikslų įgyvendinimo rodikliai</w:t>
      </w:r>
    </w:p>
    <w:p w:rsidR="00995BE0" w:rsidRDefault="00995BE0" w:rsidP="00063468">
      <w:pPr>
        <w:jc w:val="both"/>
        <w:rPr>
          <w:b/>
        </w:rPr>
      </w:pPr>
    </w:p>
    <w:p w:rsidR="00995BE0" w:rsidRDefault="00995BE0" w:rsidP="00063468">
      <w:pPr>
        <w:rPr>
          <w:sz w:val="22"/>
          <w:szCs w:val="22"/>
        </w:rPr>
      </w:pPr>
      <w:r w:rsidRPr="005727B8">
        <w:rPr>
          <w:sz w:val="22"/>
          <w:szCs w:val="22"/>
        </w:rPr>
        <w:t>Sergamumas širdies kraujagyslių ligomis (dažnis/tūkst.</w:t>
      </w:r>
      <w:r>
        <w:rPr>
          <w:sz w:val="22"/>
          <w:szCs w:val="22"/>
        </w:rPr>
        <w:t xml:space="preserve"> </w:t>
      </w:r>
      <w:r w:rsidRPr="005727B8">
        <w:rPr>
          <w:sz w:val="22"/>
          <w:szCs w:val="22"/>
        </w:rPr>
        <w:t xml:space="preserve">gyv.)  </w:t>
      </w:r>
    </w:p>
    <w:p w:rsidR="00995BE0" w:rsidRPr="005727B8" w:rsidRDefault="00995BE0" w:rsidP="00063468">
      <w:pPr>
        <w:rPr>
          <w:sz w:val="22"/>
          <w:szCs w:val="22"/>
        </w:rPr>
      </w:pPr>
      <w:r w:rsidRPr="005727B8">
        <w:rPr>
          <w:sz w:val="22"/>
          <w:szCs w:val="22"/>
        </w:rPr>
        <w:t>Mirtingumas nuo širdies kraujagyslių ligų (dažnis/tūkst.</w:t>
      </w:r>
      <w:r>
        <w:rPr>
          <w:sz w:val="22"/>
          <w:szCs w:val="22"/>
        </w:rPr>
        <w:t xml:space="preserve"> </w:t>
      </w:r>
      <w:r w:rsidRPr="005727B8">
        <w:rPr>
          <w:sz w:val="22"/>
          <w:szCs w:val="22"/>
        </w:rPr>
        <w:t>gyv.)</w:t>
      </w:r>
    </w:p>
    <w:p w:rsidR="00995BE0" w:rsidRPr="005727B8" w:rsidRDefault="00995BE0" w:rsidP="00063468">
      <w:pPr>
        <w:rPr>
          <w:sz w:val="22"/>
          <w:szCs w:val="22"/>
        </w:rPr>
      </w:pPr>
      <w:r w:rsidRPr="005727B8">
        <w:rPr>
          <w:sz w:val="22"/>
          <w:szCs w:val="22"/>
        </w:rPr>
        <w:t xml:space="preserve">Nelaimingų atsitikimų skaičius </w:t>
      </w:r>
    </w:p>
    <w:p w:rsidR="00995BE0" w:rsidRPr="005727B8" w:rsidRDefault="00995BE0" w:rsidP="00063468">
      <w:pPr>
        <w:rPr>
          <w:sz w:val="22"/>
          <w:szCs w:val="22"/>
        </w:rPr>
      </w:pPr>
      <w:r w:rsidRPr="005727B8">
        <w:rPr>
          <w:sz w:val="22"/>
          <w:szCs w:val="22"/>
        </w:rPr>
        <w:t xml:space="preserve">Nelaimingų atsitikimų, kurių metu patirtos traumos, skaičius </w:t>
      </w:r>
    </w:p>
    <w:p w:rsidR="00995BE0" w:rsidRPr="005727B8" w:rsidRDefault="00995BE0" w:rsidP="00063468">
      <w:pPr>
        <w:rPr>
          <w:sz w:val="22"/>
          <w:szCs w:val="22"/>
        </w:rPr>
      </w:pPr>
      <w:r w:rsidRPr="005727B8">
        <w:rPr>
          <w:sz w:val="22"/>
          <w:szCs w:val="22"/>
        </w:rPr>
        <w:t>Mirtingumo atvejų skaičius dėl transporto įvykių</w:t>
      </w:r>
    </w:p>
    <w:p w:rsidR="00995BE0" w:rsidRPr="005727B8" w:rsidRDefault="00995BE0" w:rsidP="00063468">
      <w:pPr>
        <w:rPr>
          <w:sz w:val="22"/>
          <w:szCs w:val="22"/>
        </w:rPr>
      </w:pPr>
      <w:r w:rsidRPr="005727B8">
        <w:rPr>
          <w:sz w:val="22"/>
          <w:szCs w:val="22"/>
        </w:rPr>
        <w:t>Invalidumo atvejų skaičius dėl transporto įvykių</w:t>
      </w:r>
    </w:p>
    <w:p w:rsidR="00995BE0" w:rsidRPr="005727B8" w:rsidRDefault="00995BE0" w:rsidP="00063468">
      <w:pPr>
        <w:rPr>
          <w:sz w:val="22"/>
          <w:szCs w:val="22"/>
        </w:rPr>
      </w:pPr>
      <w:r w:rsidRPr="005727B8">
        <w:rPr>
          <w:sz w:val="22"/>
          <w:szCs w:val="22"/>
        </w:rPr>
        <w:t>Mirtingumo atvejų skaičius laisvalaikio metu</w:t>
      </w:r>
    </w:p>
    <w:p w:rsidR="00995BE0" w:rsidRPr="005727B8" w:rsidRDefault="00995BE0" w:rsidP="00063468">
      <w:pPr>
        <w:rPr>
          <w:sz w:val="22"/>
          <w:szCs w:val="22"/>
        </w:rPr>
      </w:pPr>
      <w:r w:rsidRPr="005727B8">
        <w:rPr>
          <w:sz w:val="22"/>
          <w:szCs w:val="22"/>
        </w:rPr>
        <w:t>Mirtingumo atvejų skaičius buityje</w:t>
      </w:r>
    </w:p>
    <w:p w:rsidR="00995BE0" w:rsidRPr="005727B8" w:rsidRDefault="00995BE0" w:rsidP="00063468">
      <w:pPr>
        <w:rPr>
          <w:sz w:val="22"/>
          <w:szCs w:val="22"/>
        </w:rPr>
      </w:pPr>
      <w:r w:rsidRPr="005727B8">
        <w:rPr>
          <w:sz w:val="22"/>
          <w:szCs w:val="22"/>
        </w:rPr>
        <w:t>Mirtingumo atvejų skaičius darbo metu</w:t>
      </w:r>
    </w:p>
    <w:p w:rsidR="00995BE0" w:rsidRPr="005727B8" w:rsidRDefault="00995BE0" w:rsidP="00063468">
      <w:pPr>
        <w:rPr>
          <w:sz w:val="22"/>
          <w:szCs w:val="22"/>
        </w:rPr>
      </w:pPr>
      <w:r w:rsidRPr="005727B8">
        <w:rPr>
          <w:sz w:val="22"/>
          <w:szCs w:val="22"/>
        </w:rPr>
        <w:t>Invalidumo atvejų skaičius laisvalaikio metu</w:t>
      </w:r>
    </w:p>
    <w:p w:rsidR="00995BE0" w:rsidRPr="005727B8" w:rsidRDefault="00995BE0" w:rsidP="00063468">
      <w:pPr>
        <w:rPr>
          <w:sz w:val="22"/>
          <w:szCs w:val="22"/>
        </w:rPr>
      </w:pPr>
      <w:r w:rsidRPr="005727B8">
        <w:rPr>
          <w:sz w:val="22"/>
          <w:szCs w:val="22"/>
        </w:rPr>
        <w:t>Invalidumo atvejų skaičius buityje</w:t>
      </w:r>
    </w:p>
    <w:p w:rsidR="00995BE0" w:rsidRPr="005727B8" w:rsidRDefault="00995BE0" w:rsidP="00063468">
      <w:pPr>
        <w:rPr>
          <w:sz w:val="22"/>
          <w:szCs w:val="22"/>
        </w:rPr>
      </w:pPr>
      <w:r w:rsidRPr="005727B8">
        <w:rPr>
          <w:sz w:val="22"/>
          <w:szCs w:val="22"/>
        </w:rPr>
        <w:t>Invalidumo atvejų skaičius darbo metu</w:t>
      </w:r>
    </w:p>
    <w:p w:rsidR="00995BE0" w:rsidRPr="005727B8" w:rsidRDefault="00995BE0" w:rsidP="00063468">
      <w:pPr>
        <w:rPr>
          <w:sz w:val="22"/>
          <w:szCs w:val="22"/>
        </w:rPr>
      </w:pPr>
      <w:r w:rsidRPr="005727B8">
        <w:rPr>
          <w:sz w:val="22"/>
          <w:szCs w:val="22"/>
        </w:rPr>
        <w:t>Mirtingumo, dėl organizuoto nusikalstamumo, atvejų skaičius</w:t>
      </w:r>
    </w:p>
    <w:p w:rsidR="00995BE0" w:rsidRPr="005727B8" w:rsidRDefault="00995BE0" w:rsidP="00063468">
      <w:pPr>
        <w:rPr>
          <w:sz w:val="22"/>
          <w:szCs w:val="22"/>
        </w:rPr>
      </w:pPr>
      <w:r w:rsidRPr="005727B8">
        <w:rPr>
          <w:sz w:val="22"/>
          <w:szCs w:val="22"/>
        </w:rPr>
        <w:t>Tuberkuliozės atvejų skaičius</w:t>
      </w:r>
    </w:p>
    <w:p w:rsidR="00995BE0" w:rsidRPr="005727B8" w:rsidRDefault="00995BE0" w:rsidP="00063468">
      <w:pPr>
        <w:rPr>
          <w:sz w:val="22"/>
          <w:szCs w:val="22"/>
        </w:rPr>
      </w:pPr>
      <w:r w:rsidRPr="005727B8">
        <w:rPr>
          <w:sz w:val="22"/>
          <w:szCs w:val="22"/>
        </w:rPr>
        <w:t>ŽIV/AIDS atvejų skaičius</w:t>
      </w:r>
    </w:p>
    <w:p w:rsidR="00995BE0" w:rsidRPr="005727B8" w:rsidRDefault="00995BE0" w:rsidP="00063468">
      <w:pPr>
        <w:rPr>
          <w:sz w:val="22"/>
          <w:szCs w:val="22"/>
        </w:rPr>
      </w:pPr>
      <w:r w:rsidRPr="005727B8">
        <w:rPr>
          <w:sz w:val="22"/>
          <w:szCs w:val="22"/>
        </w:rPr>
        <w:t xml:space="preserve">Susirgimų piktybiniais navikais skaičius </w:t>
      </w:r>
    </w:p>
    <w:p w:rsidR="00995BE0" w:rsidRPr="005727B8" w:rsidRDefault="00995BE0" w:rsidP="00063468">
      <w:pPr>
        <w:rPr>
          <w:sz w:val="22"/>
          <w:szCs w:val="22"/>
        </w:rPr>
      </w:pPr>
      <w:r w:rsidRPr="005727B8">
        <w:rPr>
          <w:sz w:val="22"/>
          <w:szCs w:val="22"/>
        </w:rPr>
        <w:t xml:space="preserve">Kvėpavimo ligomis sergančiųjų skaičius </w:t>
      </w:r>
    </w:p>
    <w:p w:rsidR="00995BE0" w:rsidRPr="005727B8" w:rsidRDefault="00995BE0" w:rsidP="00063468">
      <w:pPr>
        <w:rPr>
          <w:sz w:val="22"/>
          <w:szCs w:val="22"/>
        </w:rPr>
      </w:pPr>
      <w:r w:rsidRPr="005727B8">
        <w:rPr>
          <w:sz w:val="22"/>
          <w:szCs w:val="22"/>
        </w:rPr>
        <w:t>Atmosferinio oro tarša, azoto dioksido koncentracija (mato vnt.)</w:t>
      </w:r>
    </w:p>
    <w:p w:rsidR="00995BE0" w:rsidRPr="005727B8" w:rsidRDefault="00995BE0" w:rsidP="00063468">
      <w:pPr>
        <w:rPr>
          <w:sz w:val="22"/>
          <w:szCs w:val="22"/>
        </w:rPr>
      </w:pPr>
      <w:r w:rsidRPr="005727B8">
        <w:rPr>
          <w:sz w:val="22"/>
          <w:szCs w:val="22"/>
        </w:rPr>
        <w:t>Atmosferinio oro tarša, dulkių koncentracija (mato vnt.)</w:t>
      </w:r>
    </w:p>
    <w:p w:rsidR="00995BE0" w:rsidRPr="005727B8" w:rsidRDefault="00995BE0" w:rsidP="00063468">
      <w:pPr>
        <w:rPr>
          <w:sz w:val="22"/>
          <w:szCs w:val="22"/>
        </w:rPr>
      </w:pPr>
      <w:r w:rsidRPr="005727B8">
        <w:rPr>
          <w:sz w:val="22"/>
          <w:szCs w:val="22"/>
        </w:rPr>
        <w:t>Atmosferinio oro tarša, sieros dioksido koncentracija (mato vnt.)</w:t>
      </w:r>
    </w:p>
    <w:p w:rsidR="00995BE0" w:rsidRPr="005727B8" w:rsidRDefault="00995BE0" w:rsidP="00063468">
      <w:pPr>
        <w:rPr>
          <w:sz w:val="22"/>
          <w:szCs w:val="22"/>
        </w:rPr>
      </w:pPr>
      <w:r w:rsidRPr="005727B8">
        <w:rPr>
          <w:sz w:val="22"/>
          <w:szCs w:val="22"/>
        </w:rPr>
        <w:t>Atmosferinio oro tarša, anglies dioksido koncentracija (mato vnt.)</w:t>
      </w:r>
    </w:p>
    <w:p w:rsidR="00995BE0" w:rsidRPr="005727B8" w:rsidRDefault="00995BE0" w:rsidP="00063468">
      <w:pPr>
        <w:rPr>
          <w:sz w:val="22"/>
          <w:szCs w:val="22"/>
        </w:rPr>
      </w:pPr>
      <w:r w:rsidRPr="005727B8">
        <w:rPr>
          <w:sz w:val="22"/>
          <w:szCs w:val="22"/>
        </w:rPr>
        <w:t>Atmosferinio oro tarša, lakiųjų organinių junginių koncentracija (mato vnt.)</w:t>
      </w:r>
    </w:p>
    <w:p w:rsidR="00995BE0" w:rsidRPr="005727B8" w:rsidRDefault="00995BE0" w:rsidP="00063468">
      <w:pPr>
        <w:rPr>
          <w:sz w:val="22"/>
          <w:szCs w:val="22"/>
        </w:rPr>
      </w:pPr>
      <w:r w:rsidRPr="005727B8">
        <w:rPr>
          <w:sz w:val="22"/>
          <w:szCs w:val="22"/>
        </w:rPr>
        <w:t>Geriamojo vandens mikrobinės taršos rodikliai, .... koncentracija (mato vnt.)</w:t>
      </w:r>
    </w:p>
    <w:p w:rsidR="00995BE0" w:rsidRPr="005727B8" w:rsidRDefault="00995BE0" w:rsidP="00063468">
      <w:pPr>
        <w:rPr>
          <w:sz w:val="22"/>
          <w:szCs w:val="22"/>
        </w:rPr>
      </w:pPr>
      <w:r w:rsidRPr="005727B8">
        <w:rPr>
          <w:sz w:val="22"/>
          <w:szCs w:val="22"/>
        </w:rPr>
        <w:t>Geriamojo vandens cheminės taršos rodikliai, .... koncentracija (mato vnt.)</w:t>
      </w:r>
    </w:p>
    <w:p w:rsidR="00995BE0" w:rsidRPr="005727B8" w:rsidRDefault="00995BE0" w:rsidP="00063468">
      <w:pPr>
        <w:rPr>
          <w:sz w:val="22"/>
          <w:szCs w:val="22"/>
        </w:rPr>
      </w:pPr>
      <w:r w:rsidRPr="005727B8">
        <w:rPr>
          <w:sz w:val="22"/>
          <w:szCs w:val="22"/>
        </w:rPr>
        <w:t>Geriamojo vandens toksinės taršos rodikliai, .... koncentracija (mato vnt.)</w:t>
      </w:r>
    </w:p>
    <w:p w:rsidR="00995BE0" w:rsidRPr="005727B8" w:rsidRDefault="00995BE0" w:rsidP="00063468">
      <w:pPr>
        <w:rPr>
          <w:sz w:val="22"/>
          <w:szCs w:val="22"/>
        </w:rPr>
      </w:pPr>
      <w:r w:rsidRPr="005727B8">
        <w:rPr>
          <w:sz w:val="22"/>
          <w:szCs w:val="22"/>
        </w:rPr>
        <w:t>Geriamojo vandens indikatoriniai rodikliai, geležies koncentracija (mato vnt.)</w:t>
      </w:r>
    </w:p>
    <w:p w:rsidR="00995BE0" w:rsidRPr="005727B8" w:rsidRDefault="00995BE0" w:rsidP="00063468">
      <w:pPr>
        <w:rPr>
          <w:sz w:val="22"/>
          <w:szCs w:val="22"/>
        </w:rPr>
      </w:pPr>
      <w:r w:rsidRPr="005727B8">
        <w:rPr>
          <w:sz w:val="22"/>
          <w:szCs w:val="22"/>
        </w:rPr>
        <w:t>Geriamojo vandens indikatoriniai rodikliai, bendras bakterijų skaičius</w:t>
      </w:r>
    </w:p>
    <w:p w:rsidR="00995BE0" w:rsidRPr="005727B8" w:rsidRDefault="00995BE0" w:rsidP="00063468">
      <w:pPr>
        <w:rPr>
          <w:sz w:val="22"/>
          <w:szCs w:val="22"/>
        </w:rPr>
      </w:pPr>
      <w:r w:rsidRPr="005727B8">
        <w:rPr>
          <w:sz w:val="22"/>
          <w:szCs w:val="22"/>
        </w:rPr>
        <w:t>Geriamojo vandens indikatoriniai rodikliai, mangano koncentracija</w:t>
      </w:r>
    </w:p>
    <w:p w:rsidR="00995BE0" w:rsidRPr="005727B8" w:rsidRDefault="00995BE0" w:rsidP="00063468">
      <w:pPr>
        <w:rPr>
          <w:b/>
          <w:sz w:val="22"/>
          <w:szCs w:val="22"/>
        </w:rPr>
      </w:pPr>
      <w:r w:rsidRPr="005727B8">
        <w:rPr>
          <w:sz w:val="22"/>
          <w:szCs w:val="22"/>
        </w:rPr>
        <w:t>Rekreacinio vandens mikrobiologiniai rodikliai, ..............</w:t>
      </w:r>
    </w:p>
    <w:p w:rsidR="00995BE0" w:rsidRPr="005727B8" w:rsidRDefault="00995BE0" w:rsidP="00063468">
      <w:pPr>
        <w:rPr>
          <w:sz w:val="22"/>
          <w:szCs w:val="22"/>
        </w:rPr>
      </w:pPr>
      <w:r w:rsidRPr="005727B8">
        <w:rPr>
          <w:sz w:val="22"/>
          <w:szCs w:val="22"/>
        </w:rPr>
        <w:t>Rekreacinio vandens mikrobiologiniai rodikliai, ..............</w:t>
      </w:r>
    </w:p>
    <w:p w:rsidR="00995BE0" w:rsidRPr="005727B8" w:rsidRDefault="00995BE0" w:rsidP="00063468">
      <w:pPr>
        <w:rPr>
          <w:sz w:val="22"/>
          <w:szCs w:val="22"/>
        </w:rPr>
      </w:pPr>
      <w:r w:rsidRPr="005727B8">
        <w:rPr>
          <w:sz w:val="22"/>
          <w:szCs w:val="22"/>
        </w:rPr>
        <w:t>Savavališkų sąvartynų(sąvartų) skaičius</w:t>
      </w:r>
    </w:p>
    <w:p w:rsidR="00995BE0" w:rsidRPr="005727B8" w:rsidRDefault="00995BE0" w:rsidP="00063468">
      <w:pPr>
        <w:rPr>
          <w:sz w:val="22"/>
          <w:szCs w:val="22"/>
        </w:rPr>
      </w:pPr>
      <w:r w:rsidRPr="005727B8">
        <w:rPr>
          <w:sz w:val="22"/>
          <w:szCs w:val="22"/>
        </w:rPr>
        <w:t>Sąvartynų įrengtų pagal aplinkosauginius reikalavimus ir nekenkiančius visuomenės sveikatai skaičius</w:t>
      </w:r>
    </w:p>
    <w:p w:rsidR="00995BE0" w:rsidRPr="005727B8" w:rsidRDefault="00995BE0" w:rsidP="00063468">
      <w:pPr>
        <w:rPr>
          <w:sz w:val="22"/>
          <w:szCs w:val="22"/>
        </w:rPr>
      </w:pPr>
      <w:r w:rsidRPr="005727B8">
        <w:rPr>
          <w:sz w:val="22"/>
          <w:szCs w:val="22"/>
        </w:rPr>
        <w:t>Pavojingų visuomenės sveikatai sąvartynų skaičius</w:t>
      </w:r>
    </w:p>
    <w:p w:rsidR="00995BE0" w:rsidRPr="005727B8" w:rsidRDefault="00995BE0" w:rsidP="00063468">
      <w:pPr>
        <w:rPr>
          <w:sz w:val="22"/>
          <w:szCs w:val="22"/>
        </w:rPr>
      </w:pPr>
      <w:r w:rsidRPr="005727B8">
        <w:rPr>
          <w:sz w:val="22"/>
          <w:szCs w:val="22"/>
        </w:rPr>
        <w:t>Gyventojų dirbančių su jonizuotais šaltiniais skaičius</w:t>
      </w:r>
    </w:p>
    <w:p w:rsidR="00995BE0" w:rsidRPr="005727B8" w:rsidRDefault="00995BE0" w:rsidP="00063468">
      <w:pPr>
        <w:rPr>
          <w:sz w:val="22"/>
          <w:szCs w:val="22"/>
        </w:rPr>
      </w:pPr>
      <w:r w:rsidRPr="005727B8">
        <w:rPr>
          <w:sz w:val="22"/>
          <w:szCs w:val="22"/>
        </w:rPr>
        <w:t>Nejonizuojančios spinduliuotės rodikliai, .........</w:t>
      </w:r>
    </w:p>
    <w:p w:rsidR="00995BE0" w:rsidRPr="005727B8" w:rsidRDefault="00995BE0" w:rsidP="00063468">
      <w:pPr>
        <w:rPr>
          <w:sz w:val="22"/>
          <w:szCs w:val="22"/>
        </w:rPr>
      </w:pPr>
      <w:r w:rsidRPr="005727B8">
        <w:rPr>
          <w:sz w:val="22"/>
          <w:szCs w:val="22"/>
        </w:rPr>
        <w:t>Per maistą plintančių užkrečiamų ligų protrūkių skaičius per metus</w:t>
      </w:r>
    </w:p>
    <w:p w:rsidR="00995BE0" w:rsidRPr="005727B8" w:rsidRDefault="00995BE0" w:rsidP="00063468">
      <w:pPr>
        <w:rPr>
          <w:sz w:val="22"/>
          <w:szCs w:val="22"/>
        </w:rPr>
      </w:pPr>
      <w:r w:rsidRPr="005727B8">
        <w:rPr>
          <w:sz w:val="22"/>
          <w:szCs w:val="22"/>
        </w:rPr>
        <w:t>Bendras atvejų skaičius per maistą plintančių užkrečiamų ligų protrūkiuose</w:t>
      </w:r>
    </w:p>
    <w:p w:rsidR="00995BE0" w:rsidRPr="005727B8" w:rsidRDefault="00995BE0" w:rsidP="00063468">
      <w:pPr>
        <w:rPr>
          <w:sz w:val="22"/>
          <w:szCs w:val="22"/>
        </w:rPr>
      </w:pPr>
      <w:r w:rsidRPr="005727B8">
        <w:rPr>
          <w:sz w:val="22"/>
          <w:szCs w:val="22"/>
        </w:rPr>
        <w:t>Bedarbių skaičius</w:t>
      </w:r>
    </w:p>
    <w:p w:rsidR="00995BE0" w:rsidRPr="005727B8" w:rsidRDefault="00995BE0" w:rsidP="00063468">
      <w:pPr>
        <w:rPr>
          <w:sz w:val="22"/>
          <w:szCs w:val="22"/>
        </w:rPr>
      </w:pPr>
      <w:r w:rsidRPr="005727B8">
        <w:rPr>
          <w:sz w:val="22"/>
          <w:szCs w:val="22"/>
        </w:rPr>
        <w:t>Savižudybių skaičius</w:t>
      </w:r>
    </w:p>
    <w:p w:rsidR="00995BE0" w:rsidRPr="005727B8" w:rsidRDefault="00995BE0" w:rsidP="00063468">
      <w:pPr>
        <w:rPr>
          <w:sz w:val="22"/>
          <w:szCs w:val="22"/>
        </w:rPr>
      </w:pPr>
      <w:r w:rsidRPr="005727B8">
        <w:rPr>
          <w:sz w:val="22"/>
          <w:szCs w:val="22"/>
        </w:rPr>
        <w:t>Smurto, patiriamo namuose tarp skirtingų lyčių, atvejų skaičius</w:t>
      </w:r>
    </w:p>
    <w:p w:rsidR="00995BE0" w:rsidRPr="005727B8" w:rsidRDefault="00995BE0" w:rsidP="00063468">
      <w:pPr>
        <w:rPr>
          <w:sz w:val="22"/>
          <w:szCs w:val="22"/>
        </w:rPr>
      </w:pPr>
      <w:r w:rsidRPr="005727B8">
        <w:rPr>
          <w:sz w:val="22"/>
          <w:szCs w:val="22"/>
        </w:rPr>
        <w:t>Smurto, patiriamo dėl organizuoto nusikalstamumo, atvejų skaičius</w:t>
      </w:r>
    </w:p>
    <w:p w:rsidR="00995BE0" w:rsidRPr="005727B8" w:rsidRDefault="00995BE0" w:rsidP="00063468">
      <w:pPr>
        <w:rPr>
          <w:sz w:val="22"/>
          <w:szCs w:val="22"/>
        </w:rPr>
      </w:pPr>
      <w:r w:rsidRPr="005727B8">
        <w:rPr>
          <w:sz w:val="22"/>
          <w:szCs w:val="22"/>
        </w:rPr>
        <w:t>Smurto prieš vaikus atvejų skaičius</w:t>
      </w:r>
    </w:p>
    <w:p w:rsidR="00995BE0" w:rsidRPr="005727B8" w:rsidRDefault="00995BE0" w:rsidP="00063468">
      <w:pPr>
        <w:rPr>
          <w:sz w:val="22"/>
          <w:szCs w:val="22"/>
        </w:rPr>
      </w:pPr>
      <w:r w:rsidRPr="005727B8">
        <w:rPr>
          <w:sz w:val="22"/>
          <w:szCs w:val="22"/>
        </w:rPr>
        <w:t>Socialiai remtinų skaičius</w:t>
      </w:r>
    </w:p>
    <w:p w:rsidR="00995BE0" w:rsidRPr="005727B8" w:rsidRDefault="00995BE0" w:rsidP="00063468">
      <w:pPr>
        <w:rPr>
          <w:sz w:val="22"/>
          <w:szCs w:val="22"/>
        </w:rPr>
      </w:pPr>
      <w:r w:rsidRPr="005727B8">
        <w:rPr>
          <w:sz w:val="22"/>
          <w:szCs w:val="22"/>
        </w:rPr>
        <w:t>Socialiai remtinų skaičius</w:t>
      </w:r>
    </w:p>
    <w:p w:rsidR="00995BE0" w:rsidRPr="005727B8" w:rsidRDefault="00995BE0" w:rsidP="00063468">
      <w:pPr>
        <w:rPr>
          <w:sz w:val="22"/>
          <w:szCs w:val="22"/>
        </w:rPr>
      </w:pPr>
      <w:r w:rsidRPr="005727B8">
        <w:rPr>
          <w:sz w:val="22"/>
          <w:szCs w:val="22"/>
        </w:rPr>
        <w:t>Psichikos ligonių skaičius</w:t>
      </w:r>
    </w:p>
    <w:p w:rsidR="00995BE0" w:rsidRPr="005727B8" w:rsidRDefault="00995BE0" w:rsidP="00063468">
      <w:pPr>
        <w:rPr>
          <w:sz w:val="22"/>
          <w:szCs w:val="22"/>
        </w:rPr>
      </w:pPr>
      <w:r w:rsidRPr="005727B8">
        <w:rPr>
          <w:sz w:val="22"/>
          <w:szCs w:val="22"/>
        </w:rPr>
        <w:t>Užimtų gyventojų skaičius, tūkst.</w:t>
      </w:r>
    </w:p>
    <w:p w:rsidR="00995BE0" w:rsidRPr="005727B8" w:rsidRDefault="00995BE0" w:rsidP="00063468">
      <w:pPr>
        <w:rPr>
          <w:sz w:val="22"/>
          <w:szCs w:val="22"/>
        </w:rPr>
      </w:pPr>
      <w:r w:rsidRPr="005727B8">
        <w:rPr>
          <w:sz w:val="22"/>
          <w:szCs w:val="22"/>
        </w:rPr>
        <w:t>Nedarbo lygis, proc.</w:t>
      </w:r>
    </w:p>
    <w:p w:rsidR="00995BE0" w:rsidRPr="005727B8" w:rsidRDefault="00995BE0" w:rsidP="00063468">
      <w:pPr>
        <w:rPr>
          <w:sz w:val="22"/>
          <w:szCs w:val="22"/>
        </w:rPr>
      </w:pPr>
      <w:r w:rsidRPr="005727B8">
        <w:rPr>
          <w:sz w:val="22"/>
          <w:szCs w:val="22"/>
        </w:rPr>
        <w:t>Ilgalaikio nedarbo lygis, proc. nuo darbo jėgos</w:t>
      </w:r>
    </w:p>
    <w:p w:rsidR="00995BE0" w:rsidRPr="005727B8" w:rsidRDefault="00995BE0" w:rsidP="00063468">
      <w:pPr>
        <w:rPr>
          <w:sz w:val="22"/>
          <w:szCs w:val="22"/>
        </w:rPr>
      </w:pPr>
      <w:r w:rsidRPr="005727B8">
        <w:rPr>
          <w:sz w:val="22"/>
          <w:szCs w:val="22"/>
        </w:rPr>
        <w:t>15-64 m. amžiaus gyventojų darbo jėgos aktyvumo lygis, proc.</w:t>
      </w:r>
    </w:p>
    <w:p w:rsidR="00995BE0" w:rsidRPr="005727B8" w:rsidRDefault="00995BE0" w:rsidP="00063468">
      <w:pPr>
        <w:rPr>
          <w:sz w:val="22"/>
          <w:szCs w:val="22"/>
        </w:rPr>
      </w:pPr>
      <w:r w:rsidRPr="005727B8">
        <w:rPr>
          <w:sz w:val="22"/>
          <w:szCs w:val="22"/>
        </w:rPr>
        <w:t>15-64 m. amžiaus gyventojų darbo jėgos užimtumo lygis, proc.</w:t>
      </w:r>
    </w:p>
    <w:p w:rsidR="00995BE0" w:rsidRPr="005727B8" w:rsidRDefault="00995BE0" w:rsidP="00063468">
      <w:pPr>
        <w:rPr>
          <w:sz w:val="22"/>
          <w:szCs w:val="22"/>
        </w:rPr>
      </w:pPr>
      <w:r w:rsidRPr="005727B8">
        <w:rPr>
          <w:sz w:val="22"/>
          <w:szCs w:val="22"/>
        </w:rPr>
        <w:t>Bedarbių skaičius, tūkst.</w:t>
      </w:r>
    </w:p>
    <w:p w:rsidR="00995BE0" w:rsidRPr="005727B8" w:rsidRDefault="00995BE0" w:rsidP="00063468">
      <w:pPr>
        <w:rPr>
          <w:sz w:val="22"/>
          <w:szCs w:val="22"/>
        </w:rPr>
      </w:pPr>
      <w:r w:rsidRPr="005727B8">
        <w:rPr>
          <w:sz w:val="22"/>
          <w:szCs w:val="22"/>
        </w:rPr>
        <w:t>Vidutinės namų ūkių disponuojamos pajamos, vienam namų ūkių nariui per mėnesį, lt</w:t>
      </w:r>
    </w:p>
    <w:p w:rsidR="00995BE0" w:rsidRPr="005727B8" w:rsidRDefault="00995BE0" w:rsidP="00063468">
      <w:pPr>
        <w:rPr>
          <w:sz w:val="22"/>
          <w:szCs w:val="22"/>
        </w:rPr>
      </w:pPr>
      <w:r w:rsidRPr="005727B8">
        <w:rPr>
          <w:sz w:val="22"/>
          <w:szCs w:val="22"/>
        </w:rPr>
        <w:t>Vidutinės namų ūkių vartojimo išlaidos, vienam namų ūkių nariui per mėnesį, lt</w:t>
      </w:r>
    </w:p>
    <w:p w:rsidR="00995BE0" w:rsidRPr="005727B8" w:rsidRDefault="00995BE0" w:rsidP="00063468">
      <w:pPr>
        <w:rPr>
          <w:sz w:val="22"/>
          <w:szCs w:val="22"/>
        </w:rPr>
      </w:pPr>
      <w:r w:rsidRPr="005727B8">
        <w:rPr>
          <w:sz w:val="22"/>
          <w:szCs w:val="22"/>
        </w:rPr>
        <w:lastRenderedPageBreak/>
        <w:t>Išlaidų maisto produktams ir nealkoholiniams gėrimams dalis nuo visų namų ūkių vartojimo išlaidų, proc.</w:t>
      </w:r>
    </w:p>
    <w:p w:rsidR="00995BE0" w:rsidRPr="005727B8" w:rsidRDefault="00995BE0" w:rsidP="00063468">
      <w:pPr>
        <w:rPr>
          <w:sz w:val="22"/>
          <w:szCs w:val="22"/>
        </w:rPr>
      </w:pPr>
      <w:r w:rsidRPr="005727B8">
        <w:rPr>
          <w:sz w:val="22"/>
          <w:szCs w:val="22"/>
        </w:rPr>
        <w:t>Išlaidų būstui, vandeniui, elektrai, dujoms ir kitam kurui dalis nuo visų namų ūkių vartojimo išlaidų, proc.</w:t>
      </w:r>
    </w:p>
    <w:p w:rsidR="00995BE0" w:rsidRPr="005727B8" w:rsidRDefault="00995BE0" w:rsidP="00063468">
      <w:pPr>
        <w:rPr>
          <w:sz w:val="22"/>
          <w:szCs w:val="22"/>
        </w:rPr>
      </w:pPr>
      <w:r w:rsidRPr="005727B8">
        <w:rPr>
          <w:sz w:val="22"/>
          <w:szCs w:val="22"/>
        </w:rPr>
        <w:t>Pradinį išsilavinimą turinčių 15 m. ir vyresnių asmenų dalis, proc.</w:t>
      </w:r>
    </w:p>
    <w:p w:rsidR="00995BE0" w:rsidRPr="005727B8" w:rsidRDefault="00995BE0" w:rsidP="00063468">
      <w:pPr>
        <w:rPr>
          <w:sz w:val="22"/>
          <w:szCs w:val="22"/>
        </w:rPr>
      </w:pPr>
      <w:r w:rsidRPr="005727B8">
        <w:rPr>
          <w:sz w:val="22"/>
          <w:szCs w:val="22"/>
        </w:rPr>
        <w:t>Vidurinį išsilavinimą turinčių 15 m. ir vyresnių asmenų dalis, proc.</w:t>
      </w:r>
    </w:p>
    <w:p w:rsidR="00995BE0" w:rsidRPr="005727B8" w:rsidRDefault="00995BE0" w:rsidP="00063468">
      <w:pPr>
        <w:rPr>
          <w:sz w:val="22"/>
          <w:szCs w:val="22"/>
        </w:rPr>
      </w:pPr>
      <w:r w:rsidRPr="005727B8">
        <w:rPr>
          <w:sz w:val="22"/>
          <w:szCs w:val="22"/>
        </w:rPr>
        <w:t>Aukštesnįjį (aukštąjį neuniversitetinį) išsilavinimą turinčių 15 m. ir vyresnių asmenų dalis, proc.</w:t>
      </w:r>
    </w:p>
    <w:p w:rsidR="00995BE0" w:rsidRPr="005727B8" w:rsidRDefault="00995BE0" w:rsidP="00063468">
      <w:pPr>
        <w:rPr>
          <w:sz w:val="22"/>
          <w:szCs w:val="22"/>
        </w:rPr>
      </w:pPr>
      <w:r w:rsidRPr="005727B8">
        <w:rPr>
          <w:sz w:val="22"/>
          <w:szCs w:val="22"/>
        </w:rPr>
        <w:t>Aukštąjį universitetinį išsilavinimą turinčių 15 m. ir vyresnių asmenų dalis, proc.</w:t>
      </w:r>
    </w:p>
    <w:p w:rsidR="00995BE0" w:rsidRPr="005727B8" w:rsidRDefault="00995BE0" w:rsidP="00063468">
      <w:pPr>
        <w:rPr>
          <w:sz w:val="22"/>
          <w:szCs w:val="22"/>
        </w:rPr>
      </w:pPr>
      <w:r w:rsidRPr="005727B8">
        <w:rPr>
          <w:sz w:val="22"/>
          <w:szCs w:val="22"/>
        </w:rPr>
        <w:t>Išlaidų sveikatos priežiūrai dalis nuo visų namų ūkių vartojimo Išlaidų, proc.</w:t>
      </w:r>
    </w:p>
    <w:p w:rsidR="00995BE0" w:rsidRPr="005727B8" w:rsidRDefault="00995BE0" w:rsidP="00063468">
      <w:pPr>
        <w:rPr>
          <w:sz w:val="22"/>
          <w:szCs w:val="22"/>
        </w:rPr>
      </w:pPr>
      <w:r w:rsidRPr="005727B8">
        <w:rPr>
          <w:sz w:val="22"/>
          <w:szCs w:val="22"/>
        </w:rPr>
        <w:t>Neracionalios mitybos rodikliai, Hipertenzijos atvejų skaičius</w:t>
      </w:r>
    </w:p>
    <w:p w:rsidR="00995BE0" w:rsidRPr="005727B8" w:rsidRDefault="00995BE0" w:rsidP="00063468">
      <w:pPr>
        <w:rPr>
          <w:sz w:val="22"/>
          <w:szCs w:val="22"/>
        </w:rPr>
      </w:pPr>
      <w:r w:rsidRPr="005727B8">
        <w:rPr>
          <w:sz w:val="22"/>
          <w:szCs w:val="22"/>
        </w:rPr>
        <w:t>Neracionalios mitybos rodikliai, Hipercholesterolemijos atvejų skaičius</w:t>
      </w:r>
    </w:p>
    <w:p w:rsidR="00995BE0" w:rsidRPr="005727B8" w:rsidRDefault="00995BE0" w:rsidP="00063468">
      <w:pPr>
        <w:rPr>
          <w:sz w:val="22"/>
          <w:szCs w:val="22"/>
        </w:rPr>
      </w:pPr>
      <w:r w:rsidRPr="005727B8">
        <w:rPr>
          <w:sz w:val="22"/>
          <w:szCs w:val="22"/>
        </w:rPr>
        <w:t>Neracionalios mitybos rodikliai, Dantų ėduonies atvejų skaičius</w:t>
      </w:r>
    </w:p>
    <w:p w:rsidR="00995BE0" w:rsidRPr="005727B8" w:rsidRDefault="00995BE0" w:rsidP="00063468">
      <w:pPr>
        <w:rPr>
          <w:b/>
          <w:sz w:val="22"/>
          <w:szCs w:val="22"/>
        </w:rPr>
      </w:pPr>
      <w:r w:rsidRPr="005727B8">
        <w:rPr>
          <w:sz w:val="22"/>
          <w:szCs w:val="22"/>
        </w:rPr>
        <w:t>Neracionalios mitybos rodikliai, Cukrinio diabeto atvejų skaičius</w:t>
      </w:r>
    </w:p>
    <w:p w:rsidR="00995BE0" w:rsidRPr="005727B8" w:rsidRDefault="00995BE0" w:rsidP="00063468">
      <w:pPr>
        <w:rPr>
          <w:sz w:val="22"/>
          <w:szCs w:val="22"/>
        </w:rPr>
      </w:pPr>
      <w:r w:rsidRPr="005727B8">
        <w:rPr>
          <w:sz w:val="22"/>
          <w:szCs w:val="22"/>
        </w:rPr>
        <w:t>Neracionalios mitybos rodikliai, Osteoporozės atvejų skaičius</w:t>
      </w:r>
    </w:p>
    <w:p w:rsidR="00995BE0" w:rsidRPr="005727B8" w:rsidRDefault="00995BE0" w:rsidP="00063468">
      <w:pPr>
        <w:rPr>
          <w:b/>
          <w:sz w:val="22"/>
          <w:szCs w:val="22"/>
        </w:rPr>
      </w:pPr>
      <w:r w:rsidRPr="005727B8">
        <w:rPr>
          <w:sz w:val="22"/>
          <w:szCs w:val="22"/>
        </w:rPr>
        <w:t>Geros gamybos praktikos rodikliai, Įmonių skaičius, kuriose įdiegta savikontrolės sistema</w:t>
      </w:r>
    </w:p>
    <w:p w:rsidR="00995BE0" w:rsidRPr="005727B8" w:rsidRDefault="00995BE0" w:rsidP="00063468">
      <w:pPr>
        <w:rPr>
          <w:sz w:val="22"/>
          <w:szCs w:val="22"/>
        </w:rPr>
      </w:pPr>
      <w:r w:rsidRPr="005727B8">
        <w:rPr>
          <w:sz w:val="22"/>
          <w:szCs w:val="22"/>
        </w:rPr>
        <w:t>Fizinio aktyvumo rodikliai, veikiančių sveikatingumo centrų skaičius</w:t>
      </w:r>
    </w:p>
    <w:p w:rsidR="00995BE0" w:rsidRPr="005727B8" w:rsidRDefault="00995BE0" w:rsidP="00063468">
      <w:pPr>
        <w:rPr>
          <w:sz w:val="22"/>
          <w:szCs w:val="22"/>
        </w:rPr>
      </w:pPr>
      <w:r w:rsidRPr="005727B8">
        <w:rPr>
          <w:sz w:val="22"/>
          <w:szCs w:val="22"/>
        </w:rPr>
        <w:t>Fizinio aktyvumo rodikliai, veikiančių sporto klubų skaičius</w:t>
      </w:r>
    </w:p>
    <w:p w:rsidR="00995BE0" w:rsidRPr="005727B8" w:rsidRDefault="00995BE0" w:rsidP="00063468">
      <w:pPr>
        <w:rPr>
          <w:sz w:val="22"/>
          <w:szCs w:val="22"/>
        </w:rPr>
      </w:pPr>
      <w:r w:rsidRPr="005727B8">
        <w:rPr>
          <w:sz w:val="22"/>
          <w:szCs w:val="22"/>
        </w:rPr>
        <w:t>Fizinio aktyvumo rodikliai, fizinį aktyvumą propaguojančių NVO skaičius</w:t>
      </w:r>
    </w:p>
    <w:p w:rsidR="00995BE0" w:rsidRPr="005727B8" w:rsidRDefault="00995BE0" w:rsidP="00063468">
      <w:pPr>
        <w:rPr>
          <w:sz w:val="22"/>
          <w:szCs w:val="22"/>
        </w:rPr>
      </w:pPr>
      <w:r w:rsidRPr="005727B8">
        <w:rPr>
          <w:sz w:val="22"/>
          <w:szCs w:val="22"/>
        </w:rPr>
        <w:t>Fizinio aktyvumo rodikliai, bendruomeninių sporto švenčių skaičius</w:t>
      </w:r>
    </w:p>
    <w:p w:rsidR="00995BE0" w:rsidRPr="005727B8" w:rsidRDefault="00995BE0" w:rsidP="00063468">
      <w:pPr>
        <w:rPr>
          <w:b/>
          <w:sz w:val="22"/>
          <w:szCs w:val="22"/>
        </w:rPr>
      </w:pPr>
      <w:r w:rsidRPr="005727B8">
        <w:rPr>
          <w:sz w:val="22"/>
          <w:szCs w:val="22"/>
        </w:rPr>
        <w:t>Fizinio aktyvumo rodikliai, aktyvių bendruomeninių sporto švenčių dalyvių skaičius</w:t>
      </w:r>
    </w:p>
    <w:p w:rsidR="00995BE0" w:rsidRPr="005727B8" w:rsidRDefault="00995BE0" w:rsidP="00063468">
      <w:pPr>
        <w:rPr>
          <w:b/>
          <w:sz w:val="22"/>
          <w:szCs w:val="22"/>
        </w:rPr>
      </w:pPr>
      <w:r w:rsidRPr="005727B8">
        <w:rPr>
          <w:b/>
          <w:sz w:val="22"/>
          <w:szCs w:val="22"/>
        </w:rPr>
        <w:t xml:space="preserve"> </w:t>
      </w:r>
      <w:r w:rsidRPr="005727B8">
        <w:rPr>
          <w:sz w:val="22"/>
          <w:szCs w:val="22"/>
        </w:rPr>
        <w:t xml:space="preserve">„Sveiko darželio“ programos dalyvių skaičius </w:t>
      </w:r>
    </w:p>
    <w:p w:rsidR="00995BE0" w:rsidRPr="005727B8" w:rsidRDefault="00995BE0" w:rsidP="00063468">
      <w:pPr>
        <w:rPr>
          <w:sz w:val="22"/>
          <w:szCs w:val="22"/>
        </w:rPr>
      </w:pPr>
      <w:r w:rsidRPr="005727B8">
        <w:rPr>
          <w:b/>
          <w:sz w:val="22"/>
          <w:szCs w:val="22"/>
        </w:rPr>
        <w:t xml:space="preserve"> </w:t>
      </w:r>
      <w:r w:rsidRPr="005727B8">
        <w:rPr>
          <w:sz w:val="22"/>
          <w:szCs w:val="22"/>
        </w:rPr>
        <w:t xml:space="preserve">„Sveikos mokyklos“ programos dalyvių skaičius </w:t>
      </w:r>
    </w:p>
    <w:p w:rsidR="00995BE0" w:rsidRPr="005727B8" w:rsidRDefault="00995BE0" w:rsidP="00063468">
      <w:pPr>
        <w:rPr>
          <w:sz w:val="22"/>
          <w:szCs w:val="22"/>
        </w:rPr>
      </w:pPr>
      <w:r w:rsidRPr="005727B8">
        <w:rPr>
          <w:sz w:val="22"/>
          <w:szCs w:val="22"/>
        </w:rPr>
        <w:t xml:space="preserve">Rūkančių moksleivių skaičius </w:t>
      </w:r>
    </w:p>
    <w:p w:rsidR="00995BE0" w:rsidRPr="005727B8" w:rsidRDefault="00995BE0" w:rsidP="00063468">
      <w:pPr>
        <w:rPr>
          <w:sz w:val="22"/>
          <w:szCs w:val="22"/>
        </w:rPr>
      </w:pPr>
      <w:r w:rsidRPr="005727B8">
        <w:rPr>
          <w:sz w:val="22"/>
          <w:szCs w:val="22"/>
        </w:rPr>
        <w:t>Cigarečių (tabako) apyvarta mieste, pakeliai, Lt. (reikia derinti su ministerija)</w:t>
      </w:r>
    </w:p>
    <w:p w:rsidR="00995BE0" w:rsidRPr="005727B8" w:rsidRDefault="00995BE0" w:rsidP="00063468">
      <w:pPr>
        <w:rPr>
          <w:sz w:val="22"/>
          <w:szCs w:val="22"/>
        </w:rPr>
      </w:pPr>
      <w:r w:rsidRPr="005727B8">
        <w:rPr>
          <w:sz w:val="22"/>
          <w:szCs w:val="22"/>
        </w:rPr>
        <w:t>Alkoholio apyvarta mieste, pakeliai, Lt (reikia derinti su ministerija)</w:t>
      </w:r>
    </w:p>
    <w:p w:rsidR="00995BE0" w:rsidRPr="005727B8" w:rsidRDefault="00995BE0" w:rsidP="00063468">
      <w:pPr>
        <w:rPr>
          <w:sz w:val="22"/>
          <w:szCs w:val="22"/>
        </w:rPr>
      </w:pPr>
      <w:r w:rsidRPr="005727B8">
        <w:rPr>
          <w:sz w:val="22"/>
          <w:szCs w:val="22"/>
        </w:rPr>
        <w:t>Alkoholinių psichozių atvejų skaičius</w:t>
      </w:r>
    </w:p>
    <w:p w:rsidR="00995BE0" w:rsidRPr="005727B8" w:rsidRDefault="00995BE0" w:rsidP="00063468">
      <w:pPr>
        <w:rPr>
          <w:sz w:val="22"/>
          <w:szCs w:val="22"/>
        </w:rPr>
      </w:pPr>
      <w:r w:rsidRPr="005727B8">
        <w:rPr>
          <w:sz w:val="22"/>
          <w:szCs w:val="22"/>
        </w:rPr>
        <w:t>Lėtinio</w:t>
      </w:r>
      <w:r w:rsidRPr="005727B8">
        <w:rPr>
          <w:b/>
          <w:sz w:val="22"/>
          <w:szCs w:val="22"/>
        </w:rPr>
        <w:t xml:space="preserve"> </w:t>
      </w:r>
      <w:r w:rsidRPr="005727B8">
        <w:rPr>
          <w:sz w:val="22"/>
          <w:szCs w:val="22"/>
        </w:rPr>
        <w:t>alkoholizmo atvejų skaičius</w:t>
      </w:r>
    </w:p>
    <w:p w:rsidR="00995BE0" w:rsidRPr="005727B8" w:rsidRDefault="00995BE0" w:rsidP="00063468">
      <w:pPr>
        <w:rPr>
          <w:sz w:val="22"/>
          <w:szCs w:val="22"/>
        </w:rPr>
      </w:pPr>
      <w:r w:rsidRPr="005727B8">
        <w:rPr>
          <w:sz w:val="22"/>
          <w:szCs w:val="22"/>
        </w:rPr>
        <w:t>Abortų skaičius</w:t>
      </w:r>
    </w:p>
    <w:p w:rsidR="00995BE0" w:rsidRPr="005727B8" w:rsidRDefault="00995BE0" w:rsidP="00063468">
      <w:pPr>
        <w:rPr>
          <w:sz w:val="22"/>
          <w:szCs w:val="22"/>
        </w:rPr>
      </w:pPr>
      <w:r w:rsidRPr="005727B8">
        <w:rPr>
          <w:sz w:val="22"/>
          <w:szCs w:val="22"/>
        </w:rPr>
        <w:t>Alkoholio suvartojimas vienam gyventojui per metus, Litrų (absoliučiu alkoholiu)</w:t>
      </w:r>
    </w:p>
    <w:p w:rsidR="00995BE0" w:rsidRPr="005727B8" w:rsidRDefault="00995BE0" w:rsidP="00063468">
      <w:pPr>
        <w:rPr>
          <w:sz w:val="22"/>
          <w:szCs w:val="22"/>
        </w:rPr>
      </w:pPr>
      <w:r w:rsidRPr="005727B8">
        <w:rPr>
          <w:sz w:val="22"/>
          <w:szCs w:val="22"/>
        </w:rPr>
        <w:t>Tabako suvartojimas vienam gyventojui per metus, cigarečių</w:t>
      </w:r>
    </w:p>
    <w:p w:rsidR="00995BE0" w:rsidRPr="005727B8" w:rsidRDefault="00995BE0" w:rsidP="00063468">
      <w:pPr>
        <w:rPr>
          <w:sz w:val="22"/>
          <w:szCs w:val="22"/>
        </w:rPr>
      </w:pPr>
      <w:r w:rsidRPr="005727B8">
        <w:rPr>
          <w:sz w:val="22"/>
          <w:szCs w:val="22"/>
        </w:rPr>
        <w:t>Gyventojų, labai gerai ir gerai vertinančių savo sveikatą, dalis, proc.</w:t>
      </w:r>
    </w:p>
    <w:p w:rsidR="00995BE0" w:rsidRPr="005727B8" w:rsidRDefault="00995BE0" w:rsidP="00063468">
      <w:pPr>
        <w:rPr>
          <w:sz w:val="22"/>
          <w:szCs w:val="22"/>
        </w:rPr>
      </w:pPr>
      <w:r w:rsidRPr="005727B8">
        <w:rPr>
          <w:sz w:val="22"/>
          <w:szCs w:val="22"/>
        </w:rPr>
        <w:t>Vyrų, labai gerai ir gerai vertinančių savo sveikatą, dalis, proc.</w:t>
      </w:r>
    </w:p>
    <w:p w:rsidR="00995BE0" w:rsidRPr="005727B8" w:rsidRDefault="00995BE0" w:rsidP="00063468">
      <w:pPr>
        <w:rPr>
          <w:sz w:val="22"/>
          <w:szCs w:val="22"/>
        </w:rPr>
      </w:pPr>
      <w:r w:rsidRPr="005727B8">
        <w:rPr>
          <w:sz w:val="22"/>
          <w:szCs w:val="22"/>
        </w:rPr>
        <w:t>Moterų, labai gerai ir gerai vertinančių savo sveikatą, dalis, proc.</w:t>
      </w:r>
    </w:p>
    <w:p w:rsidR="00995BE0" w:rsidRPr="005727B8" w:rsidRDefault="00995BE0" w:rsidP="00063468">
      <w:pPr>
        <w:rPr>
          <w:sz w:val="22"/>
          <w:szCs w:val="22"/>
        </w:rPr>
      </w:pPr>
      <w:r w:rsidRPr="005727B8">
        <w:rPr>
          <w:sz w:val="22"/>
          <w:szCs w:val="22"/>
        </w:rPr>
        <w:t>Kasdien rūkančiųjų gyventojų dalis, proc.</w:t>
      </w:r>
    </w:p>
    <w:p w:rsidR="00995BE0" w:rsidRPr="005727B8" w:rsidRDefault="00995BE0" w:rsidP="00063468">
      <w:pPr>
        <w:rPr>
          <w:sz w:val="22"/>
          <w:szCs w:val="22"/>
        </w:rPr>
      </w:pPr>
      <w:r w:rsidRPr="005727B8">
        <w:rPr>
          <w:sz w:val="22"/>
          <w:szCs w:val="22"/>
        </w:rPr>
        <w:t>Kasdien rūkančiųjų vyrų dalis, proc.</w:t>
      </w:r>
    </w:p>
    <w:p w:rsidR="00995BE0" w:rsidRPr="005727B8" w:rsidRDefault="00995BE0" w:rsidP="00063468">
      <w:pPr>
        <w:rPr>
          <w:sz w:val="22"/>
          <w:szCs w:val="22"/>
        </w:rPr>
      </w:pPr>
      <w:r w:rsidRPr="005727B8">
        <w:rPr>
          <w:sz w:val="22"/>
          <w:szCs w:val="22"/>
        </w:rPr>
        <w:t>Kasdien rūkančiųjų moterų dalis, proc.</w:t>
      </w:r>
    </w:p>
    <w:p w:rsidR="00995BE0" w:rsidRPr="005727B8" w:rsidRDefault="00995BE0" w:rsidP="00063468">
      <w:pPr>
        <w:rPr>
          <w:sz w:val="22"/>
          <w:szCs w:val="22"/>
        </w:rPr>
      </w:pPr>
      <w:r w:rsidRPr="005727B8">
        <w:rPr>
          <w:sz w:val="22"/>
          <w:szCs w:val="22"/>
        </w:rPr>
        <w:t>Gyventojų, bent kartą per savaitę vartojančių stiprius alkoholinius gėrimus, dalis, proc.</w:t>
      </w:r>
    </w:p>
    <w:p w:rsidR="00995BE0" w:rsidRPr="005727B8" w:rsidRDefault="00995BE0" w:rsidP="00063468">
      <w:pPr>
        <w:rPr>
          <w:sz w:val="22"/>
          <w:szCs w:val="22"/>
        </w:rPr>
      </w:pPr>
      <w:r w:rsidRPr="005727B8">
        <w:rPr>
          <w:sz w:val="22"/>
          <w:szCs w:val="22"/>
        </w:rPr>
        <w:t>Vyrų, bent kartą per savaitę vartojančių stiprius alkoholinius gėrimus, dalis, proc.</w:t>
      </w:r>
    </w:p>
    <w:p w:rsidR="00995BE0" w:rsidRPr="005727B8" w:rsidRDefault="00995BE0" w:rsidP="00063468">
      <w:pPr>
        <w:rPr>
          <w:sz w:val="22"/>
          <w:szCs w:val="22"/>
        </w:rPr>
      </w:pPr>
      <w:r w:rsidRPr="005727B8">
        <w:rPr>
          <w:sz w:val="22"/>
          <w:szCs w:val="22"/>
        </w:rPr>
        <w:t>Moterų, bent kartą per savaitę vartojančių stiprius alkoholinius gėrimus, dalis, proc.</w:t>
      </w:r>
    </w:p>
    <w:p w:rsidR="00995BE0" w:rsidRPr="005727B8" w:rsidRDefault="00995BE0" w:rsidP="00063468">
      <w:pPr>
        <w:rPr>
          <w:sz w:val="22"/>
          <w:szCs w:val="22"/>
        </w:rPr>
      </w:pPr>
      <w:r w:rsidRPr="005727B8">
        <w:rPr>
          <w:sz w:val="22"/>
          <w:szCs w:val="22"/>
        </w:rPr>
        <w:t>Gyventojų, bent kartą per savaitę vartojančių vyną, dalis, proc.</w:t>
      </w:r>
    </w:p>
    <w:p w:rsidR="00995BE0" w:rsidRPr="005727B8" w:rsidRDefault="00995BE0" w:rsidP="00063468">
      <w:pPr>
        <w:rPr>
          <w:sz w:val="22"/>
          <w:szCs w:val="22"/>
        </w:rPr>
      </w:pPr>
      <w:r w:rsidRPr="005727B8">
        <w:rPr>
          <w:sz w:val="22"/>
          <w:szCs w:val="22"/>
        </w:rPr>
        <w:t>Vyrų, bent kartą per savaitę vartojančių vyną, dalis, proc.</w:t>
      </w:r>
    </w:p>
    <w:p w:rsidR="00995BE0" w:rsidRPr="005727B8" w:rsidRDefault="00995BE0" w:rsidP="00063468">
      <w:pPr>
        <w:rPr>
          <w:sz w:val="22"/>
          <w:szCs w:val="22"/>
        </w:rPr>
      </w:pPr>
      <w:r w:rsidRPr="005727B8">
        <w:rPr>
          <w:sz w:val="22"/>
          <w:szCs w:val="22"/>
        </w:rPr>
        <w:t>Moterų, bent kartą per savaitę vartojančių vyną, dalis, proc.</w:t>
      </w:r>
    </w:p>
    <w:p w:rsidR="00995BE0" w:rsidRPr="005727B8" w:rsidRDefault="00995BE0" w:rsidP="00063468">
      <w:pPr>
        <w:rPr>
          <w:sz w:val="22"/>
          <w:szCs w:val="22"/>
        </w:rPr>
      </w:pPr>
      <w:r w:rsidRPr="005727B8">
        <w:rPr>
          <w:sz w:val="22"/>
          <w:szCs w:val="22"/>
        </w:rPr>
        <w:t>Gyventojų, bent kartą per savaitę vartojančių alų, dalis, proc.</w:t>
      </w:r>
    </w:p>
    <w:p w:rsidR="00995BE0" w:rsidRPr="005727B8" w:rsidRDefault="00995BE0" w:rsidP="00063468">
      <w:pPr>
        <w:rPr>
          <w:sz w:val="22"/>
          <w:szCs w:val="22"/>
        </w:rPr>
      </w:pPr>
      <w:r w:rsidRPr="005727B8">
        <w:rPr>
          <w:sz w:val="22"/>
          <w:szCs w:val="22"/>
        </w:rPr>
        <w:t>Vyrų, bent kartą per savaitę vartojančių alų, dalis, proc.</w:t>
      </w:r>
    </w:p>
    <w:p w:rsidR="00995BE0" w:rsidRPr="005727B8" w:rsidRDefault="00995BE0" w:rsidP="00063468">
      <w:pPr>
        <w:rPr>
          <w:sz w:val="22"/>
          <w:szCs w:val="22"/>
        </w:rPr>
      </w:pPr>
      <w:r w:rsidRPr="005727B8">
        <w:rPr>
          <w:sz w:val="22"/>
          <w:szCs w:val="22"/>
        </w:rPr>
        <w:t>Moterų, bent kartą per savaitę vartojančių alų, dalis, proc.</w:t>
      </w:r>
    </w:p>
    <w:p w:rsidR="00995BE0" w:rsidRPr="005727B8" w:rsidRDefault="00995BE0" w:rsidP="00063468">
      <w:pPr>
        <w:rPr>
          <w:sz w:val="22"/>
          <w:szCs w:val="22"/>
        </w:rPr>
      </w:pPr>
      <w:r w:rsidRPr="005727B8">
        <w:rPr>
          <w:sz w:val="22"/>
          <w:szCs w:val="22"/>
        </w:rPr>
        <w:t>Laisvalaikiu besimankštinančių bent 4 dienas per savaitę asmenų dalis, proc.</w:t>
      </w:r>
    </w:p>
    <w:p w:rsidR="00995BE0" w:rsidRPr="005727B8" w:rsidRDefault="00995BE0" w:rsidP="00063468">
      <w:pPr>
        <w:rPr>
          <w:sz w:val="22"/>
          <w:szCs w:val="22"/>
        </w:rPr>
      </w:pPr>
      <w:r w:rsidRPr="005727B8">
        <w:rPr>
          <w:sz w:val="22"/>
          <w:szCs w:val="22"/>
        </w:rPr>
        <w:t>Laisvalaikiu besimankštinančių bent 4 dienas per savaitę vyrų dalis, proc.</w:t>
      </w:r>
    </w:p>
    <w:p w:rsidR="00995BE0" w:rsidRPr="005727B8" w:rsidRDefault="00995BE0" w:rsidP="00063468">
      <w:pPr>
        <w:rPr>
          <w:sz w:val="22"/>
          <w:szCs w:val="22"/>
        </w:rPr>
      </w:pPr>
      <w:r w:rsidRPr="005727B8">
        <w:rPr>
          <w:sz w:val="22"/>
          <w:szCs w:val="22"/>
        </w:rPr>
        <w:t>Laisvalaikiu besimankštinančių bent 4 dienas per savaitę moterų dalis, proc.</w:t>
      </w:r>
    </w:p>
    <w:p w:rsidR="00995BE0" w:rsidRPr="005727B8" w:rsidRDefault="00995BE0" w:rsidP="00063468">
      <w:pPr>
        <w:rPr>
          <w:sz w:val="22"/>
          <w:szCs w:val="22"/>
        </w:rPr>
      </w:pPr>
      <w:r w:rsidRPr="005727B8">
        <w:rPr>
          <w:sz w:val="22"/>
          <w:szCs w:val="22"/>
        </w:rPr>
        <w:t>Gyventojų, vartojančių augalinį aliejų maistui gaminti, dalis, proc.</w:t>
      </w:r>
    </w:p>
    <w:p w:rsidR="00995BE0" w:rsidRPr="005727B8" w:rsidRDefault="00995BE0" w:rsidP="00063468">
      <w:pPr>
        <w:rPr>
          <w:sz w:val="22"/>
          <w:szCs w:val="22"/>
        </w:rPr>
      </w:pPr>
      <w:r w:rsidRPr="005727B8">
        <w:rPr>
          <w:sz w:val="22"/>
          <w:szCs w:val="22"/>
        </w:rPr>
        <w:t>Vyrų, vartojančių augalinį aliejų maistui gaminti, dalis, proc.</w:t>
      </w:r>
    </w:p>
    <w:p w:rsidR="00995BE0" w:rsidRPr="005727B8" w:rsidRDefault="00995BE0" w:rsidP="00063468">
      <w:pPr>
        <w:rPr>
          <w:sz w:val="22"/>
          <w:szCs w:val="22"/>
        </w:rPr>
      </w:pPr>
      <w:r w:rsidRPr="005727B8">
        <w:rPr>
          <w:sz w:val="22"/>
          <w:szCs w:val="22"/>
        </w:rPr>
        <w:t>Moterų, vartojančių augalinį aliejų maistui gaminti, dalis, proc.</w:t>
      </w:r>
    </w:p>
    <w:p w:rsidR="00995BE0" w:rsidRPr="005727B8" w:rsidRDefault="00995BE0" w:rsidP="00063468">
      <w:pPr>
        <w:rPr>
          <w:sz w:val="22"/>
          <w:szCs w:val="22"/>
        </w:rPr>
      </w:pPr>
      <w:r w:rsidRPr="005727B8">
        <w:rPr>
          <w:sz w:val="22"/>
          <w:szCs w:val="22"/>
        </w:rPr>
        <w:t>Gyventojų, kasdien vartojančių šviežias daržoves, dalis, proc.</w:t>
      </w:r>
    </w:p>
    <w:p w:rsidR="00995BE0" w:rsidRPr="005727B8" w:rsidRDefault="00995BE0" w:rsidP="00063468">
      <w:pPr>
        <w:rPr>
          <w:sz w:val="22"/>
          <w:szCs w:val="22"/>
        </w:rPr>
      </w:pPr>
      <w:r w:rsidRPr="005727B8">
        <w:rPr>
          <w:sz w:val="22"/>
          <w:szCs w:val="22"/>
        </w:rPr>
        <w:t>Vyrų, kasdien vartojančių šviežias daržoves, dalis, proc.</w:t>
      </w:r>
    </w:p>
    <w:p w:rsidR="00995BE0" w:rsidRPr="005727B8" w:rsidRDefault="00995BE0" w:rsidP="00063468">
      <w:pPr>
        <w:rPr>
          <w:sz w:val="22"/>
          <w:szCs w:val="22"/>
        </w:rPr>
      </w:pPr>
      <w:r w:rsidRPr="005727B8">
        <w:rPr>
          <w:sz w:val="22"/>
          <w:szCs w:val="22"/>
        </w:rPr>
        <w:t>Moterų, kasdien vartojančių šviežias daržoves, dalis, proc.</w:t>
      </w:r>
    </w:p>
    <w:p w:rsidR="00995BE0" w:rsidRPr="005727B8" w:rsidRDefault="00995BE0" w:rsidP="00063468">
      <w:pPr>
        <w:rPr>
          <w:sz w:val="22"/>
          <w:szCs w:val="22"/>
        </w:rPr>
      </w:pPr>
      <w:r w:rsidRPr="005727B8">
        <w:rPr>
          <w:sz w:val="22"/>
          <w:szCs w:val="22"/>
        </w:rPr>
        <w:t>Gyventojų, kasdien vartojančių šviežius vaisius ar uogas, dalis, proc.</w:t>
      </w:r>
    </w:p>
    <w:p w:rsidR="00995BE0" w:rsidRPr="005727B8" w:rsidRDefault="00995BE0" w:rsidP="00063468">
      <w:pPr>
        <w:rPr>
          <w:sz w:val="22"/>
          <w:szCs w:val="22"/>
        </w:rPr>
      </w:pPr>
      <w:r w:rsidRPr="005727B8">
        <w:rPr>
          <w:sz w:val="22"/>
          <w:szCs w:val="22"/>
        </w:rPr>
        <w:t>Vyrų, kasdien vartojančių šviežius vaisius ar uogas, dalis, proc.</w:t>
      </w:r>
    </w:p>
    <w:p w:rsidR="00995BE0" w:rsidRPr="005727B8" w:rsidRDefault="00995BE0" w:rsidP="00063468">
      <w:pPr>
        <w:rPr>
          <w:sz w:val="22"/>
          <w:szCs w:val="22"/>
        </w:rPr>
      </w:pPr>
      <w:r w:rsidRPr="005727B8">
        <w:rPr>
          <w:sz w:val="22"/>
          <w:szCs w:val="22"/>
        </w:rPr>
        <w:t>Moterų, kasdien vartojančių šviežius vaisius ar uogas, dalis, proc.</w:t>
      </w:r>
    </w:p>
    <w:p w:rsidR="00995BE0" w:rsidRPr="005727B8" w:rsidRDefault="00995BE0" w:rsidP="00063468">
      <w:pPr>
        <w:rPr>
          <w:sz w:val="22"/>
          <w:szCs w:val="22"/>
        </w:rPr>
      </w:pPr>
      <w:r w:rsidRPr="005727B8">
        <w:rPr>
          <w:sz w:val="22"/>
          <w:szCs w:val="22"/>
        </w:rPr>
        <w:t>Nutukimo (KMI³30 kg/m2) paplitimas, proc.</w:t>
      </w:r>
    </w:p>
    <w:p w:rsidR="00995BE0" w:rsidRPr="005727B8" w:rsidRDefault="00995BE0" w:rsidP="00063468">
      <w:pPr>
        <w:rPr>
          <w:sz w:val="22"/>
          <w:szCs w:val="22"/>
        </w:rPr>
      </w:pPr>
      <w:r w:rsidRPr="005727B8">
        <w:rPr>
          <w:sz w:val="22"/>
          <w:szCs w:val="22"/>
        </w:rPr>
        <w:t>Nutukimo (KMI³30 kg/m2) paplitimas tarp vyrų, proc.</w:t>
      </w:r>
    </w:p>
    <w:p w:rsidR="00995BE0" w:rsidRPr="005727B8" w:rsidRDefault="00995BE0" w:rsidP="00063468">
      <w:pPr>
        <w:rPr>
          <w:sz w:val="22"/>
          <w:szCs w:val="22"/>
        </w:rPr>
      </w:pPr>
      <w:r w:rsidRPr="005727B8">
        <w:rPr>
          <w:sz w:val="22"/>
          <w:szCs w:val="22"/>
        </w:rPr>
        <w:lastRenderedPageBreak/>
        <w:t>Nutukimo (KMI³30 kg/m2) paplitimas tarp moterų, proc.</w:t>
      </w:r>
    </w:p>
    <w:p w:rsidR="00995BE0" w:rsidRPr="005727B8" w:rsidRDefault="00995BE0" w:rsidP="00063468">
      <w:pPr>
        <w:rPr>
          <w:sz w:val="22"/>
          <w:szCs w:val="22"/>
        </w:rPr>
      </w:pPr>
      <w:r w:rsidRPr="005727B8">
        <w:rPr>
          <w:sz w:val="22"/>
          <w:szCs w:val="22"/>
        </w:rPr>
        <w:t>Antsvorio (KMI=25-29,9 kg/m2) paplitimas, proc.</w:t>
      </w:r>
    </w:p>
    <w:p w:rsidR="00995BE0" w:rsidRPr="005727B8" w:rsidRDefault="00995BE0" w:rsidP="00063468">
      <w:pPr>
        <w:rPr>
          <w:sz w:val="22"/>
          <w:szCs w:val="22"/>
        </w:rPr>
      </w:pPr>
      <w:r w:rsidRPr="005727B8">
        <w:rPr>
          <w:sz w:val="22"/>
          <w:szCs w:val="22"/>
        </w:rPr>
        <w:t>Antsvorio (KMI=25-29,9 kg/m2) paplitimas tarp vyrų, proc.</w:t>
      </w:r>
    </w:p>
    <w:p w:rsidR="00995BE0" w:rsidRPr="005727B8" w:rsidRDefault="00995BE0" w:rsidP="00063468">
      <w:pPr>
        <w:rPr>
          <w:sz w:val="22"/>
          <w:szCs w:val="22"/>
        </w:rPr>
      </w:pPr>
      <w:r w:rsidRPr="005727B8">
        <w:rPr>
          <w:sz w:val="22"/>
          <w:szCs w:val="22"/>
        </w:rPr>
        <w:t>Antsvorio (KMI=25-29,9 kg/m2) paplitimas tarp moterų, proc.</w:t>
      </w:r>
    </w:p>
    <w:p w:rsidR="00995BE0" w:rsidRPr="005727B8" w:rsidRDefault="00995BE0" w:rsidP="00063468">
      <w:pPr>
        <w:rPr>
          <w:b/>
          <w:sz w:val="22"/>
          <w:szCs w:val="22"/>
        </w:rPr>
      </w:pPr>
      <w:r w:rsidRPr="005727B8">
        <w:rPr>
          <w:sz w:val="22"/>
          <w:szCs w:val="22"/>
        </w:rPr>
        <w:t>Bendrosios praktikos gydytojų skaičius biudžetinėse institucijose</w:t>
      </w:r>
    </w:p>
    <w:p w:rsidR="00995BE0" w:rsidRPr="005727B8" w:rsidRDefault="00995BE0" w:rsidP="00063468">
      <w:pPr>
        <w:rPr>
          <w:b/>
          <w:sz w:val="22"/>
          <w:szCs w:val="22"/>
        </w:rPr>
      </w:pPr>
      <w:r w:rsidRPr="005727B8">
        <w:rPr>
          <w:sz w:val="22"/>
          <w:szCs w:val="22"/>
        </w:rPr>
        <w:t>Bendrosios praktikos gydytojų skaičius privataus kapitalo institucijose</w:t>
      </w:r>
    </w:p>
    <w:p w:rsidR="00995BE0" w:rsidRPr="005727B8" w:rsidRDefault="00995BE0" w:rsidP="00063468">
      <w:pPr>
        <w:rPr>
          <w:sz w:val="22"/>
          <w:szCs w:val="22"/>
        </w:rPr>
      </w:pPr>
      <w:r w:rsidRPr="005727B8">
        <w:rPr>
          <w:sz w:val="22"/>
          <w:szCs w:val="22"/>
        </w:rPr>
        <w:t>Trūkstamų specialistų antriniame lygyje skaičius</w:t>
      </w:r>
    </w:p>
    <w:p w:rsidR="00995BE0" w:rsidRPr="005727B8" w:rsidRDefault="00995BE0" w:rsidP="00063468">
      <w:pPr>
        <w:rPr>
          <w:sz w:val="22"/>
          <w:szCs w:val="22"/>
        </w:rPr>
      </w:pPr>
      <w:r w:rsidRPr="005727B8">
        <w:rPr>
          <w:sz w:val="22"/>
          <w:szCs w:val="22"/>
        </w:rPr>
        <w:t>Medicininės pagalbos prieinamumas, vidutinis pacientų skaičius vienam BPG</w:t>
      </w:r>
    </w:p>
    <w:p w:rsidR="00995BE0" w:rsidRPr="005727B8" w:rsidRDefault="00995BE0" w:rsidP="00063468">
      <w:pPr>
        <w:rPr>
          <w:sz w:val="22"/>
          <w:szCs w:val="22"/>
        </w:rPr>
      </w:pPr>
      <w:r w:rsidRPr="005727B8">
        <w:rPr>
          <w:sz w:val="22"/>
          <w:szCs w:val="22"/>
        </w:rPr>
        <w:t>Slaugos personalo skaičius</w:t>
      </w:r>
    </w:p>
    <w:p w:rsidR="00995BE0" w:rsidRPr="005727B8" w:rsidRDefault="00995BE0" w:rsidP="00063468">
      <w:pPr>
        <w:rPr>
          <w:sz w:val="22"/>
          <w:szCs w:val="22"/>
        </w:rPr>
      </w:pPr>
      <w:r w:rsidRPr="005727B8">
        <w:rPr>
          <w:sz w:val="22"/>
          <w:szCs w:val="22"/>
        </w:rPr>
        <w:t>Lovų skaičius stacionare</w:t>
      </w:r>
    </w:p>
    <w:p w:rsidR="00995BE0" w:rsidRPr="005727B8" w:rsidRDefault="00995BE0" w:rsidP="00063468">
      <w:pPr>
        <w:rPr>
          <w:b/>
          <w:sz w:val="22"/>
          <w:szCs w:val="22"/>
        </w:rPr>
      </w:pPr>
      <w:r w:rsidRPr="005727B8">
        <w:rPr>
          <w:sz w:val="22"/>
          <w:szCs w:val="22"/>
        </w:rPr>
        <w:t>Geležinkeliu gabenamų cheminių medžiagų intensyvumas</w:t>
      </w:r>
    </w:p>
    <w:p w:rsidR="00995BE0" w:rsidRPr="005727B8" w:rsidRDefault="00995BE0" w:rsidP="00063468">
      <w:pPr>
        <w:rPr>
          <w:b/>
          <w:sz w:val="22"/>
          <w:szCs w:val="22"/>
        </w:rPr>
      </w:pPr>
      <w:r w:rsidRPr="005727B8">
        <w:rPr>
          <w:sz w:val="22"/>
          <w:szCs w:val="22"/>
        </w:rPr>
        <w:t>Geležinkeliu gabenamų sprogstamųjų medžiagų intensyvumas</w:t>
      </w:r>
    </w:p>
    <w:p w:rsidR="00995BE0" w:rsidRPr="005727B8" w:rsidRDefault="00995BE0" w:rsidP="00063468">
      <w:pPr>
        <w:rPr>
          <w:b/>
          <w:sz w:val="22"/>
          <w:szCs w:val="22"/>
        </w:rPr>
      </w:pPr>
      <w:r w:rsidRPr="005727B8">
        <w:rPr>
          <w:sz w:val="22"/>
          <w:szCs w:val="22"/>
        </w:rPr>
        <w:t>Oro uosto keliamo triukšmo lygis</w:t>
      </w:r>
    </w:p>
    <w:p w:rsidR="00995BE0" w:rsidRPr="005727B8" w:rsidRDefault="00995BE0" w:rsidP="00063468">
      <w:pPr>
        <w:rPr>
          <w:b/>
          <w:sz w:val="22"/>
          <w:szCs w:val="22"/>
        </w:rPr>
      </w:pPr>
      <w:r w:rsidRPr="005727B8">
        <w:rPr>
          <w:sz w:val="22"/>
          <w:szCs w:val="22"/>
        </w:rPr>
        <w:t>Oro uosto oro taršos lygis</w:t>
      </w:r>
    </w:p>
    <w:p w:rsidR="00995BE0" w:rsidRPr="005727B8" w:rsidRDefault="00995BE0" w:rsidP="00063468">
      <w:pPr>
        <w:rPr>
          <w:b/>
          <w:sz w:val="22"/>
          <w:szCs w:val="22"/>
        </w:rPr>
      </w:pPr>
      <w:r w:rsidRPr="005727B8">
        <w:rPr>
          <w:sz w:val="22"/>
          <w:szCs w:val="22"/>
        </w:rPr>
        <w:t>Oro uosto gruntinių vandenų taršos lygis</w:t>
      </w:r>
    </w:p>
    <w:p w:rsidR="00995BE0" w:rsidRPr="005727B8" w:rsidRDefault="00995BE0" w:rsidP="00063468">
      <w:pPr>
        <w:rPr>
          <w:b/>
          <w:sz w:val="22"/>
          <w:szCs w:val="22"/>
        </w:rPr>
      </w:pPr>
      <w:r w:rsidRPr="005727B8">
        <w:rPr>
          <w:sz w:val="22"/>
          <w:szCs w:val="22"/>
        </w:rPr>
        <w:t>Vidutinis oro judėjimo greitis</w:t>
      </w:r>
    </w:p>
    <w:p w:rsidR="00995BE0" w:rsidRPr="005727B8" w:rsidRDefault="00995BE0" w:rsidP="00063468">
      <w:pPr>
        <w:rPr>
          <w:b/>
          <w:sz w:val="22"/>
          <w:szCs w:val="22"/>
        </w:rPr>
      </w:pPr>
      <w:r w:rsidRPr="005727B8">
        <w:rPr>
          <w:sz w:val="22"/>
          <w:szCs w:val="22"/>
        </w:rPr>
        <w:t>Vidutinė paros temperatūra</w:t>
      </w:r>
    </w:p>
    <w:p w:rsidR="00995BE0" w:rsidRPr="005727B8" w:rsidRDefault="00995BE0" w:rsidP="00063468">
      <w:pPr>
        <w:rPr>
          <w:sz w:val="22"/>
          <w:szCs w:val="22"/>
        </w:rPr>
      </w:pPr>
      <w:r w:rsidRPr="005727B8">
        <w:rPr>
          <w:sz w:val="22"/>
          <w:szCs w:val="22"/>
        </w:rPr>
        <w:t>Kritulių kiekis per parą</w:t>
      </w:r>
    </w:p>
    <w:p w:rsidR="00995BE0" w:rsidRPr="005727B8" w:rsidRDefault="00995BE0" w:rsidP="00063468">
      <w:pPr>
        <w:rPr>
          <w:sz w:val="22"/>
          <w:szCs w:val="22"/>
        </w:rPr>
      </w:pPr>
      <w:r w:rsidRPr="005727B8">
        <w:rPr>
          <w:sz w:val="22"/>
          <w:szCs w:val="22"/>
        </w:rPr>
        <w:t>Savarankiškai atliktų tyrimų skaičius visuomenės sveikatos tinklo organizacijose, kuriais sukaupta informacijos apie visuomenės sveikatos būklę</w:t>
      </w:r>
    </w:p>
    <w:p w:rsidR="00995BE0" w:rsidRPr="005727B8" w:rsidRDefault="00995BE0" w:rsidP="00063468">
      <w:pPr>
        <w:rPr>
          <w:sz w:val="22"/>
          <w:szCs w:val="22"/>
        </w:rPr>
      </w:pPr>
      <w:r w:rsidRPr="005727B8">
        <w:rPr>
          <w:sz w:val="22"/>
          <w:szCs w:val="22"/>
        </w:rPr>
        <w:t>Visuomenės sveikatos būklės vienkartinius tyrimus savarankiškai atliekančių organizacijų skaičius</w:t>
      </w:r>
    </w:p>
    <w:p w:rsidR="00995BE0" w:rsidRPr="005727B8" w:rsidRDefault="00995BE0" w:rsidP="00063468">
      <w:pPr>
        <w:rPr>
          <w:b/>
          <w:sz w:val="22"/>
          <w:szCs w:val="22"/>
        </w:rPr>
      </w:pPr>
      <w:r w:rsidRPr="005727B8">
        <w:rPr>
          <w:sz w:val="22"/>
          <w:szCs w:val="22"/>
        </w:rPr>
        <w:t>Atliktų visuomenės sveikatos būklės tyrimų, kuriuose dalyvavo bent dvi  visuomenės sveikatos tinklo organizacijos, skaičius</w:t>
      </w:r>
    </w:p>
    <w:p w:rsidR="00995BE0" w:rsidRPr="005727B8" w:rsidRDefault="00995BE0" w:rsidP="00063468">
      <w:pPr>
        <w:rPr>
          <w:b/>
          <w:sz w:val="22"/>
          <w:szCs w:val="22"/>
        </w:rPr>
      </w:pPr>
      <w:r w:rsidRPr="005727B8">
        <w:rPr>
          <w:sz w:val="22"/>
          <w:szCs w:val="22"/>
        </w:rPr>
        <w:t>Organizacijų dalyvaujančių atliekant bendrus visuomenės sveikatos būklės tyrimus skaičius</w:t>
      </w:r>
    </w:p>
    <w:p w:rsidR="00995BE0" w:rsidRPr="005727B8" w:rsidRDefault="00995BE0" w:rsidP="00063468">
      <w:pPr>
        <w:rPr>
          <w:sz w:val="22"/>
          <w:szCs w:val="22"/>
        </w:rPr>
      </w:pPr>
      <w:r w:rsidRPr="005727B8">
        <w:rPr>
          <w:sz w:val="22"/>
          <w:szCs w:val="22"/>
        </w:rPr>
        <w:t>Kooperacinių junginių, skirtų bendriems visuomenės sveikatos būklės tyrimams atlikti, skaičius</w:t>
      </w:r>
    </w:p>
    <w:p w:rsidR="00995BE0" w:rsidRPr="005727B8" w:rsidRDefault="00995BE0" w:rsidP="00063468">
      <w:pPr>
        <w:rPr>
          <w:sz w:val="22"/>
          <w:szCs w:val="22"/>
        </w:rPr>
      </w:pPr>
      <w:r w:rsidRPr="005727B8">
        <w:rPr>
          <w:sz w:val="22"/>
          <w:szCs w:val="22"/>
        </w:rPr>
        <w:t>Parengtų ir atspausdintų straipsnių respublikinėje, regioninėje, miesto ir žinybinėje spaudoje skaičius</w:t>
      </w:r>
    </w:p>
    <w:p w:rsidR="00995BE0" w:rsidRPr="005727B8" w:rsidRDefault="00995BE0" w:rsidP="00063468">
      <w:pPr>
        <w:rPr>
          <w:sz w:val="22"/>
          <w:szCs w:val="22"/>
        </w:rPr>
      </w:pPr>
      <w:r w:rsidRPr="005727B8">
        <w:rPr>
          <w:sz w:val="22"/>
          <w:szCs w:val="22"/>
        </w:rPr>
        <w:t>Informacinių pranešimų skaičius respublikinėje, regioninėje, miesto ir žinybinėje spaudoje</w:t>
      </w:r>
    </w:p>
    <w:p w:rsidR="00995BE0" w:rsidRPr="005727B8" w:rsidRDefault="00995BE0" w:rsidP="00063468">
      <w:pPr>
        <w:rPr>
          <w:sz w:val="22"/>
          <w:szCs w:val="22"/>
        </w:rPr>
      </w:pPr>
      <w:r w:rsidRPr="005727B8">
        <w:rPr>
          <w:sz w:val="22"/>
          <w:szCs w:val="22"/>
        </w:rPr>
        <w:t>Mokslinių straipsnių apie miesto visuomenės sveikatą skaičius periodiniuose mokslo leidiniuose</w:t>
      </w:r>
    </w:p>
    <w:p w:rsidR="00995BE0" w:rsidRPr="005727B8" w:rsidRDefault="00995BE0" w:rsidP="00063468">
      <w:pPr>
        <w:rPr>
          <w:sz w:val="22"/>
          <w:szCs w:val="22"/>
        </w:rPr>
      </w:pPr>
      <w:r w:rsidRPr="005727B8">
        <w:rPr>
          <w:sz w:val="22"/>
          <w:szCs w:val="22"/>
        </w:rPr>
        <w:t>Mokslinių leidinių apie miesto visuomenės sveikatą skaičius</w:t>
      </w:r>
    </w:p>
    <w:p w:rsidR="00995BE0" w:rsidRPr="005727B8" w:rsidRDefault="00995BE0" w:rsidP="00063468">
      <w:pPr>
        <w:rPr>
          <w:sz w:val="22"/>
          <w:szCs w:val="22"/>
        </w:rPr>
      </w:pPr>
      <w:r w:rsidRPr="005727B8">
        <w:rPr>
          <w:sz w:val="22"/>
          <w:szCs w:val="22"/>
        </w:rPr>
        <w:t>Periodinių televizijos laidų skaičius apie Šiaulių miesto visuomenės sveikatą</w:t>
      </w:r>
    </w:p>
    <w:p w:rsidR="00995BE0" w:rsidRPr="005727B8" w:rsidRDefault="00995BE0" w:rsidP="00063468">
      <w:pPr>
        <w:rPr>
          <w:sz w:val="22"/>
          <w:szCs w:val="22"/>
        </w:rPr>
      </w:pPr>
      <w:r w:rsidRPr="005727B8">
        <w:rPr>
          <w:sz w:val="22"/>
          <w:szCs w:val="22"/>
        </w:rPr>
        <w:t>Publicistinių televizijos laidų skaičius apie Šiaulių miesto visuomenės sveikatą</w:t>
      </w:r>
    </w:p>
    <w:p w:rsidR="00995BE0" w:rsidRPr="005727B8" w:rsidRDefault="00995BE0" w:rsidP="00063468">
      <w:pPr>
        <w:rPr>
          <w:sz w:val="22"/>
          <w:szCs w:val="22"/>
        </w:rPr>
      </w:pPr>
      <w:r w:rsidRPr="005727B8">
        <w:rPr>
          <w:sz w:val="22"/>
          <w:szCs w:val="22"/>
        </w:rPr>
        <w:t>Trumpametražinių filmų apie visuomenės sveikatą skaičius respublikinėje, regioninėje, miesto ir žinybinėje televizijoje</w:t>
      </w:r>
    </w:p>
    <w:p w:rsidR="00995BE0" w:rsidRPr="005727B8" w:rsidRDefault="00995BE0" w:rsidP="00063468">
      <w:pPr>
        <w:rPr>
          <w:sz w:val="22"/>
          <w:szCs w:val="22"/>
        </w:rPr>
      </w:pPr>
      <w:r w:rsidRPr="005727B8">
        <w:rPr>
          <w:sz w:val="22"/>
          <w:szCs w:val="22"/>
        </w:rPr>
        <w:t>Reklaminių klipų apie visuomenės sveikatą skaičius respublikinėje, regioninėje, miesto ir žinybinėje televizijoje</w:t>
      </w:r>
    </w:p>
    <w:p w:rsidR="00995BE0" w:rsidRPr="005727B8" w:rsidRDefault="00995BE0" w:rsidP="00063468">
      <w:pPr>
        <w:rPr>
          <w:sz w:val="22"/>
          <w:szCs w:val="22"/>
        </w:rPr>
      </w:pPr>
      <w:r w:rsidRPr="005727B8">
        <w:rPr>
          <w:sz w:val="22"/>
          <w:szCs w:val="22"/>
        </w:rPr>
        <w:t>Periodinių radijo laidų skaičius apie Šiaulių miesto visuomenės sveikatą</w:t>
      </w:r>
    </w:p>
    <w:p w:rsidR="00995BE0" w:rsidRPr="005727B8" w:rsidRDefault="00995BE0" w:rsidP="00063468">
      <w:pPr>
        <w:rPr>
          <w:sz w:val="22"/>
          <w:szCs w:val="22"/>
        </w:rPr>
      </w:pPr>
      <w:r w:rsidRPr="005727B8">
        <w:rPr>
          <w:sz w:val="22"/>
          <w:szCs w:val="22"/>
        </w:rPr>
        <w:t>Publicistinių radijo laidų skaičius apie Šiaulių miesto visuomenės sveikatą</w:t>
      </w:r>
    </w:p>
    <w:p w:rsidR="00995BE0" w:rsidRPr="005727B8" w:rsidRDefault="00995BE0" w:rsidP="00063468">
      <w:pPr>
        <w:rPr>
          <w:sz w:val="22"/>
          <w:szCs w:val="22"/>
        </w:rPr>
      </w:pPr>
      <w:r w:rsidRPr="005727B8">
        <w:rPr>
          <w:sz w:val="22"/>
          <w:szCs w:val="22"/>
        </w:rPr>
        <w:t>Reklamų apie visuomenės sveikatą skaičius respublikiniame, regioniniame, miesto ir žinybiniame radijuje</w:t>
      </w:r>
    </w:p>
    <w:p w:rsidR="00995BE0" w:rsidRPr="005727B8" w:rsidRDefault="00995BE0" w:rsidP="00063468">
      <w:pPr>
        <w:rPr>
          <w:sz w:val="22"/>
          <w:szCs w:val="22"/>
        </w:rPr>
      </w:pPr>
      <w:r w:rsidRPr="005727B8">
        <w:rPr>
          <w:sz w:val="22"/>
          <w:szCs w:val="22"/>
        </w:rPr>
        <w:t>Radijo blog‘ų skaičius apie Šiaulių miesto visuomenės sveikatą respublikiniame, regioniniame, miesto ir žinybiniame radijuje</w:t>
      </w:r>
    </w:p>
    <w:p w:rsidR="00995BE0" w:rsidRPr="005727B8" w:rsidRDefault="00995BE0" w:rsidP="00063468">
      <w:pPr>
        <w:rPr>
          <w:sz w:val="22"/>
          <w:szCs w:val="22"/>
        </w:rPr>
      </w:pPr>
      <w:r w:rsidRPr="005727B8">
        <w:rPr>
          <w:sz w:val="22"/>
          <w:szCs w:val="22"/>
        </w:rPr>
        <w:t>Internetinių puslapių, kuriuose teikiama informacija apie Šiaulių miesto visuomenės sveikatą, skaičius</w:t>
      </w:r>
    </w:p>
    <w:p w:rsidR="00995BE0" w:rsidRPr="005727B8" w:rsidRDefault="00995BE0" w:rsidP="00063468">
      <w:pPr>
        <w:rPr>
          <w:sz w:val="22"/>
          <w:szCs w:val="22"/>
        </w:rPr>
      </w:pPr>
      <w:r w:rsidRPr="005727B8">
        <w:rPr>
          <w:sz w:val="22"/>
          <w:szCs w:val="22"/>
        </w:rPr>
        <w:t xml:space="preserve">Teminių straipsnių skaičius savivaldybės tinklalapyje apie Šiaulių miesto visuomenės sveikatą </w:t>
      </w:r>
    </w:p>
    <w:p w:rsidR="00995BE0" w:rsidRPr="005727B8" w:rsidRDefault="00995BE0" w:rsidP="00063468">
      <w:pPr>
        <w:rPr>
          <w:sz w:val="22"/>
          <w:szCs w:val="22"/>
        </w:rPr>
      </w:pPr>
      <w:r w:rsidRPr="005727B8">
        <w:rPr>
          <w:sz w:val="22"/>
          <w:szCs w:val="22"/>
        </w:rPr>
        <w:t>Vidutinis dalyvių skaičius Šiaulių miesto visuomenės sveikatos teminėje pokalbių svetainėje</w:t>
      </w:r>
    </w:p>
    <w:p w:rsidR="00995BE0" w:rsidRPr="005727B8" w:rsidRDefault="00995BE0" w:rsidP="00063468">
      <w:pPr>
        <w:rPr>
          <w:sz w:val="22"/>
          <w:szCs w:val="22"/>
        </w:rPr>
      </w:pPr>
      <w:r w:rsidRPr="005727B8">
        <w:rPr>
          <w:sz w:val="22"/>
          <w:szCs w:val="22"/>
        </w:rPr>
        <w:t>Internetinių puslapių, kuriuose teikiama informacija apie Šiaulių miesto visuomenės sveikatą, lankytojų skaičius</w:t>
      </w:r>
    </w:p>
    <w:p w:rsidR="00995BE0" w:rsidRPr="005727B8" w:rsidRDefault="00995BE0" w:rsidP="00063468">
      <w:pPr>
        <w:rPr>
          <w:sz w:val="22"/>
          <w:szCs w:val="22"/>
        </w:rPr>
      </w:pPr>
      <w:r w:rsidRPr="005727B8">
        <w:rPr>
          <w:sz w:val="22"/>
          <w:szCs w:val="22"/>
        </w:rPr>
        <w:t>Stendų, kuriuose nuolat teikiama informacija apie Šiaulių miesto visuomenės sveikatą, skaičius</w:t>
      </w:r>
    </w:p>
    <w:p w:rsidR="00995BE0" w:rsidRPr="005727B8" w:rsidRDefault="00995BE0" w:rsidP="00063468">
      <w:pPr>
        <w:rPr>
          <w:sz w:val="22"/>
          <w:szCs w:val="22"/>
        </w:rPr>
      </w:pPr>
      <w:r w:rsidRPr="005727B8">
        <w:rPr>
          <w:sz w:val="22"/>
          <w:szCs w:val="22"/>
        </w:rPr>
        <w:t xml:space="preserve">Bendro pobūdžio informacinių skelbimų apie visuomenės sveikatą skaičius miesto stenduose ir reklaminiuose ekranuose per mėnesį </w:t>
      </w:r>
    </w:p>
    <w:p w:rsidR="00995BE0" w:rsidRPr="005727B8" w:rsidRDefault="00995BE0" w:rsidP="00063468">
      <w:pPr>
        <w:rPr>
          <w:sz w:val="22"/>
          <w:szCs w:val="22"/>
        </w:rPr>
      </w:pPr>
      <w:r w:rsidRPr="005727B8">
        <w:rPr>
          <w:sz w:val="22"/>
          <w:szCs w:val="22"/>
        </w:rPr>
        <w:t>Informacinių skelbimų apie Šiaulių miesto visuomenės sveikatą skaičius stenduose ir reklaminiuose ekranuose per mėnesį</w:t>
      </w:r>
    </w:p>
    <w:p w:rsidR="00995BE0" w:rsidRPr="005727B8" w:rsidRDefault="00995BE0" w:rsidP="00063468">
      <w:pPr>
        <w:rPr>
          <w:sz w:val="22"/>
          <w:szCs w:val="22"/>
        </w:rPr>
      </w:pPr>
      <w:r w:rsidRPr="005727B8">
        <w:rPr>
          <w:sz w:val="22"/>
          <w:szCs w:val="22"/>
        </w:rPr>
        <w:t>Bendro pobūdžio miesto renginių metu iškabintų informacinių skelbimų skaičius</w:t>
      </w:r>
    </w:p>
    <w:p w:rsidR="00995BE0" w:rsidRPr="005727B8" w:rsidRDefault="00995BE0" w:rsidP="00063468">
      <w:pPr>
        <w:rPr>
          <w:sz w:val="22"/>
          <w:szCs w:val="22"/>
        </w:rPr>
      </w:pPr>
      <w:r w:rsidRPr="005727B8">
        <w:rPr>
          <w:sz w:val="22"/>
          <w:szCs w:val="22"/>
        </w:rPr>
        <w:t>Bendro pobūdžio miesto renginių, kuriuose skelbta informacija apie visuomenės sveikatą, skaičius</w:t>
      </w:r>
    </w:p>
    <w:p w:rsidR="00995BE0" w:rsidRPr="005727B8" w:rsidRDefault="00995BE0" w:rsidP="00063468">
      <w:pPr>
        <w:rPr>
          <w:sz w:val="22"/>
          <w:szCs w:val="22"/>
        </w:rPr>
      </w:pPr>
      <w:r w:rsidRPr="005727B8">
        <w:rPr>
          <w:sz w:val="22"/>
          <w:szCs w:val="22"/>
        </w:rPr>
        <w:t>Sporto renginių metu iškabintų informacinių skelbimų skaičius</w:t>
      </w:r>
    </w:p>
    <w:p w:rsidR="00995BE0" w:rsidRPr="005727B8" w:rsidRDefault="00995BE0" w:rsidP="00063468">
      <w:pPr>
        <w:rPr>
          <w:sz w:val="22"/>
          <w:szCs w:val="22"/>
        </w:rPr>
      </w:pPr>
      <w:r w:rsidRPr="005727B8">
        <w:rPr>
          <w:sz w:val="22"/>
          <w:szCs w:val="22"/>
        </w:rPr>
        <w:t>Sporto renginių, kuriuose skelbta informacija apie visuomenės sveikatą, skaičius</w:t>
      </w:r>
    </w:p>
    <w:p w:rsidR="00995BE0" w:rsidRPr="005727B8" w:rsidRDefault="00995BE0" w:rsidP="00063468">
      <w:pPr>
        <w:rPr>
          <w:sz w:val="22"/>
          <w:szCs w:val="22"/>
        </w:rPr>
      </w:pPr>
      <w:r w:rsidRPr="005727B8">
        <w:rPr>
          <w:sz w:val="22"/>
          <w:szCs w:val="22"/>
        </w:rPr>
        <w:t>Visuomenės sveikatai skirtų renginių metu iškabintų informacinių skelbimų skaičius</w:t>
      </w:r>
    </w:p>
    <w:p w:rsidR="00995BE0" w:rsidRPr="005727B8" w:rsidRDefault="00995BE0" w:rsidP="00063468">
      <w:pPr>
        <w:rPr>
          <w:sz w:val="22"/>
          <w:szCs w:val="22"/>
        </w:rPr>
      </w:pPr>
      <w:r w:rsidRPr="005727B8">
        <w:rPr>
          <w:sz w:val="22"/>
          <w:szCs w:val="22"/>
        </w:rPr>
        <w:t>Visuomenės sveikatai skirtų renginių, kuriuose skelbta informacija apie visuomenės sveikatą, skaičius</w:t>
      </w:r>
    </w:p>
    <w:p w:rsidR="00995BE0" w:rsidRPr="005727B8" w:rsidRDefault="00995BE0" w:rsidP="00063468">
      <w:pPr>
        <w:rPr>
          <w:sz w:val="22"/>
          <w:szCs w:val="22"/>
        </w:rPr>
      </w:pPr>
      <w:r w:rsidRPr="005727B8">
        <w:rPr>
          <w:sz w:val="22"/>
          <w:szCs w:val="22"/>
        </w:rPr>
        <w:t>Miesto lygmeniu suorganizuotų visuomenės sveikatos konferencijų skaičius</w:t>
      </w:r>
    </w:p>
    <w:p w:rsidR="00995BE0" w:rsidRPr="005727B8" w:rsidRDefault="00995BE0" w:rsidP="00063468">
      <w:pPr>
        <w:rPr>
          <w:sz w:val="22"/>
          <w:szCs w:val="22"/>
        </w:rPr>
      </w:pPr>
      <w:r w:rsidRPr="005727B8">
        <w:rPr>
          <w:sz w:val="22"/>
          <w:szCs w:val="22"/>
        </w:rPr>
        <w:lastRenderedPageBreak/>
        <w:t>Respublikiniu lygmeniu suorganizuotų visuomenės sveikatos konferencijų skaičius Šiaulių mieste</w:t>
      </w:r>
    </w:p>
    <w:p w:rsidR="00995BE0" w:rsidRPr="005727B8" w:rsidRDefault="00995BE0" w:rsidP="00063468">
      <w:pPr>
        <w:rPr>
          <w:sz w:val="22"/>
          <w:szCs w:val="22"/>
        </w:rPr>
      </w:pPr>
      <w:r w:rsidRPr="005727B8">
        <w:rPr>
          <w:sz w:val="22"/>
          <w:szCs w:val="22"/>
        </w:rPr>
        <w:t>Tarptautiniu lygmeniu suorganizuotų visuomenės sveikatos konferencijų skaičius Šiaulių mieste</w:t>
      </w:r>
    </w:p>
    <w:p w:rsidR="00995BE0" w:rsidRPr="005727B8" w:rsidRDefault="00995BE0" w:rsidP="00063468">
      <w:pPr>
        <w:rPr>
          <w:sz w:val="22"/>
          <w:szCs w:val="22"/>
        </w:rPr>
      </w:pPr>
      <w:r w:rsidRPr="005727B8">
        <w:rPr>
          <w:sz w:val="22"/>
          <w:szCs w:val="22"/>
        </w:rPr>
        <w:t>Suorganizuotų visuomenės sveikatos seminarų skaičius</w:t>
      </w:r>
    </w:p>
    <w:p w:rsidR="00995BE0" w:rsidRPr="005727B8" w:rsidRDefault="00995BE0" w:rsidP="00063468">
      <w:pPr>
        <w:rPr>
          <w:sz w:val="22"/>
          <w:szCs w:val="22"/>
        </w:rPr>
      </w:pPr>
      <w:r w:rsidRPr="005727B8">
        <w:rPr>
          <w:sz w:val="22"/>
          <w:szCs w:val="22"/>
        </w:rPr>
        <w:t>Miesto lygmeniu suorganizuotų visuomenės sveikatos parodų skaičius</w:t>
      </w:r>
    </w:p>
    <w:p w:rsidR="00995BE0" w:rsidRPr="005727B8" w:rsidRDefault="00995BE0" w:rsidP="00063468">
      <w:pPr>
        <w:rPr>
          <w:sz w:val="22"/>
          <w:szCs w:val="22"/>
        </w:rPr>
      </w:pPr>
      <w:r w:rsidRPr="005727B8">
        <w:rPr>
          <w:sz w:val="22"/>
          <w:szCs w:val="22"/>
        </w:rPr>
        <w:t>Miesto parodų skaičius, kuriose pristatyta visuomenės sveikata</w:t>
      </w:r>
    </w:p>
    <w:p w:rsidR="00995BE0" w:rsidRPr="005727B8" w:rsidRDefault="00995BE0" w:rsidP="00063468">
      <w:pPr>
        <w:rPr>
          <w:sz w:val="22"/>
          <w:szCs w:val="22"/>
        </w:rPr>
      </w:pPr>
      <w:r w:rsidRPr="005727B8">
        <w:rPr>
          <w:sz w:val="22"/>
          <w:szCs w:val="22"/>
        </w:rPr>
        <w:t>Regiono parodų skaičius, kuriose pristatyta miesto visuomenės sveikata</w:t>
      </w:r>
    </w:p>
    <w:p w:rsidR="00995BE0" w:rsidRPr="005727B8" w:rsidRDefault="00995BE0" w:rsidP="00063468">
      <w:pPr>
        <w:rPr>
          <w:sz w:val="22"/>
          <w:szCs w:val="22"/>
        </w:rPr>
      </w:pPr>
      <w:r w:rsidRPr="005727B8">
        <w:rPr>
          <w:sz w:val="22"/>
          <w:szCs w:val="22"/>
        </w:rPr>
        <w:t>Tarptautinių parodų skaičius, kuriose pristatyta miesto visuomenės sveikata</w:t>
      </w:r>
    </w:p>
    <w:p w:rsidR="00995BE0" w:rsidRPr="005727B8" w:rsidRDefault="00995BE0" w:rsidP="00063468">
      <w:pPr>
        <w:rPr>
          <w:sz w:val="22"/>
          <w:szCs w:val="22"/>
        </w:rPr>
      </w:pPr>
      <w:r w:rsidRPr="005727B8">
        <w:rPr>
          <w:sz w:val="22"/>
          <w:szCs w:val="22"/>
        </w:rPr>
        <w:t>Regiono lygmeniu suorganizuotų visuomenės sveikatos parodų skaičius</w:t>
      </w:r>
    </w:p>
    <w:p w:rsidR="00995BE0" w:rsidRPr="005727B8" w:rsidRDefault="00995BE0" w:rsidP="00063468">
      <w:pPr>
        <w:rPr>
          <w:sz w:val="22"/>
          <w:szCs w:val="22"/>
        </w:rPr>
      </w:pPr>
      <w:r w:rsidRPr="005727B8">
        <w:rPr>
          <w:sz w:val="22"/>
          <w:szCs w:val="22"/>
        </w:rPr>
        <w:t>Tarptautiniu lygmeniu suorganizuotų visuomenės sveikatos parodų skaičius</w:t>
      </w:r>
    </w:p>
    <w:p w:rsidR="00995BE0" w:rsidRPr="005727B8" w:rsidRDefault="00995BE0" w:rsidP="00063468">
      <w:pPr>
        <w:rPr>
          <w:sz w:val="22"/>
          <w:szCs w:val="22"/>
        </w:rPr>
      </w:pPr>
      <w:r w:rsidRPr="005727B8">
        <w:rPr>
          <w:sz w:val="22"/>
          <w:szCs w:val="22"/>
        </w:rPr>
        <w:t>Miesto lygmeniu suorganizuotų visuomenės sveikatos konferencijų dalyvių skaičius</w:t>
      </w:r>
    </w:p>
    <w:p w:rsidR="00995BE0" w:rsidRPr="005727B8" w:rsidRDefault="00995BE0" w:rsidP="00063468">
      <w:pPr>
        <w:rPr>
          <w:sz w:val="22"/>
          <w:szCs w:val="22"/>
        </w:rPr>
      </w:pPr>
      <w:r w:rsidRPr="005727B8">
        <w:rPr>
          <w:sz w:val="22"/>
          <w:szCs w:val="22"/>
        </w:rPr>
        <w:t>Respublikiniu lygmeniu suorganizuotų visuomenės sveikatos konferencijų dalyvių skaičius Šiaulių mieste</w:t>
      </w:r>
    </w:p>
    <w:p w:rsidR="00995BE0" w:rsidRPr="005727B8" w:rsidRDefault="00995BE0" w:rsidP="00063468">
      <w:pPr>
        <w:rPr>
          <w:sz w:val="22"/>
          <w:szCs w:val="22"/>
        </w:rPr>
      </w:pPr>
      <w:r w:rsidRPr="005727B8">
        <w:rPr>
          <w:sz w:val="22"/>
          <w:szCs w:val="22"/>
        </w:rPr>
        <w:t>Tarptautiniu lygmeniu suorganizuotų visuomenės sveikatos konferencijų dalyvių skaičius Šiaulių mieste</w:t>
      </w:r>
    </w:p>
    <w:p w:rsidR="00995BE0" w:rsidRPr="005727B8" w:rsidRDefault="00995BE0" w:rsidP="00063468">
      <w:pPr>
        <w:rPr>
          <w:sz w:val="22"/>
          <w:szCs w:val="22"/>
        </w:rPr>
      </w:pPr>
      <w:r w:rsidRPr="005727B8">
        <w:rPr>
          <w:sz w:val="22"/>
          <w:szCs w:val="22"/>
        </w:rPr>
        <w:t>Suorganizuotų visuomenės sveikatos seminarų dalyvių skaičius</w:t>
      </w:r>
    </w:p>
    <w:p w:rsidR="00995BE0" w:rsidRPr="005727B8" w:rsidRDefault="00995BE0" w:rsidP="00063468">
      <w:pPr>
        <w:rPr>
          <w:sz w:val="22"/>
          <w:szCs w:val="22"/>
        </w:rPr>
      </w:pPr>
      <w:r w:rsidRPr="005727B8">
        <w:rPr>
          <w:sz w:val="22"/>
          <w:szCs w:val="22"/>
        </w:rPr>
        <w:t>Miesto lygmeniu suorganizuotų visuomenės sveikatos parodų dalyvių skaičius</w:t>
      </w:r>
    </w:p>
    <w:p w:rsidR="00995BE0" w:rsidRPr="005727B8" w:rsidRDefault="00995BE0" w:rsidP="00063468">
      <w:pPr>
        <w:rPr>
          <w:sz w:val="22"/>
          <w:szCs w:val="22"/>
        </w:rPr>
      </w:pPr>
      <w:r w:rsidRPr="005727B8">
        <w:rPr>
          <w:sz w:val="22"/>
          <w:szCs w:val="22"/>
        </w:rPr>
        <w:t>Miesto parodų dalyvių skaičius, kuriose pristatyta visuomenės sveikata</w:t>
      </w:r>
    </w:p>
    <w:p w:rsidR="00995BE0" w:rsidRPr="005727B8" w:rsidRDefault="00995BE0" w:rsidP="00063468">
      <w:pPr>
        <w:rPr>
          <w:sz w:val="22"/>
          <w:szCs w:val="22"/>
        </w:rPr>
      </w:pPr>
      <w:r w:rsidRPr="005727B8">
        <w:rPr>
          <w:sz w:val="22"/>
          <w:szCs w:val="22"/>
        </w:rPr>
        <w:t>Regiono parodų dalyvių skaičius, kuriose pristatyta miesto visuomenės sveikata</w:t>
      </w:r>
    </w:p>
    <w:p w:rsidR="00995BE0" w:rsidRPr="005727B8" w:rsidRDefault="00995BE0" w:rsidP="00063468">
      <w:pPr>
        <w:rPr>
          <w:sz w:val="22"/>
          <w:szCs w:val="22"/>
        </w:rPr>
      </w:pPr>
      <w:r w:rsidRPr="005727B8">
        <w:rPr>
          <w:sz w:val="22"/>
          <w:szCs w:val="22"/>
        </w:rPr>
        <w:t>Tarptautinių parodų dalyvių skaičius, kuriose pristatyta miesto visuomenės sveikata</w:t>
      </w:r>
    </w:p>
    <w:p w:rsidR="00995BE0" w:rsidRPr="005727B8" w:rsidRDefault="00995BE0" w:rsidP="00063468">
      <w:pPr>
        <w:rPr>
          <w:sz w:val="22"/>
          <w:szCs w:val="22"/>
        </w:rPr>
      </w:pPr>
      <w:r w:rsidRPr="005727B8">
        <w:rPr>
          <w:sz w:val="22"/>
          <w:szCs w:val="22"/>
        </w:rPr>
        <w:t>Asmenų, dalyvavusių regioniniu lygmeniu Šiaulių mieste suorganizuotose visuomenės sveikatos parodose, skaičius</w:t>
      </w:r>
    </w:p>
    <w:p w:rsidR="00995BE0" w:rsidRPr="005727B8" w:rsidRDefault="00995BE0" w:rsidP="00063468">
      <w:pPr>
        <w:rPr>
          <w:sz w:val="22"/>
          <w:szCs w:val="22"/>
        </w:rPr>
      </w:pPr>
      <w:r w:rsidRPr="005727B8">
        <w:rPr>
          <w:sz w:val="22"/>
          <w:szCs w:val="22"/>
        </w:rPr>
        <w:t>Asmenų, dalyvavusių tarptautiniu lygmeniu Šiaulių mieste suorganizuotose visuomenės sveikatos parodose, skaičius</w:t>
      </w:r>
    </w:p>
    <w:p w:rsidR="00995BE0" w:rsidRPr="005727B8" w:rsidRDefault="00995BE0" w:rsidP="00063468">
      <w:pPr>
        <w:rPr>
          <w:sz w:val="22"/>
          <w:szCs w:val="22"/>
        </w:rPr>
      </w:pPr>
      <w:r w:rsidRPr="005727B8">
        <w:rPr>
          <w:sz w:val="22"/>
          <w:szCs w:val="22"/>
        </w:rPr>
        <w:t>Tarptautinių konferencijų skaičius, kuriose pristatyti Šiaulių miesto visuomenės sveikatos pasiekimai.</w:t>
      </w:r>
    </w:p>
    <w:p w:rsidR="00995BE0" w:rsidRPr="005727B8" w:rsidRDefault="00995BE0" w:rsidP="00063468">
      <w:pPr>
        <w:rPr>
          <w:sz w:val="22"/>
          <w:szCs w:val="22"/>
        </w:rPr>
      </w:pPr>
      <w:r w:rsidRPr="005727B8">
        <w:rPr>
          <w:sz w:val="22"/>
          <w:szCs w:val="22"/>
        </w:rPr>
        <w:t>Regioninių konferencijų skaičius, kuriose pristatyti Šiaulių miesto visuomenės sveikatos pasiekimai.</w:t>
      </w:r>
    </w:p>
    <w:p w:rsidR="00995BE0" w:rsidRPr="005727B8" w:rsidRDefault="00995BE0" w:rsidP="00063468">
      <w:pPr>
        <w:rPr>
          <w:sz w:val="22"/>
          <w:szCs w:val="22"/>
        </w:rPr>
      </w:pPr>
      <w:r w:rsidRPr="005727B8">
        <w:rPr>
          <w:sz w:val="22"/>
          <w:szCs w:val="22"/>
        </w:rPr>
        <w:t>Išplatintų bukletų skaičius</w:t>
      </w:r>
    </w:p>
    <w:p w:rsidR="00995BE0" w:rsidRPr="005727B8" w:rsidRDefault="00995BE0" w:rsidP="00063468">
      <w:pPr>
        <w:rPr>
          <w:sz w:val="22"/>
          <w:szCs w:val="22"/>
        </w:rPr>
      </w:pPr>
      <w:r w:rsidRPr="005727B8">
        <w:rPr>
          <w:sz w:val="22"/>
          <w:szCs w:val="22"/>
        </w:rPr>
        <w:t>Išplatintų skrajučių skaičius</w:t>
      </w:r>
    </w:p>
    <w:p w:rsidR="00995BE0" w:rsidRPr="005727B8" w:rsidRDefault="00995BE0" w:rsidP="00063468">
      <w:pPr>
        <w:rPr>
          <w:sz w:val="22"/>
          <w:szCs w:val="22"/>
        </w:rPr>
      </w:pPr>
      <w:r w:rsidRPr="005727B8">
        <w:rPr>
          <w:sz w:val="22"/>
          <w:szCs w:val="22"/>
        </w:rPr>
        <w:t>Išleistų bukletų įvairovė, skaičius</w:t>
      </w:r>
    </w:p>
    <w:p w:rsidR="00995BE0" w:rsidRPr="005727B8" w:rsidRDefault="00995BE0" w:rsidP="00063468">
      <w:pPr>
        <w:rPr>
          <w:sz w:val="22"/>
          <w:szCs w:val="22"/>
        </w:rPr>
      </w:pPr>
      <w:r w:rsidRPr="005727B8">
        <w:rPr>
          <w:sz w:val="22"/>
          <w:szCs w:val="22"/>
        </w:rPr>
        <w:t>Išleistų skrajučių įvairovė, skaičius</w:t>
      </w:r>
    </w:p>
    <w:p w:rsidR="00995BE0" w:rsidRPr="005727B8" w:rsidRDefault="00995BE0" w:rsidP="00063468">
      <w:pPr>
        <w:rPr>
          <w:sz w:val="22"/>
          <w:szCs w:val="22"/>
        </w:rPr>
      </w:pPr>
      <w:r w:rsidRPr="005727B8">
        <w:rPr>
          <w:sz w:val="22"/>
          <w:szCs w:val="22"/>
        </w:rPr>
        <w:t>Išleistų brošiūrų įvairovė, skaičius</w:t>
      </w:r>
    </w:p>
    <w:p w:rsidR="00995BE0" w:rsidRPr="005727B8" w:rsidRDefault="00995BE0" w:rsidP="00063468">
      <w:pPr>
        <w:rPr>
          <w:sz w:val="22"/>
          <w:szCs w:val="22"/>
        </w:rPr>
      </w:pPr>
      <w:r w:rsidRPr="005727B8">
        <w:rPr>
          <w:sz w:val="22"/>
          <w:szCs w:val="22"/>
        </w:rPr>
        <w:t>Išleistų kalendorių įvairovė, skaičius</w:t>
      </w:r>
    </w:p>
    <w:p w:rsidR="00995BE0" w:rsidRPr="005727B8" w:rsidRDefault="00995BE0" w:rsidP="00063468">
      <w:pPr>
        <w:tabs>
          <w:tab w:val="left" w:pos="9180"/>
        </w:tabs>
        <w:rPr>
          <w:sz w:val="22"/>
          <w:szCs w:val="22"/>
        </w:rPr>
      </w:pPr>
      <w:r w:rsidRPr="005727B8">
        <w:rPr>
          <w:sz w:val="22"/>
          <w:szCs w:val="22"/>
        </w:rPr>
        <w:t>Išleistų aplinkos sveikatinimo leidinių skaičius</w:t>
      </w:r>
    </w:p>
    <w:p w:rsidR="00995BE0" w:rsidRPr="005727B8" w:rsidRDefault="00995BE0" w:rsidP="00063468">
      <w:pPr>
        <w:tabs>
          <w:tab w:val="left" w:pos="9180"/>
        </w:tabs>
        <w:rPr>
          <w:sz w:val="22"/>
          <w:szCs w:val="22"/>
        </w:rPr>
      </w:pPr>
      <w:r w:rsidRPr="005727B8">
        <w:rPr>
          <w:sz w:val="22"/>
          <w:szCs w:val="22"/>
        </w:rPr>
        <w:t>Išleistų vaikų, paauglių ir jaunimo sveikatinimo leidinių skaičius</w:t>
      </w:r>
    </w:p>
    <w:p w:rsidR="00995BE0" w:rsidRPr="005727B8" w:rsidRDefault="00995BE0" w:rsidP="00063468">
      <w:pPr>
        <w:tabs>
          <w:tab w:val="left" w:pos="9180"/>
        </w:tabs>
        <w:rPr>
          <w:sz w:val="22"/>
          <w:szCs w:val="22"/>
        </w:rPr>
      </w:pPr>
      <w:r w:rsidRPr="005727B8">
        <w:rPr>
          <w:sz w:val="22"/>
          <w:szCs w:val="22"/>
        </w:rPr>
        <w:t>Išleistų suaugusiųjų sveikatinimo leidinių skaičius</w:t>
      </w:r>
    </w:p>
    <w:p w:rsidR="00995BE0" w:rsidRPr="005727B8" w:rsidRDefault="00995BE0" w:rsidP="00063468">
      <w:pPr>
        <w:tabs>
          <w:tab w:val="left" w:pos="9180"/>
        </w:tabs>
        <w:rPr>
          <w:sz w:val="22"/>
          <w:szCs w:val="22"/>
        </w:rPr>
      </w:pPr>
      <w:r w:rsidRPr="005727B8">
        <w:rPr>
          <w:sz w:val="22"/>
          <w:szCs w:val="22"/>
        </w:rPr>
        <w:t>Išleistų neužkrečiamų ligų profilaktikos leidinių skaičius</w:t>
      </w:r>
    </w:p>
    <w:p w:rsidR="00995BE0" w:rsidRPr="005727B8" w:rsidRDefault="00995BE0" w:rsidP="00063468">
      <w:pPr>
        <w:tabs>
          <w:tab w:val="left" w:pos="9180"/>
        </w:tabs>
        <w:rPr>
          <w:sz w:val="22"/>
          <w:szCs w:val="22"/>
        </w:rPr>
      </w:pPr>
      <w:r w:rsidRPr="005727B8">
        <w:rPr>
          <w:sz w:val="22"/>
          <w:szCs w:val="22"/>
        </w:rPr>
        <w:t>Išleistų užkrečiamų ligų profilaktikos leidinių skaičius</w:t>
      </w:r>
    </w:p>
    <w:p w:rsidR="00995BE0" w:rsidRPr="005727B8" w:rsidRDefault="00995BE0" w:rsidP="00063468">
      <w:pPr>
        <w:tabs>
          <w:tab w:val="left" w:pos="9180"/>
        </w:tabs>
        <w:rPr>
          <w:sz w:val="22"/>
          <w:szCs w:val="22"/>
        </w:rPr>
      </w:pPr>
      <w:r w:rsidRPr="005727B8">
        <w:rPr>
          <w:sz w:val="22"/>
          <w:szCs w:val="22"/>
        </w:rPr>
        <w:t>Išleistų psichikos sveikatos sutrikimų profilaktikos leidinių skaičius</w:t>
      </w:r>
    </w:p>
    <w:p w:rsidR="00995BE0" w:rsidRPr="005727B8" w:rsidRDefault="00995BE0" w:rsidP="00063468">
      <w:pPr>
        <w:tabs>
          <w:tab w:val="left" w:pos="9180"/>
        </w:tabs>
        <w:rPr>
          <w:sz w:val="22"/>
          <w:szCs w:val="22"/>
        </w:rPr>
      </w:pPr>
      <w:r w:rsidRPr="005727B8">
        <w:rPr>
          <w:sz w:val="22"/>
          <w:szCs w:val="22"/>
        </w:rPr>
        <w:t>Išleistų piktybinių navikų susirgimų profilaktikos leidinių skaičius</w:t>
      </w:r>
    </w:p>
    <w:p w:rsidR="00995BE0" w:rsidRPr="005727B8" w:rsidRDefault="00995BE0" w:rsidP="00063468">
      <w:pPr>
        <w:tabs>
          <w:tab w:val="left" w:pos="9180"/>
        </w:tabs>
        <w:rPr>
          <w:sz w:val="22"/>
          <w:szCs w:val="22"/>
        </w:rPr>
      </w:pPr>
      <w:r w:rsidRPr="005727B8">
        <w:rPr>
          <w:sz w:val="22"/>
          <w:szCs w:val="22"/>
        </w:rPr>
        <w:t>Išleistų AIDS ligų profilaktikos leidinių skaičius</w:t>
      </w:r>
    </w:p>
    <w:p w:rsidR="00995BE0" w:rsidRPr="005727B8" w:rsidRDefault="00995BE0" w:rsidP="00063468">
      <w:pPr>
        <w:tabs>
          <w:tab w:val="left" w:pos="9180"/>
        </w:tabs>
        <w:rPr>
          <w:sz w:val="22"/>
          <w:szCs w:val="22"/>
        </w:rPr>
      </w:pPr>
      <w:r w:rsidRPr="005727B8">
        <w:rPr>
          <w:sz w:val="22"/>
          <w:szCs w:val="22"/>
        </w:rPr>
        <w:t>Išleistų lytiškai plintančių ligų profilaktikos leidinių skaičius</w:t>
      </w:r>
    </w:p>
    <w:p w:rsidR="00995BE0" w:rsidRPr="005727B8" w:rsidRDefault="00995BE0" w:rsidP="00063468">
      <w:pPr>
        <w:rPr>
          <w:sz w:val="22"/>
          <w:szCs w:val="22"/>
        </w:rPr>
      </w:pPr>
      <w:r w:rsidRPr="005727B8">
        <w:rPr>
          <w:sz w:val="22"/>
          <w:szCs w:val="22"/>
        </w:rPr>
        <w:t>Išleistų priklausomybių profilaktikos leidinių skaičius</w:t>
      </w:r>
    </w:p>
    <w:p w:rsidR="00995BE0" w:rsidRPr="005727B8" w:rsidRDefault="00995BE0" w:rsidP="00063468">
      <w:pPr>
        <w:tabs>
          <w:tab w:val="left" w:pos="9180"/>
        </w:tabs>
        <w:rPr>
          <w:sz w:val="22"/>
          <w:szCs w:val="22"/>
        </w:rPr>
      </w:pPr>
      <w:r w:rsidRPr="005727B8">
        <w:rPr>
          <w:sz w:val="22"/>
          <w:szCs w:val="22"/>
        </w:rPr>
        <w:t>Išleistų mokslinių monografijų, kuriose nagrinėjami visuomenės sveikatos klausimai, skaičius</w:t>
      </w:r>
    </w:p>
    <w:p w:rsidR="00995BE0" w:rsidRPr="005727B8" w:rsidRDefault="00995BE0" w:rsidP="00063468">
      <w:pPr>
        <w:tabs>
          <w:tab w:val="left" w:pos="9180"/>
        </w:tabs>
        <w:rPr>
          <w:sz w:val="22"/>
          <w:szCs w:val="22"/>
        </w:rPr>
      </w:pPr>
      <w:r w:rsidRPr="005727B8">
        <w:rPr>
          <w:sz w:val="22"/>
          <w:szCs w:val="22"/>
        </w:rPr>
        <w:t>Išleistų mokslinių straipsnių, kuriose nagrinėjami visuomenės sveikatos klausimai, skaičius</w:t>
      </w:r>
    </w:p>
    <w:p w:rsidR="00995BE0" w:rsidRPr="005727B8" w:rsidRDefault="00995BE0" w:rsidP="00063468">
      <w:pPr>
        <w:rPr>
          <w:sz w:val="22"/>
          <w:szCs w:val="22"/>
        </w:rPr>
      </w:pPr>
      <w:r w:rsidRPr="005727B8">
        <w:rPr>
          <w:sz w:val="22"/>
          <w:szCs w:val="22"/>
        </w:rPr>
        <w:t>Parengtų mokslo projektų ataskaitų, kuriose nagrinėjami visuomenės sveikatos klausimai, skaičius</w:t>
      </w:r>
    </w:p>
    <w:p w:rsidR="00995BE0" w:rsidRPr="005727B8" w:rsidRDefault="00995BE0" w:rsidP="00063468">
      <w:pPr>
        <w:rPr>
          <w:sz w:val="22"/>
          <w:szCs w:val="22"/>
        </w:rPr>
      </w:pPr>
      <w:r w:rsidRPr="005727B8">
        <w:rPr>
          <w:sz w:val="22"/>
          <w:szCs w:val="22"/>
        </w:rPr>
        <w:t>Virtualių pasitarimų skaičius</w:t>
      </w:r>
    </w:p>
    <w:p w:rsidR="00995BE0" w:rsidRPr="005727B8" w:rsidRDefault="00995BE0" w:rsidP="00063468">
      <w:pPr>
        <w:rPr>
          <w:sz w:val="22"/>
          <w:szCs w:val="22"/>
        </w:rPr>
      </w:pPr>
      <w:r w:rsidRPr="005727B8">
        <w:rPr>
          <w:sz w:val="22"/>
          <w:szCs w:val="22"/>
        </w:rPr>
        <w:t>Virtualių pasitarimų dalyvių skaičius</w:t>
      </w:r>
    </w:p>
    <w:p w:rsidR="00995BE0" w:rsidRPr="005727B8" w:rsidRDefault="00995BE0" w:rsidP="00063468">
      <w:pPr>
        <w:rPr>
          <w:sz w:val="22"/>
          <w:szCs w:val="22"/>
        </w:rPr>
      </w:pPr>
      <w:r w:rsidRPr="005727B8">
        <w:rPr>
          <w:sz w:val="22"/>
          <w:szCs w:val="22"/>
        </w:rPr>
        <w:t>Virtualių seminarų skaičius</w:t>
      </w:r>
    </w:p>
    <w:p w:rsidR="00995BE0" w:rsidRPr="005727B8" w:rsidRDefault="00995BE0" w:rsidP="00063468">
      <w:pPr>
        <w:rPr>
          <w:sz w:val="22"/>
          <w:szCs w:val="22"/>
        </w:rPr>
      </w:pPr>
      <w:r w:rsidRPr="005727B8">
        <w:rPr>
          <w:sz w:val="22"/>
          <w:szCs w:val="22"/>
        </w:rPr>
        <w:t>Virtualių seminarų dalyvių skaičius</w:t>
      </w:r>
    </w:p>
    <w:p w:rsidR="00995BE0" w:rsidRPr="005727B8" w:rsidRDefault="00995BE0" w:rsidP="00063468">
      <w:pPr>
        <w:rPr>
          <w:sz w:val="22"/>
          <w:szCs w:val="22"/>
        </w:rPr>
      </w:pPr>
      <w:r w:rsidRPr="005727B8">
        <w:rPr>
          <w:sz w:val="22"/>
          <w:szCs w:val="22"/>
        </w:rPr>
        <w:t>Virtualių konferencijų skaičius</w:t>
      </w:r>
    </w:p>
    <w:p w:rsidR="00995BE0" w:rsidRPr="005727B8" w:rsidRDefault="00995BE0" w:rsidP="00063468">
      <w:pPr>
        <w:rPr>
          <w:sz w:val="22"/>
          <w:szCs w:val="22"/>
        </w:rPr>
      </w:pPr>
      <w:r w:rsidRPr="005727B8">
        <w:rPr>
          <w:sz w:val="22"/>
          <w:szCs w:val="22"/>
        </w:rPr>
        <w:t>Virtualių konferencijų dalyvių skaičius</w:t>
      </w:r>
    </w:p>
    <w:p w:rsidR="00995BE0" w:rsidRPr="005727B8" w:rsidRDefault="00995BE0" w:rsidP="00063468">
      <w:pPr>
        <w:rPr>
          <w:sz w:val="22"/>
          <w:szCs w:val="22"/>
        </w:rPr>
      </w:pPr>
      <w:r w:rsidRPr="005727B8">
        <w:rPr>
          <w:sz w:val="22"/>
          <w:szCs w:val="22"/>
        </w:rPr>
        <w:t>Patvirtintų atrankos kriterijų skaičius</w:t>
      </w:r>
    </w:p>
    <w:p w:rsidR="00995BE0" w:rsidRPr="005727B8" w:rsidRDefault="00995BE0" w:rsidP="00063468">
      <w:pPr>
        <w:rPr>
          <w:sz w:val="22"/>
          <w:szCs w:val="22"/>
        </w:rPr>
      </w:pPr>
      <w:r w:rsidRPr="005727B8">
        <w:rPr>
          <w:sz w:val="22"/>
          <w:szCs w:val="22"/>
        </w:rPr>
        <w:t>Atrankos kriterijų grupių skaičius</w:t>
      </w:r>
    </w:p>
    <w:p w:rsidR="00995BE0" w:rsidRPr="005727B8" w:rsidRDefault="00995BE0" w:rsidP="00063468">
      <w:pPr>
        <w:rPr>
          <w:sz w:val="22"/>
          <w:szCs w:val="22"/>
        </w:rPr>
      </w:pPr>
      <w:r w:rsidRPr="005727B8">
        <w:rPr>
          <w:sz w:val="22"/>
          <w:szCs w:val="22"/>
        </w:rPr>
        <w:t>Patvirtintų komunikacijos formų tarp tinklo dalyvių skaičius</w:t>
      </w:r>
    </w:p>
    <w:p w:rsidR="00995BE0" w:rsidRPr="005727B8" w:rsidRDefault="00995BE0" w:rsidP="00063468">
      <w:pPr>
        <w:rPr>
          <w:sz w:val="22"/>
          <w:szCs w:val="22"/>
        </w:rPr>
      </w:pPr>
      <w:r w:rsidRPr="005727B8">
        <w:rPr>
          <w:sz w:val="22"/>
          <w:szCs w:val="22"/>
        </w:rPr>
        <w:t>Komunikacijos grupių skaičius</w:t>
      </w:r>
    </w:p>
    <w:p w:rsidR="00995BE0" w:rsidRPr="005727B8" w:rsidRDefault="00995BE0" w:rsidP="00063468">
      <w:pPr>
        <w:rPr>
          <w:sz w:val="22"/>
          <w:szCs w:val="22"/>
        </w:rPr>
      </w:pPr>
      <w:r w:rsidRPr="005727B8">
        <w:rPr>
          <w:sz w:val="22"/>
          <w:szCs w:val="22"/>
        </w:rPr>
        <w:t>Tinklo dalyvių pareigybių sąrašų skaičius</w:t>
      </w:r>
    </w:p>
    <w:p w:rsidR="00995BE0" w:rsidRPr="005727B8" w:rsidRDefault="00995BE0" w:rsidP="00063468">
      <w:pPr>
        <w:rPr>
          <w:sz w:val="22"/>
          <w:szCs w:val="22"/>
        </w:rPr>
      </w:pPr>
      <w:r w:rsidRPr="005727B8">
        <w:rPr>
          <w:sz w:val="22"/>
          <w:szCs w:val="22"/>
        </w:rPr>
        <w:t>Tinklo dalyvių darbo grupių skaičius</w:t>
      </w:r>
    </w:p>
    <w:p w:rsidR="00995BE0" w:rsidRPr="005727B8" w:rsidRDefault="00995BE0" w:rsidP="00063468">
      <w:pPr>
        <w:rPr>
          <w:sz w:val="22"/>
          <w:szCs w:val="22"/>
        </w:rPr>
      </w:pPr>
      <w:r w:rsidRPr="005727B8">
        <w:rPr>
          <w:sz w:val="22"/>
          <w:szCs w:val="22"/>
        </w:rPr>
        <w:t>Tinklo dalyvių grupių formavimo instrukcijų skaičius</w:t>
      </w:r>
    </w:p>
    <w:p w:rsidR="00995BE0" w:rsidRPr="005727B8" w:rsidRDefault="00995BE0" w:rsidP="00063468">
      <w:pPr>
        <w:rPr>
          <w:sz w:val="22"/>
          <w:szCs w:val="22"/>
        </w:rPr>
      </w:pPr>
      <w:r w:rsidRPr="005727B8">
        <w:rPr>
          <w:sz w:val="22"/>
          <w:szCs w:val="22"/>
        </w:rPr>
        <w:t>Tinklo dalyvių grupių patvirtintų veiklos modelių skaičius</w:t>
      </w:r>
    </w:p>
    <w:p w:rsidR="00995BE0" w:rsidRPr="005727B8" w:rsidRDefault="00995BE0" w:rsidP="00063468">
      <w:pPr>
        <w:rPr>
          <w:sz w:val="22"/>
          <w:szCs w:val="22"/>
        </w:rPr>
      </w:pPr>
      <w:r w:rsidRPr="005727B8">
        <w:rPr>
          <w:sz w:val="22"/>
          <w:szCs w:val="22"/>
        </w:rPr>
        <w:t>Į savivaldybės tarybos darbotvarkę įtrauktų visuomenės sveikatos klausimų skaičius</w:t>
      </w:r>
    </w:p>
    <w:p w:rsidR="00995BE0" w:rsidRPr="005727B8" w:rsidRDefault="00995BE0" w:rsidP="00063468">
      <w:pPr>
        <w:rPr>
          <w:sz w:val="22"/>
          <w:szCs w:val="22"/>
        </w:rPr>
      </w:pPr>
      <w:r w:rsidRPr="005727B8">
        <w:rPr>
          <w:sz w:val="22"/>
          <w:szCs w:val="22"/>
        </w:rPr>
        <w:lastRenderedPageBreak/>
        <w:t>Savivaldybės tarybos sveikatos komitetui pateiktų svarstyti sveikatos klausimų skaičius</w:t>
      </w:r>
    </w:p>
    <w:p w:rsidR="00995BE0" w:rsidRPr="005727B8" w:rsidRDefault="00995BE0" w:rsidP="00063468">
      <w:pPr>
        <w:rPr>
          <w:sz w:val="22"/>
          <w:szCs w:val="22"/>
        </w:rPr>
      </w:pPr>
      <w:r w:rsidRPr="005727B8">
        <w:rPr>
          <w:sz w:val="22"/>
          <w:szCs w:val="22"/>
        </w:rPr>
        <w:t>Savivaldybės tarybos posėdžių skaičius, kuriuose nagrinėti visuomenės sveikatos klausimai</w:t>
      </w:r>
    </w:p>
    <w:p w:rsidR="00995BE0" w:rsidRPr="005727B8" w:rsidRDefault="00995BE0" w:rsidP="00063468">
      <w:pPr>
        <w:rPr>
          <w:sz w:val="22"/>
          <w:szCs w:val="22"/>
        </w:rPr>
      </w:pPr>
      <w:r w:rsidRPr="005727B8">
        <w:rPr>
          <w:sz w:val="22"/>
          <w:szCs w:val="22"/>
        </w:rPr>
        <w:t>Savivaldybės tarybos posėdžių metu svarstytų visuomenės sveikatos klausimų skaičius</w:t>
      </w:r>
    </w:p>
    <w:p w:rsidR="00995BE0" w:rsidRPr="005727B8" w:rsidRDefault="00995BE0" w:rsidP="00063468">
      <w:pPr>
        <w:rPr>
          <w:sz w:val="22"/>
          <w:szCs w:val="22"/>
        </w:rPr>
      </w:pPr>
      <w:r w:rsidRPr="005727B8">
        <w:rPr>
          <w:sz w:val="22"/>
          <w:szCs w:val="22"/>
        </w:rPr>
        <w:t>Savivaldybės taryboje priimtų nutarimų visuomenės sveikatos klausimais skaičius</w:t>
      </w:r>
    </w:p>
    <w:p w:rsidR="00995BE0" w:rsidRPr="005727B8" w:rsidRDefault="00995BE0" w:rsidP="00063468">
      <w:pPr>
        <w:rPr>
          <w:sz w:val="22"/>
          <w:szCs w:val="22"/>
        </w:rPr>
      </w:pPr>
      <w:r w:rsidRPr="005727B8">
        <w:rPr>
          <w:sz w:val="22"/>
          <w:szCs w:val="22"/>
        </w:rPr>
        <w:t>Visuomenės sveikatos tarybos posėdžių skaičius</w:t>
      </w:r>
    </w:p>
    <w:p w:rsidR="00995BE0" w:rsidRPr="005727B8" w:rsidRDefault="00995BE0" w:rsidP="00063468">
      <w:pPr>
        <w:rPr>
          <w:sz w:val="22"/>
          <w:szCs w:val="22"/>
        </w:rPr>
      </w:pPr>
      <w:r w:rsidRPr="005727B8">
        <w:rPr>
          <w:sz w:val="22"/>
          <w:szCs w:val="22"/>
        </w:rPr>
        <w:t>Visuomenės sveikatos tarybos posėdžių metu svarstytų visuomenės sveikatos klausimų skaičius</w:t>
      </w:r>
    </w:p>
    <w:p w:rsidR="00995BE0" w:rsidRPr="005727B8" w:rsidRDefault="00995BE0" w:rsidP="00063468">
      <w:pPr>
        <w:rPr>
          <w:sz w:val="22"/>
          <w:szCs w:val="22"/>
        </w:rPr>
      </w:pPr>
      <w:r w:rsidRPr="005727B8">
        <w:rPr>
          <w:sz w:val="22"/>
          <w:szCs w:val="22"/>
        </w:rPr>
        <w:t>Visuomenės sveikatos taryboje priimtų nutarimų visuomenės sveikatos klausimais skaičius</w:t>
      </w:r>
    </w:p>
    <w:p w:rsidR="00995BE0" w:rsidRPr="005727B8" w:rsidRDefault="00995BE0" w:rsidP="00063468">
      <w:pPr>
        <w:rPr>
          <w:b/>
          <w:sz w:val="22"/>
          <w:szCs w:val="22"/>
        </w:rPr>
      </w:pPr>
      <w:r w:rsidRPr="005727B8">
        <w:rPr>
          <w:sz w:val="22"/>
          <w:szCs w:val="22"/>
        </w:rPr>
        <w:t>Parengtų ir atspausdintų pranešimų apie svarstomus nutarimus visuomenės sveikatos klausimais respublikinėje, regioninėje, miesto ir žinybinėje spaudoje skaičius</w:t>
      </w:r>
      <w:r w:rsidRPr="005727B8">
        <w:rPr>
          <w:b/>
          <w:sz w:val="22"/>
          <w:szCs w:val="22"/>
        </w:rPr>
        <w:t xml:space="preserve"> </w:t>
      </w:r>
    </w:p>
    <w:p w:rsidR="00995BE0" w:rsidRPr="005727B8" w:rsidRDefault="00995BE0" w:rsidP="00063468">
      <w:pPr>
        <w:rPr>
          <w:sz w:val="22"/>
          <w:szCs w:val="22"/>
        </w:rPr>
      </w:pPr>
      <w:r w:rsidRPr="005727B8">
        <w:rPr>
          <w:sz w:val="22"/>
          <w:szCs w:val="22"/>
        </w:rPr>
        <w:t>Parengtų ir atspausdintų pranešimų apie priimtus nutarimus visuomenės sveikatos klausimais respublikinėje, regioninėje, miesto ir žinybinėje spaudoje skaičius</w:t>
      </w:r>
    </w:p>
    <w:p w:rsidR="00995BE0" w:rsidRPr="005727B8" w:rsidRDefault="00995BE0" w:rsidP="00063468">
      <w:pPr>
        <w:rPr>
          <w:b/>
          <w:sz w:val="22"/>
          <w:szCs w:val="22"/>
        </w:rPr>
      </w:pPr>
      <w:r w:rsidRPr="005727B8">
        <w:rPr>
          <w:sz w:val="22"/>
          <w:szCs w:val="22"/>
        </w:rPr>
        <w:t>Išplatintų pranešimų apie svarstomus nutarimus visuomenės sveikatos klausimais, pateiktus visuomenės sveikatai skirtų renginių metu, skaičius</w:t>
      </w:r>
    </w:p>
    <w:p w:rsidR="00995BE0" w:rsidRPr="005727B8" w:rsidRDefault="00995BE0" w:rsidP="00063468">
      <w:pPr>
        <w:rPr>
          <w:sz w:val="22"/>
          <w:szCs w:val="22"/>
        </w:rPr>
      </w:pPr>
      <w:r w:rsidRPr="005727B8">
        <w:rPr>
          <w:sz w:val="22"/>
          <w:szCs w:val="22"/>
        </w:rPr>
        <w:t>Išplatintų pranešimų apie priimtus nutarimus visuomenės sveikatos klausimais, pateiktus visuomenės sveikatai skirtų renginių metu, skaičius</w:t>
      </w:r>
    </w:p>
    <w:p w:rsidR="00995BE0" w:rsidRPr="005727B8" w:rsidRDefault="00995BE0" w:rsidP="00063468">
      <w:pPr>
        <w:rPr>
          <w:sz w:val="22"/>
          <w:szCs w:val="22"/>
        </w:rPr>
      </w:pPr>
      <w:r w:rsidRPr="005727B8">
        <w:rPr>
          <w:sz w:val="22"/>
          <w:szCs w:val="22"/>
        </w:rPr>
        <w:t>Išplatintų pranešimų apie priimtus nutarimus visuomenės sveikatos klausimais, pateiktus visuomenės sveikatai skirtų renginių metu, skaičius</w:t>
      </w:r>
    </w:p>
    <w:p w:rsidR="00995BE0" w:rsidRPr="005727B8" w:rsidRDefault="00995BE0" w:rsidP="00063468">
      <w:pPr>
        <w:rPr>
          <w:b/>
          <w:sz w:val="22"/>
          <w:szCs w:val="22"/>
        </w:rPr>
      </w:pPr>
      <w:r w:rsidRPr="005727B8">
        <w:rPr>
          <w:sz w:val="22"/>
          <w:szCs w:val="22"/>
        </w:rPr>
        <w:t>Parengtų pranešimų apie svarstomus nutarimus visuomenės sveikatos klausimais, pateiktų televizijos laidų metu, skaičius</w:t>
      </w:r>
    </w:p>
    <w:p w:rsidR="00995BE0" w:rsidRPr="005727B8" w:rsidRDefault="00995BE0" w:rsidP="00063468">
      <w:pPr>
        <w:rPr>
          <w:sz w:val="22"/>
          <w:szCs w:val="22"/>
        </w:rPr>
      </w:pPr>
      <w:r w:rsidRPr="005727B8">
        <w:rPr>
          <w:sz w:val="22"/>
          <w:szCs w:val="22"/>
        </w:rPr>
        <w:t>Parengtų televizijos laidų, skirtų supažindinti visuomenę su svarbiais visuomenės sveikatos politikos klausimais, skaičius</w:t>
      </w:r>
    </w:p>
    <w:p w:rsidR="00995BE0" w:rsidRPr="005727B8" w:rsidRDefault="00995BE0" w:rsidP="00063468">
      <w:pPr>
        <w:rPr>
          <w:sz w:val="22"/>
          <w:szCs w:val="22"/>
        </w:rPr>
      </w:pPr>
      <w:r w:rsidRPr="005727B8">
        <w:rPr>
          <w:sz w:val="22"/>
          <w:szCs w:val="22"/>
        </w:rPr>
        <w:t>Parengtų pranešimų apie priimtus nutarimus visuomenės sveikatos klausimais, pateiktų televizijos laidų metu, skaičius</w:t>
      </w:r>
    </w:p>
    <w:p w:rsidR="00995BE0" w:rsidRPr="005727B8" w:rsidRDefault="00995BE0" w:rsidP="00063468">
      <w:pPr>
        <w:rPr>
          <w:b/>
          <w:sz w:val="22"/>
          <w:szCs w:val="22"/>
        </w:rPr>
      </w:pPr>
      <w:r w:rsidRPr="005727B8">
        <w:rPr>
          <w:sz w:val="22"/>
          <w:szCs w:val="22"/>
        </w:rPr>
        <w:t>Parengtų pranešimų apie svarstomus nutarimus visuomenės sveikatos klausimais, pateiktų radijo laidų metu, skaičius</w:t>
      </w:r>
    </w:p>
    <w:p w:rsidR="00995BE0" w:rsidRPr="005727B8" w:rsidRDefault="00995BE0" w:rsidP="00063468">
      <w:pPr>
        <w:rPr>
          <w:b/>
          <w:sz w:val="22"/>
          <w:szCs w:val="22"/>
        </w:rPr>
      </w:pPr>
      <w:r w:rsidRPr="005727B8">
        <w:rPr>
          <w:sz w:val="22"/>
          <w:szCs w:val="22"/>
        </w:rPr>
        <w:t>Parengtų radijo laidų, skirtų supažindinti visuomenę su svarbiais visuomenės sveikatos politikos klausimais, skaičius</w:t>
      </w:r>
    </w:p>
    <w:p w:rsidR="00995BE0" w:rsidRPr="005727B8" w:rsidRDefault="00995BE0" w:rsidP="00063468">
      <w:pPr>
        <w:rPr>
          <w:sz w:val="22"/>
          <w:szCs w:val="22"/>
        </w:rPr>
      </w:pPr>
      <w:r w:rsidRPr="005727B8">
        <w:rPr>
          <w:sz w:val="22"/>
          <w:szCs w:val="22"/>
        </w:rPr>
        <w:t>Radijo blog‘ų skaičius apie Šiaulių miesto visuomenės sveikatos politiką respublikiniame, regioniniame, miesto ir žinybiniame radijuje</w:t>
      </w:r>
    </w:p>
    <w:p w:rsidR="00995BE0" w:rsidRPr="005727B8" w:rsidRDefault="00995BE0" w:rsidP="00063468">
      <w:pPr>
        <w:rPr>
          <w:sz w:val="22"/>
          <w:szCs w:val="22"/>
        </w:rPr>
      </w:pPr>
      <w:r w:rsidRPr="005727B8">
        <w:rPr>
          <w:sz w:val="22"/>
          <w:szCs w:val="22"/>
        </w:rPr>
        <w:t>Parengtų pranešimų apie priimtus nutarimus visuomenės sveikatos klausimais, pateiktų radijo laidų metu, skaičius</w:t>
      </w:r>
    </w:p>
    <w:p w:rsidR="00995BE0" w:rsidRPr="005727B8" w:rsidRDefault="00995BE0" w:rsidP="00063468">
      <w:pPr>
        <w:rPr>
          <w:b/>
          <w:sz w:val="22"/>
          <w:szCs w:val="22"/>
        </w:rPr>
      </w:pPr>
      <w:r w:rsidRPr="005727B8">
        <w:rPr>
          <w:sz w:val="22"/>
          <w:szCs w:val="22"/>
        </w:rPr>
        <w:t>Parengtų pranešimų apie svarstomus nutarimus visuomenės sveikatos klausimais, pateiktų internetiniame tinklapyje, skaičius</w:t>
      </w:r>
    </w:p>
    <w:p w:rsidR="00995BE0" w:rsidRPr="005727B8" w:rsidRDefault="00995BE0" w:rsidP="00063468">
      <w:pPr>
        <w:rPr>
          <w:b/>
          <w:sz w:val="22"/>
          <w:szCs w:val="22"/>
        </w:rPr>
      </w:pPr>
      <w:r w:rsidRPr="005727B8">
        <w:rPr>
          <w:sz w:val="22"/>
          <w:szCs w:val="22"/>
        </w:rPr>
        <w:t>Parengtų internetinių straipsnių, skirtų supažindinti visuomenę su svarbiais visuomenės sveikatos politikos klausimais, skaičius</w:t>
      </w:r>
    </w:p>
    <w:p w:rsidR="00995BE0" w:rsidRPr="005727B8" w:rsidRDefault="00995BE0" w:rsidP="00063468">
      <w:pPr>
        <w:rPr>
          <w:sz w:val="22"/>
          <w:szCs w:val="22"/>
        </w:rPr>
      </w:pPr>
      <w:r w:rsidRPr="005727B8">
        <w:rPr>
          <w:sz w:val="22"/>
          <w:szCs w:val="22"/>
        </w:rPr>
        <w:t>Parengtų pranešimų apie priimtus nutarimus visuomenės sveikatos klausimais, pateiktų internetiniame tinklapyje, skaičius</w:t>
      </w:r>
    </w:p>
    <w:p w:rsidR="00995BE0" w:rsidRPr="005727B8" w:rsidRDefault="00995BE0" w:rsidP="00063468">
      <w:pPr>
        <w:rPr>
          <w:b/>
          <w:sz w:val="22"/>
          <w:szCs w:val="22"/>
        </w:rPr>
      </w:pPr>
      <w:r w:rsidRPr="005727B8">
        <w:rPr>
          <w:sz w:val="22"/>
          <w:szCs w:val="22"/>
        </w:rPr>
        <w:t>Suteikta finansinė parama, Lt.</w:t>
      </w:r>
    </w:p>
    <w:p w:rsidR="00995BE0" w:rsidRPr="005727B8" w:rsidRDefault="00995BE0" w:rsidP="00063468">
      <w:pPr>
        <w:rPr>
          <w:sz w:val="22"/>
          <w:szCs w:val="22"/>
        </w:rPr>
      </w:pPr>
      <w:r w:rsidRPr="005727B8">
        <w:rPr>
          <w:sz w:val="22"/>
          <w:szCs w:val="22"/>
        </w:rPr>
        <w:t>Finansiškai paremtų bendruomeninių sveikos gyvensenos iniciatyvų skaičius</w:t>
      </w:r>
    </w:p>
    <w:p w:rsidR="00995BE0" w:rsidRPr="005727B8" w:rsidRDefault="00995BE0" w:rsidP="00063468">
      <w:pPr>
        <w:rPr>
          <w:b/>
          <w:sz w:val="22"/>
          <w:szCs w:val="22"/>
        </w:rPr>
      </w:pPr>
      <w:r w:rsidRPr="005727B8">
        <w:rPr>
          <w:sz w:val="22"/>
          <w:szCs w:val="22"/>
        </w:rPr>
        <w:t>Suteikta materialinė parama, Lt.</w:t>
      </w:r>
    </w:p>
    <w:p w:rsidR="00995BE0" w:rsidRPr="005727B8" w:rsidRDefault="00995BE0" w:rsidP="00063468">
      <w:pPr>
        <w:rPr>
          <w:b/>
          <w:sz w:val="22"/>
          <w:szCs w:val="22"/>
        </w:rPr>
      </w:pPr>
      <w:r w:rsidRPr="005727B8">
        <w:rPr>
          <w:sz w:val="22"/>
          <w:szCs w:val="22"/>
        </w:rPr>
        <w:t>Materialiai paremtų bendruomeninių sveikos gyvensenos iniciatyvų skaičius</w:t>
      </w:r>
    </w:p>
    <w:p w:rsidR="00995BE0" w:rsidRPr="005727B8" w:rsidRDefault="00995BE0" w:rsidP="00063468">
      <w:pPr>
        <w:rPr>
          <w:b/>
          <w:sz w:val="22"/>
          <w:szCs w:val="22"/>
        </w:rPr>
      </w:pPr>
      <w:r w:rsidRPr="005727B8">
        <w:rPr>
          <w:sz w:val="22"/>
          <w:szCs w:val="22"/>
        </w:rPr>
        <w:t>Bendruomeninių sveikos gyvensenos iniciatyvų, kurioms suteikta metodinė pagalba, skaičius</w:t>
      </w:r>
    </w:p>
    <w:p w:rsidR="00995BE0" w:rsidRPr="005727B8" w:rsidRDefault="00995BE0" w:rsidP="00063468">
      <w:pPr>
        <w:rPr>
          <w:sz w:val="22"/>
          <w:szCs w:val="22"/>
        </w:rPr>
      </w:pPr>
      <w:r w:rsidRPr="005727B8">
        <w:rPr>
          <w:sz w:val="22"/>
          <w:szCs w:val="22"/>
        </w:rPr>
        <w:t>Paviešintų sveikos gyvensenos iniciatyvų skaičius</w:t>
      </w:r>
    </w:p>
    <w:p w:rsidR="00995BE0" w:rsidRPr="005727B8" w:rsidRDefault="00995BE0" w:rsidP="00063468">
      <w:pPr>
        <w:rPr>
          <w:b/>
          <w:sz w:val="22"/>
          <w:szCs w:val="22"/>
        </w:rPr>
      </w:pPr>
      <w:r w:rsidRPr="005727B8">
        <w:rPr>
          <w:sz w:val="22"/>
          <w:szCs w:val="22"/>
        </w:rPr>
        <w:t>Privalomo higienos mokymo užsiėmimų skaičius</w:t>
      </w:r>
    </w:p>
    <w:p w:rsidR="00995BE0" w:rsidRPr="005727B8" w:rsidRDefault="00995BE0" w:rsidP="00063468">
      <w:pPr>
        <w:rPr>
          <w:sz w:val="22"/>
          <w:szCs w:val="22"/>
        </w:rPr>
      </w:pPr>
      <w:r w:rsidRPr="005727B8">
        <w:rPr>
          <w:sz w:val="22"/>
          <w:szCs w:val="22"/>
        </w:rPr>
        <w:t>Privalomuoju higienos mokymu apmokytų asmenų skaičius</w:t>
      </w:r>
    </w:p>
    <w:p w:rsidR="00995BE0" w:rsidRPr="005727B8" w:rsidRDefault="00995BE0" w:rsidP="00063468">
      <w:pPr>
        <w:rPr>
          <w:b/>
          <w:sz w:val="22"/>
          <w:szCs w:val="22"/>
        </w:rPr>
      </w:pPr>
      <w:r w:rsidRPr="005727B8">
        <w:rPr>
          <w:sz w:val="22"/>
          <w:szCs w:val="22"/>
        </w:rPr>
        <w:t>Privalomo pirmos pagalbos mokymo užsiėmimų skaičius</w:t>
      </w:r>
    </w:p>
    <w:p w:rsidR="00995BE0" w:rsidRPr="005727B8" w:rsidRDefault="00995BE0" w:rsidP="00063468">
      <w:pPr>
        <w:rPr>
          <w:sz w:val="22"/>
          <w:szCs w:val="22"/>
        </w:rPr>
      </w:pPr>
      <w:r w:rsidRPr="005727B8">
        <w:rPr>
          <w:sz w:val="22"/>
          <w:szCs w:val="22"/>
        </w:rPr>
        <w:t>Privalomuoju pirmos pagalbos mokymu apmokytų asmenų skaičius</w:t>
      </w:r>
    </w:p>
    <w:p w:rsidR="00995BE0" w:rsidRPr="005727B8" w:rsidRDefault="00995BE0" w:rsidP="00063468">
      <w:pPr>
        <w:rPr>
          <w:b/>
          <w:sz w:val="22"/>
          <w:szCs w:val="22"/>
        </w:rPr>
      </w:pPr>
      <w:r w:rsidRPr="005727B8">
        <w:rPr>
          <w:sz w:val="22"/>
          <w:szCs w:val="22"/>
        </w:rPr>
        <w:t>Pravestų mokymų apie alkoholio žalą žmogaus sveikatai skaičius</w:t>
      </w:r>
    </w:p>
    <w:p w:rsidR="00995BE0" w:rsidRPr="005727B8" w:rsidRDefault="00995BE0" w:rsidP="00063468">
      <w:pPr>
        <w:rPr>
          <w:b/>
          <w:sz w:val="22"/>
          <w:szCs w:val="22"/>
        </w:rPr>
      </w:pPr>
      <w:r w:rsidRPr="005727B8">
        <w:rPr>
          <w:sz w:val="22"/>
          <w:szCs w:val="22"/>
        </w:rPr>
        <w:t>Pravestų mokymų apie narkotikų žalą žmogaus sveikatai skaičius</w:t>
      </w:r>
    </w:p>
    <w:p w:rsidR="00995BE0" w:rsidRPr="005727B8" w:rsidRDefault="00995BE0" w:rsidP="00063468">
      <w:pPr>
        <w:rPr>
          <w:b/>
          <w:sz w:val="22"/>
          <w:szCs w:val="22"/>
        </w:rPr>
      </w:pPr>
      <w:r w:rsidRPr="005727B8">
        <w:rPr>
          <w:sz w:val="22"/>
          <w:szCs w:val="22"/>
        </w:rPr>
        <w:t>Pravestų mokymų apie alkoholio žalą žmogaus sveikatai metu apmokytų asmenų skaičius</w:t>
      </w:r>
    </w:p>
    <w:p w:rsidR="00995BE0" w:rsidRPr="005727B8" w:rsidRDefault="00995BE0" w:rsidP="00063468">
      <w:pPr>
        <w:rPr>
          <w:sz w:val="22"/>
          <w:szCs w:val="22"/>
        </w:rPr>
      </w:pPr>
      <w:r w:rsidRPr="005727B8">
        <w:rPr>
          <w:sz w:val="22"/>
          <w:szCs w:val="22"/>
        </w:rPr>
        <w:t>Pravestų mokymų apie narkotikų žalą žmogaus sveikatai metu apmokytų asmenų skaičius</w:t>
      </w:r>
    </w:p>
    <w:p w:rsidR="00995BE0" w:rsidRPr="005727B8" w:rsidRDefault="00995BE0" w:rsidP="00063468">
      <w:pPr>
        <w:rPr>
          <w:b/>
          <w:sz w:val="22"/>
          <w:szCs w:val="22"/>
          <w:vertAlign w:val="subscript"/>
        </w:rPr>
      </w:pPr>
      <w:r w:rsidRPr="005727B8">
        <w:rPr>
          <w:sz w:val="22"/>
          <w:szCs w:val="22"/>
        </w:rPr>
        <w:t>Asmens sveikatos priežiūros sistemoje atliktų profilaktikos mokymų skaičius</w:t>
      </w:r>
    </w:p>
    <w:p w:rsidR="00995BE0" w:rsidRPr="005727B8" w:rsidRDefault="00995BE0" w:rsidP="00063468">
      <w:pPr>
        <w:rPr>
          <w:sz w:val="22"/>
          <w:szCs w:val="22"/>
        </w:rPr>
      </w:pPr>
      <w:r w:rsidRPr="005727B8">
        <w:rPr>
          <w:sz w:val="22"/>
          <w:szCs w:val="22"/>
        </w:rPr>
        <w:t>Asmens sveikatos priežiūros sistemoje atliktų profilaktikos mokymų metu apmokytų asmenų skaičius</w:t>
      </w:r>
    </w:p>
    <w:p w:rsidR="00995BE0" w:rsidRPr="005727B8" w:rsidRDefault="00995BE0" w:rsidP="00063468">
      <w:pPr>
        <w:rPr>
          <w:sz w:val="22"/>
          <w:szCs w:val="22"/>
        </w:rPr>
      </w:pPr>
      <w:r w:rsidRPr="005727B8">
        <w:rPr>
          <w:sz w:val="22"/>
          <w:szCs w:val="22"/>
        </w:rPr>
        <w:t>Visuomenės sveikatos priežiūros sistemoje atliktų profilaktikos mokymų skaičius</w:t>
      </w:r>
    </w:p>
    <w:p w:rsidR="00995BE0" w:rsidRPr="005727B8" w:rsidRDefault="00995BE0" w:rsidP="00063468">
      <w:pPr>
        <w:rPr>
          <w:sz w:val="22"/>
          <w:szCs w:val="22"/>
        </w:rPr>
      </w:pPr>
      <w:r w:rsidRPr="005727B8">
        <w:rPr>
          <w:sz w:val="22"/>
          <w:szCs w:val="22"/>
        </w:rPr>
        <w:t>Visuomenės sveikatos priežiūros sistemoje atliktų profilaktikos mokymų metu apmokytų asmenų skaičius</w:t>
      </w:r>
    </w:p>
    <w:p w:rsidR="00995BE0" w:rsidRPr="005727B8" w:rsidRDefault="00995BE0" w:rsidP="00063468">
      <w:pPr>
        <w:rPr>
          <w:b/>
          <w:sz w:val="22"/>
          <w:szCs w:val="22"/>
          <w:vertAlign w:val="subscript"/>
        </w:rPr>
      </w:pPr>
      <w:r w:rsidRPr="005727B8">
        <w:rPr>
          <w:sz w:val="22"/>
          <w:szCs w:val="22"/>
        </w:rPr>
        <w:t>Ugdymo sistemoje atliktų profilaktikos mokymų skaičius</w:t>
      </w:r>
    </w:p>
    <w:p w:rsidR="00995BE0" w:rsidRPr="005727B8" w:rsidRDefault="00995BE0" w:rsidP="00063468">
      <w:pPr>
        <w:rPr>
          <w:sz w:val="22"/>
          <w:szCs w:val="22"/>
        </w:rPr>
      </w:pPr>
      <w:r w:rsidRPr="005727B8">
        <w:rPr>
          <w:sz w:val="22"/>
          <w:szCs w:val="22"/>
        </w:rPr>
        <w:t>Ugdymo sistemoje atliktų profilaktikos mokymų metu apmokytų asmenų skaičius</w:t>
      </w:r>
    </w:p>
    <w:p w:rsidR="00995BE0" w:rsidRPr="005727B8" w:rsidRDefault="00995BE0" w:rsidP="00063468">
      <w:pPr>
        <w:rPr>
          <w:b/>
          <w:sz w:val="22"/>
          <w:szCs w:val="22"/>
          <w:vertAlign w:val="subscript"/>
        </w:rPr>
      </w:pPr>
      <w:r w:rsidRPr="005727B8">
        <w:rPr>
          <w:sz w:val="22"/>
          <w:szCs w:val="22"/>
        </w:rPr>
        <w:lastRenderedPageBreak/>
        <w:t>NVO sistemoje atliktų profilaktikos mokymų skaičius</w:t>
      </w:r>
    </w:p>
    <w:p w:rsidR="00995BE0" w:rsidRPr="005727B8" w:rsidRDefault="00995BE0" w:rsidP="00063468">
      <w:pPr>
        <w:rPr>
          <w:sz w:val="22"/>
          <w:szCs w:val="22"/>
        </w:rPr>
      </w:pPr>
      <w:r w:rsidRPr="005727B8">
        <w:rPr>
          <w:sz w:val="22"/>
          <w:szCs w:val="22"/>
        </w:rPr>
        <w:t>NVO sistemoje atliktų profilaktikos mokymų metu apmokytų asmenų skaičius</w:t>
      </w:r>
    </w:p>
    <w:p w:rsidR="00995BE0" w:rsidRPr="005727B8" w:rsidRDefault="00995BE0" w:rsidP="00063468">
      <w:pPr>
        <w:rPr>
          <w:b/>
          <w:sz w:val="22"/>
          <w:szCs w:val="22"/>
          <w:vertAlign w:val="subscript"/>
        </w:rPr>
      </w:pPr>
      <w:r w:rsidRPr="005727B8">
        <w:rPr>
          <w:sz w:val="22"/>
          <w:szCs w:val="22"/>
        </w:rPr>
        <w:t>Pravestų lėtinių neinfekcinių ligų profilaktikos mokymų skaičius</w:t>
      </w:r>
    </w:p>
    <w:p w:rsidR="00995BE0" w:rsidRPr="005727B8" w:rsidRDefault="00995BE0" w:rsidP="00063468">
      <w:pPr>
        <w:rPr>
          <w:sz w:val="22"/>
          <w:szCs w:val="22"/>
        </w:rPr>
      </w:pPr>
      <w:r w:rsidRPr="005727B8">
        <w:rPr>
          <w:sz w:val="22"/>
          <w:szCs w:val="22"/>
        </w:rPr>
        <w:t>Pravestų ūmių neinfekcinių ligų profilaktikos mokymų skaičius</w:t>
      </w:r>
    </w:p>
    <w:p w:rsidR="00995BE0" w:rsidRPr="005727B8" w:rsidRDefault="00995BE0" w:rsidP="00063468">
      <w:pPr>
        <w:rPr>
          <w:sz w:val="22"/>
          <w:szCs w:val="22"/>
        </w:rPr>
      </w:pPr>
      <w:r w:rsidRPr="005727B8">
        <w:rPr>
          <w:sz w:val="22"/>
          <w:szCs w:val="22"/>
        </w:rPr>
        <w:t>Ūmių neinfekcinių ligų profilaktikos apmokytų asmenų skaičius</w:t>
      </w:r>
    </w:p>
    <w:p w:rsidR="00995BE0" w:rsidRPr="005727B8" w:rsidRDefault="00995BE0" w:rsidP="00063468">
      <w:pPr>
        <w:rPr>
          <w:sz w:val="22"/>
          <w:szCs w:val="22"/>
        </w:rPr>
      </w:pPr>
      <w:r w:rsidRPr="005727B8">
        <w:rPr>
          <w:sz w:val="22"/>
          <w:szCs w:val="22"/>
        </w:rPr>
        <w:t>Lėtinių neinfekcinių ligų profilaktikos apmokytų asmenų skaičius</w:t>
      </w:r>
    </w:p>
    <w:p w:rsidR="00995BE0" w:rsidRPr="005727B8" w:rsidRDefault="00995BE0" w:rsidP="00063468">
      <w:pPr>
        <w:rPr>
          <w:b/>
          <w:sz w:val="22"/>
          <w:szCs w:val="22"/>
          <w:vertAlign w:val="subscript"/>
        </w:rPr>
      </w:pPr>
      <w:r w:rsidRPr="005727B8">
        <w:rPr>
          <w:sz w:val="22"/>
          <w:szCs w:val="22"/>
        </w:rPr>
        <w:t>Pravestų užkrečiamų ligų profilaktikos mokymų skaičius</w:t>
      </w:r>
    </w:p>
    <w:p w:rsidR="00995BE0" w:rsidRPr="005727B8" w:rsidRDefault="00995BE0" w:rsidP="00063468">
      <w:pPr>
        <w:rPr>
          <w:sz w:val="22"/>
          <w:szCs w:val="22"/>
        </w:rPr>
      </w:pPr>
      <w:r w:rsidRPr="005727B8">
        <w:rPr>
          <w:sz w:val="22"/>
          <w:szCs w:val="22"/>
        </w:rPr>
        <w:t>Užkrečiamų ligų profilaktikos apmokytų asmenų skaičius</w:t>
      </w:r>
    </w:p>
    <w:p w:rsidR="00995BE0" w:rsidRPr="005727B8" w:rsidRDefault="00995BE0" w:rsidP="00063468">
      <w:pPr>
        <w:rPr>
          <w:b/>
          <w:sz w:val="22"/>
          <w:szCs w:val="22"/>
          <w:vertAlign w:val="subscript"/>
        </w:rPr>
      </w:pPr>
      <w:r w:rsidRPr="005727B8">
        <w:rPr>
          <w:sz w:val="22"/>
          <w:szCs w:val="22"/>
        </w:rPr>
        <w:t>Pravestų psichikos sveikatos sutrikimų ir priklausomybių profilaktikos mokymų skaičius</w:t>
      </w:r>
    </w:p>
    <w:p w:rsidR="00995BE0" w:rsidRPr="005727B8" w:rsidRDefault="00995BE0" w:rsidP="00063468">
      <w:pPr>
        <w:rPr>
          <w:sz w:val="22"/>
          <w:szCs w:val="22"/>
        </w:rPr>
      </w:pPr>
      <w:r w:rsidRPr="005727B8">
        <w:rPr>
          <w:sz w:val="22"/>
          <w:szCs w:val="22"/>
        </w:rPr>
        <w:t>Psichikos sveikatos sutrikimų ir priklausomybių profilaktikos apmokytų asmenų skaičius</w:t>
      </w:r>
    </w:p>
    <w:p w:rsidR="00995BE0" w:rsidRPr="005727B8" w:rsidRDefault="00995BE0" w:rsidP="00063468">
      <w:pPr>
        <w:rPr>
          <w:b/>
          <w:sz w:val="22"/>
          <w:szCs w:val="22"/>
          <w:vertAlign w:val="subscript"/>
        </w:rPr>
      </w:pPr>
      <w:r w:rsidRPr="005727B8">
        <w:rPr>
          <w:sz w:val="22"/>
          <w:szCs w:val="22"/>
        </w:rPr>
        <w:t>Pravestų ligų ir sužalojimų prevencijos mokymų skaičius</w:t>
      </w:r>
    </w:p>
    <w:p w:rsidR="00995BE0" w:rsidRPr="005727B8" w:rsidRDefault="00995BE0" w:rsidP="00063468">
      <w:pPr>
        <w:rPr>
          <w:sz w:val="22"/>
          <w:szCs w:val="22"/>
        </w:rPr>
      </w:pPr>
      <w:r w:rsidRPr="005727B8">
        <w:rPr>
          <w:sz w:val="22"/>
          <w:szCs w:val="22"/>
        </w:rPr>
        <w:t>Ligų ir sužalojimų prevencijos apmokytų asmenų skaičius</w:t>
      </w:r>
    </w:p>
    <w:p w:rsidR="00995BE0" w:rsidRPr="005727B8" w:rsidRDefault="00995BE0" w:rsidP="00063468">
      <w:pPr>
        <w:rPr>
          <w:b/>
          <w:sz w:val="22"/>
          <w:szCs w:val="22"/>
          <w:vertAlign w:val="subscript"/>
        </w:rPr>
      </w:pPr>
      <w:r w:rsidRPr="005727B8">
        <w:rPr>
          <w:sz w:val="22"/>
          <w:szCs w:val="22"/>
        </w:rPr>
        <w:t>Įsigytos įrangos, skirtos konferencijų seminarų ir parodų organizavimui, pagal įrangos tipą skaičius</w:t>
      </w:r>
    </w:p>
    <w:p w:rsidR="00995BE0" w:rsidRPr="005727B8" w:rsidRDefault="00995BE0" w:rsidP="00063468">
      <w:pPr>
        <w:rPr>
          <w:b/>
          <w:sz w:val="22"/>
          <w:szCs w:val="22"/>
          <w:vertAlign w:val="subscript"/>
        </w:rPr>
      </w:pPr>
      <w:r w:rsidRPr="005727B8">
        <w:rPr>
          <w:sz w:val="22"/>
          <w:szCs w:val="22"/>
        </w:rPr>
        <w:t>Įsigytos įrangos, skirtos konferencijų seminarų ir parodų organizavimui, vertė, litais</w:t>
      </w:r>
    </w:p>
    <w:p w:rsidR="00995BE0" w:rsidRPr="005727B8" w:rsidRDefault="00995BE0" w:rsidP="00063468">
      <w:pPr>
        <w:rPr>
          <w:b/>
          <w:sz w:val="22"/>
          <w:szCs w:val="22"/>
          <w:vertAlign w:val="subscript"/>
        </w:rPr>
      </w:pPr>
      <w:r w:rsidRPr="005727B8">
        <w:rPr>
          <w:sz w:val="22"/>
          <w:szCs w:val="22"/>
        </w:rPr>
        <w:t>Išsinuomotos įrangos, skirtos konferencijų seminarų ir parodų organizavimui, pagal įrangos tipą skaičius</w:t>
      </w:r>
    </w:p>
    <w:p w:rsidR="00995BE0" w:rsidRPr="005727B8" w:rsidRDefault="00995BE0" w:rsidP="00063468">
      <w:pPr>
        <w:rPr>
          <w:b/>
          <w:sz w:val="22"/>
          <w:szCs w:val="22"/>
          <w:vertAlign w:val="subscript"/>
        </w:rPr>
      </w:pPr>
      <w:r w:rsidRPr="005727B8">
        <w:rPr>
          <w:sz w:val="22"/>
          <w:szCs w:val="22"/>
        </w:rPr>
        <w:t>Išsinuomotos įrangos, skirtos konferencijų seminarų ir parodų organizavimui, vertė, litais</w:t>
      </w:r>
    </w:p>
    <w:p w:rsidR="00995BE0" w:rsidRPr="005727B8" w:rsidRDefault="00995BE0" w:rsidP="00063468">
      <w:pPr>
        <w:rPr>
          <w:b/>
          <w:sz w:val="22"/>
          <w:szCs w:val="22"/>
          <w:vertAlign w:val="subscript"/>
        </w:rPr>
      </w:pPr>
      <w:r w:rsidRPr="005727B8">
        <w:rPr>
          <w:sz w:val="22"/>
          <w:szCs w:val="22"/>
        </w:rPr>
        <w:t>Įsigytų patalpų, skirtų konferencijų seminarų ir parodų organizavimui, pagal patalpų paskirtį plotas, kv.m.</w:t>
      </w:r>
    </w:p>
    <w:p w:rsidR="00995BE0" w:rsidRPr="005727B8" w:rsidRDefault="00995BE0" w:rsidP="00063468">
      <w:pPr>
        <w:rPr>
          <w:b/>
          <w:sz w:val="22"/>
          <w:szCs w:val="22"/>
          <w:vertAlign w:val="subscript"/>
        </w:rPr>
      </w:pPr>
      <w:r w:rsidRPr="005727B8">
        <w:rPr>
          <w:sz w:val="22"/>
          <w:szCs w:val="22"/>
        </w:rPr>
        <w:t>Įsigytų patalpų, skirtų konferencijų seminarų ir parodų organizavimui, pagal patalpų paskirtį vertė, litais</w:t>
      </w:r>
    </w:p>
    <w:p w:rsidR="00995BE0" w:rsidRPr="005727B8" w:rsidRDefault="00995BE0" w:rsidP="00063468">
      <w:pPr>
        <w:rPr>
          <w:b/>
          <w:sz w:val="22"/>
          <w:szCs w:val="22"/>
          <w:vertAlign w:val="subscript"/>
        </w:rPr>
      </w:pPr>
      <w:r w:rsidRPr="005727B8">
        <w:rPr>
          <w:sz w:val="22"/>
          <w:szCs w:val="22"/>
        </w:rPr>
        <w:t>Išsinuomotų patalpų, skirtų konferencijų seminarų ir parodų organizavimui, pagal patalpų paskirtį plotas, kv.m.</w:t>
      </w:r>
    </w:p>
    <w:p w:rsidR="00995BE0" w:rsidRPr="005727B8" w:rsidRDefault="00995BE0" w:rsidP="00063468">
      <w:pPr>
        <w:rPr>
          <w:sz w:val="22"/>
          <w:szCs w:val="22"/>
        </w:rPr>
      </w:pPr>
      <w:r w:rsidRPr="005727B8">
        <w:rPr>
          <w:sz w:val="22"/>
          <w:szCs w:val="22"/>
        </w:rPr>
        <w:t>Išsinuomotų patalpų, skirtų konferencijų seminarų ir parodų organizavimui, pagal patalpų paskirtį vertė, litais</w:t>
      </w:r>
    </w:p>
    <w:p w:rsidR="00995BE0" w:rsidRPr="005727B8" w:rsidRDefault="00995BE0" w:rsidP="00063468">
      <w:pPr>
        <w:rPr>
          <w:b/>
          <w:sz w:val="22"/>
          <w:szCs w:val="22"/>
          <w:vertAlign w:val="subscript"/>
        </w:rPr>
      </w:pPr>
      <w:r w:rsidRPr="005727B8">
        <w:rPr>
          <w:sz w:val="22"/>
          <w:szCs w:val="22"/>
        </w:rPr>
        <w:t>Projektų, kuriuose dalyvavo bent kelių sektorių organizacijos, skaičius</w:t>
      </w:r>
    </w:p>
    <w:p w:rsidR="00995BE0" w:rsidRPr="005727B8" w:rsidRDefault="00995BE0" w:rsidP="00063468">
      <w:pPr>
        <w:rPr>
          <w:b/>
          <w:sz w:val="22"/>
          <w:szCs w:val="22"/>
          <w:vertAlign w:val="subscript"/>
        </w:rPr>
      </w:pPr>
      <w:r w:rsidRPr="005727B8">
        <w:rPr>
          <w:sz w:val="22"/>
          <w:szCs w:val="22"/>
        </w:rPr>
        <w:t>Projektų, kuriuose dalyvavo bent kelių sektorių organizacijos, dalyvių skaičius</w:t>
      </w:r>
    </w:p>
    <w:p w:rsidR="00995BE0" w:rsidRPr="005727B8" w:rsidRDefault="00995BE0" w:rsidP="00063468">
      <w:pPr>
        <w:rPr>
          <w:sz w:val="22"/>
          <w:szCs w:val="22"/>
        </w:rPr>
      </w:pPr>
      <w:r w:rsidRPr="005727B8">
        <w:rPr>
          <w:sz w:val="22"/>
          <w:szCs w:val="22"/>
        </w:rPr>
        <w:t>Projektų, kuriuose dalyvavo bent kelių sektorių organizacijos, probleminių sričių skaičius</w:t>
      </w:r>
    </w:p>
    <w:p w:rsidR="00995BE0" w:rsidRPr="005727B8" w:rsidRDefault="00995BE0" w:rsidP="00063468">
      <w:pPr>
        <w:rPr>
          <w:b/>
          <w:sz w:val="22"/>
          <w:szCs w:val="22"/>
          <w:vertAlign w:val="subscript"/>
        </w:rPr>
      </w:pPr>
      <w:r w:rsidRPr="005727B8">
        <w:rPr>
          <w:sz w:val="22"/>
          <w:szCs w:val="22"/>
        </w:rPr>
        <w:t>Tarpsektorinio bendradarbiavimo iniciatyvinių grupių susitikimų skaičius</w:t>
      </w:r>
    </w:p>
    <w:p w:rsidR="00995BE0" w:rsidRPr="005727B8" w:rsidRDefault="00995BE0" w:rsidP="00063468">
      <w:pPr>
        <w:rPr>
          <w:b/>
          <w:sz w:val="22"/>
          <w:szCs w:val="22"/>
          <w:vertAlign w:val="subscript"/>
        </w:rPr>
      </w:pPr>
      <w:r w:rsidRPr="005727B8">
        <w:rPr>
          <w:sz w:val="22"/>
          <w:szCs w:val="22"/>
        </w:rPr>
        <w:t>Suorganizuotų tarpsektorinio bendradarbiavimo renginių skaičius</w:t>
      </w:r>
    </w:p>
    <w:p w:rsidR="00995BE0" w:rsidRPr="005727B8" w:rsidRDefault="00995BE0" w:rsidP="00063468">
      <w:pPr>
        <w:rPr>
          <w:sz w:val="22"/>
          <w:szCs w:val="22"/>
        </w:rPr>
      </w:pPr>
      <w:r w:rsidRPr="005727B8">
        <w:rPr>
          <w:sz w:val="22"/>
          <w:szCs w:val="22"/>
        </w:rPr>
        <w:t>Suorganizuotų tarpsektorinio bendradarbiavimo renginių dalyvių skaičius</w:t>
      </w:r>
    </w:p>
    <w:p w:rsidR="00995BE0" w:rsidRPr="005727B8" w:rsidRDefault="00995BE0" w:rsidP="00063468">
      <w:pPr>
        <w:rPr>
          <w:b/>
          <w:sz w:val="22"/>
          <w:szCs w:val="22"/>
          <w:vertAlign w:val="subscript"/>
        </w:rPr>
      </w:pPr>
      <w:r w:rsidRPr="005727B8">
        <w:rPr>
          <w:sz w:val="22"/>
          <w:szCs w:val="22"/>
        </w:rPr>
        <w:t>Veikiančių visuomenės sveikatos tinklalapių skaičius</w:t>
      </w:r>
    </w:p>
    <w:p w:rsidR="00995BE0" w:rsidRPr="005727B8" w:rsidRDefault="00995BE0" w:rsidP="00063468">
      <w:pPr>
        <w:rPr>
          <w:b/>
          <w:sz w:val="22"/>
          <w:szCs w:val="22"/>
          <w:vertAlign w:val="subscript"/>
        </w:rPr>
      </w:pPr>
      <w:r w:rsidRPr="005727B8">
        <w:rPr>
          <w:sz w:val="22"/>
          <w:szCs w:val="22"/>
        </w:rPr>
        <w:t>Veikiančių visuomenės sveikatos pokalbių svetainių skaičius</w:t>
      </w:r>
    </w:p>
    <w:p w:rsidR="00995BE0" w:rsidRPr="005727B8" w:rsidRDefault="00995BE0" w:rsidP="00063468">
      <w:pPr>
        <w:rPr>
          <w:b/>
          <w:sz w:val="22"/>
          <w:szCs w:val="22"/>
          <w:vertAlign w:val="subscript"/>
        </w:rPr>
      </w:pPr>
      <w:r w:rsidRPr="005727B8">
        <w:rPr>
          <w:sz w:val="22"/>
          <w:szCs w:val="22"/>
        </w:rPr>
        <w:t>Veikiančių visuomenės sveikatos tinklalapių, kuriuose įdiegta abonementinė sistema, skaičius</w:t>
      </w:r>
    </w:p>
    <w:p w:rsidR="00995BE0" w:rsidRPr="005727B8" w:rsidRDefault="00995BE0" w:rsidP="00063468">
      <w:pPr>
        <w:rPr>
          <w:sz w:val="22"/>
          <w:szCs w:val="22"/>
        </w:rPr>
      </w:pPr>
      <w:r w:rsidRPr="005727B8">
        <w:rPr>
          <w:sz w:val="22"/>
          <w:szCs w:val="22"/>
        </w:rPr>
        <w:t>Veikiančių visuomenės sveikatos tinklalapių, kuriuose įdiegta abonementinė sistema, aktyvių abonementų skaičius</w:t>
      </w:r>
    </w:p>
    <w:p w:rsidR="00995BE0" w:rsidRPr="005727B8" w:rsidRDefault="00995BE0" w:rsidP="00063468">
      <w:pPr>
        <w:rPr>
          <w:sz w:val="22"/>
          <w:szCs w:val="22"/>
        </w:rPr>
      </w:pPr>
      <w:r w:rsidRPr="005727B8">
        <w:rPr>
          <w:sz w:val="22"/>
          <w:szCs w:val="22"/>
        </w:rPr>
        <w:t>Parengtų visuomenės sveikatos specialistų skaičius</w:t>
      </w:r>
    </w:p>
    <w:p w:rsidR="00995BE0" w:rsidRPr="005727B8" w:rsidRDefault="00995BE0" w:rsidP="00063468">
      <w:pPr>
        <w:rPr>
          <w:sz w:val="22"/>
          <w:szCs w:val="22"/>
        </w:rPr>
      </w:pPr>
      <w:r w:rsidRPr="005727B8">
        <w:rPr>
          <w:sz w:val="22"/>
          <w:szCs w:val="22"/>
        </w:rPr>
        <w:t>Pagal specialybę dirbančių parengtų visuomenės sveikatos specialistų dalis, proc.</w:t>
      </w:r>
    </w:p>
    <w:p w:rsidR="00995BE0" w:rsidRPr="005727B8" w:rsidRDefault="00995BE0" w:rsidP="00063468">
      <w:pPr>
        <w:rPr>
          <w:sz w:val="22"/>
          <w:szCs w:val="22"/>
        </w:rPr>
      </w:pPr>
      <w:r w:rsidRPr="005727B8">
        <w:rPr>
          <w:sz w:val="22"/>
          <w:szCs w:val="22"/>
        </w:rPr>
        <w:t>Ne visuomenės sveikatos organizacijų turinčių visuomenės sveikatos specialisto etatą(-us) skaičius</w:t>
      </w:r>
    </w:p>
    <w:p w:rsidR="00995BE0" w:rsidRPr="005727B8" w:rsidRDefault="00995BE0" w:rsidP="00063468">
      <w:pPr>
        <w:rPr>
          <w:sz w:val="22"/>
          <w:szCs w:val="22"/>
        </w:rPr>
      </w:pPr>
      <w:r w:rsidRPr="005727B8">
        <w:rPr>
          <w:sz w:val="22"/>
          <w:szCs w:val="22"/>
        </w:rPr>
        <w:t>Kvalifikaciją kėlusių visuomenės sveikatos specialistų skaičius</w:t>
      </w:r>
    </w:p>
    <w:p w:rsidR="00995BE0" w:rsidRPr="005727B8" w:rsidRDefault="00995BE0" w:rsidP="00063468">
      <w:pPr>
        <w:rPr>
          <w:sz w:val="22"/>
          <w:szCs w:val="22"/>
        </w:rPr>
      </w:pPr>
      <w:r w:rsidRPr="005727B8">
        <w:rPr>
          <w:sz w:val="22"/>
          <w:szCs w:val="22"/>
        </w:rPr>
        <w:t>Visuomenės sveikatos įstaigų skaičius</w:t>
      </w:r>
    </w:p>
    <w:p w:rsidR="00995BE0" w:rsidRPr="005727B8" w:rsidRDefault="00995BE0" w:rsidP="00063468">
      <w:pPr>
        <w:rPr>
          <w:sz w:val="22"/>
          <w:szCs w:val="22"/>
        </w:rPr>
      </w:pPr>
      <w:r w:rsidRPr="005727B8">
        <w:rPr>
          <w:sz w:val="22"/>
          <w:szCs w:val="22"/>
        </w:rPr>
        <w:t>Naujai įsteigtų visuomenės sveikatos įstaigų skaičius.</w:t>
      </w:r>
    </w:p>
    <w:p w:rsidR="00995BE0" w:rsidRPr="005727B8" w:rsidRDefault="00995BE0" w:rsidP="00063468">
      <w:pPr>
        <w:rPr>
          <w:sz w:val="22"/>
          <w:szCs w:val="22"/>
        </w:rPr>
      </w:pPr>
      <w:r w:rsidRPr="005727B8">
        <w:rPr>
          <w:sz w:val="22"/>
          <w:szCs w:val="22"/>
        </w:rPr>
        <w:t>Visuomenės sveikatos darbuotojų skaičius naujai įsteigtose visuomenės sveikatos įstaigose</w:t>
      </w:r>
    </w:p>
    <w:p w:rsidR="00995BE0" w:rsidRPr="005727B8" w:rsidRDefault="00995BE0" w:rsidP="00063468">
      <w:pPr>
        <w:rPr>
          <w:sz w:val="22"/>
          <w:szCs w:val="22"/>
        </w:rPr>
      </w:pPr>
      <w:r w:rsidRPr="005727B8">
        <w:rPr>
          <w:sz w:val="22"/>
          <w:szCs w:val="22"/>
        </w:rPr>
        <w:t>Renovuotų visuomenės sveikatos įstaigų skaičius</w:t>
      </w:r>
    </w:p>
    <w:p w:rsidR="00995BE0" w:rsidRPr="005727B8" w:rsidRDefault="00995BE0" w:rsidP="00063468">
      <w:pPr>
        <w:rPr>
          <w:sz w:val="22"/>
          <w:szCs w:val="22"/>
        </w:rPr>
      </w:pPr>
      <w:r w:rsidRPr="005727B8">
        <w:rPr>
          <w:sz w:val="22"/>
          <w:szCs w:val="22"/>
        </w:rPr>
        <w:t>Atnaujintų visuomenės sveikatos specialistų darbo vietų skaičius</w:t>
      </w:r>
    </w:p>
    <w:p w:rsidR="00995BE0" w:rsidRPr="005727B8" w:rsidRDefault="00995BE0" w:rsidP="00063468">
      <w:pPr>
        <w:rPr>
          <w:sz w:val="22"/>
          <w:szCs w:val="22"/>
        </w:rPr>
      </w:pPr>
      <w:r w:rsidRPr="005727B8">
        <w:rPr>
          <w:sz w:val="22"/>
          <w:szCs w:val="22"/>
        </w:rPr>
        <w:t>Informacinių visuomenės sveikatos centrų skaičius</w:t>
      </w:r>
    </w:p>
    <w:p w:rsidR="00995BE0" w:rsidRPr="005727B8" w:rsidRDefault="00995BE0" w:rsidP="00063468">
      <w:pPr>
        <w:rPr>
          <w:sz w:val="22"/>
          <w:szCs w:val="22"/>
        </w:rPr>
      </w:pPr>
      <w:r w:rsidRPr="005727B8">
        <w:rPr>
          <w:sz w:val="22"/>
          <w:szCs w:val="22"/>
        </w:rPr>
        <w:t>Naujai įsteigtų informacinių visuomenės sveikatos centrų skaičius</w:t>
      </w:r>
    </w:p>
    <w:p w:rsidR="00995BE0" w:rsidRPr="005727B8" w:rsidRDefault="00995BE0" w:rsidP="00063468">
      <w:pPr>
        <w:rPr>
          <w:sz w:val="22"/>
          <w:szCs w:val="22"/>
        </w:rPr>
      </w:pPr>
      <w:r w:rsidRPr="005727B8">
        <w:rPr>
          <w:sz w:val="22"/>
          <w:szCs w:val="22"/>
        </w:rPr>
        <w:t>Informacinių visuomenės sveikatos centrų darbuotojų skaičius</w:t>
      </w:r>
    </w:p>
    <w:p w:rsidR="00995BE0" w:rsidRPr="005727B8" w:rsidRDefault="00995BE0" w:rsidP="00063468">
      <w:pPr>
        <w:rPr>
          <w:sz w:val="22"/>
          <w:szCs w:val="22"/>
        </w:rPr>
      </w:pPr>
      <w:r w:rsidRPr="005727B8">
        <w:rPr>
          <w:sz w:val="22"/>
          <w:szCs w:val="22"/>
        </w:rPr>
        <w:t>Renovuotų informacinių visuomenės sveikatos centrų skaičius</w:t>
      </w:r>
    </w:p>
    <w:p w:rsidR="00995BE0" w:rsidRPr="005727B8" w:rsidRDefault="00995BE0" w:rsidP="00063468">
      <w:pPr>
        <w:rPr>
          <w:sz w:val="22"/>
          <w:szCs w:val="22"/>
        </w:rPr>
      </w:pPr>
      <w:r w:rsidRPr="005727B8">
        <w:rPr>
          <w:sz w:val="22"/>
          <w:szCs w:val="22"/>
        </w:rPr>
        <w:t>Atnaujintų informacinių visuomenės sveikatos centrų specialistų darbo vietų skaičius</w:t>
      </w:r>
    </w:p>
    <w:p w:rsidR="00995BE0" w:rsidRPr="005727B8" w:rsidRDefault="00995BE0" w:rsidP="00063468">
      <w:pPr>
        <w:rPr>
          <w:sz w:val="22"/>
          <w:szCs w:val="22"/>
        </w:rPr>
      </w:pPr>
      <w:r w:rsidRPr="005727B8">
        <w:rPr>
          <w:sz w:val="22"/>
          <w:szCs w:val="22"/>
        </w:rPr>
        <w:t>Mobilių aplinkos tyrimo laboratorijų skaičius</w:t>
      </w:r>
    </w:p>
    <w:p w:rsidR="00995BE0" w:rsidRPr="005727B8" w:rsidRDefault="00995BE0" w:rsidP="00063468">
      <w:pPr>
        <w:rPr>
          <w:sz w:val="22"/>
          <w:szCs w:val="22"/>
        </w:rPr>
      </w:pPr>
      <w:r w:rsidRPr="005727B8">
        <w:rPr>
          <w:sz w:val="22"/>
          <w:szCs w:val="22"/>
        </w:rPr>
        <w:t>Atnaujintų mobilių aplinkos tyrimo laboratorijų skaičius</w:t>
      </w:r>
    </w:p>
    <w:p w:rsidR="00995BE0" w:rsidRPr="005727B8" w:rsidRDefault="00995BE0" w:rsidP="00063468">
      <w:pPr>
        <w:rPr>
          <w:sz w:val="22"/>
          <w:szCs w:val="22"/>
        </w:rPr>
      </w:pPr>
      <w:r w:rsidRPr="005727B8">
        <w:rPr>
          <w:sz w:val="22"/>
          <w:szCs w:val="22"/>
        </w:rPr>
        <w:t>Įsigytų mobilių aplinkos tyrimo laboratorijų skaičius</w:t>
      </w:r>
    </w:p>
    <w:p w:rsidR="00995BE0" w:rsidRPr="005727B8" w:rsidRDefault="00995BE0" w:rsidP="00063468">
      <w:pPr>
        <w:rPr>
          <w:sz w:val="22"/>
          <w:szCs w:val="22"/>
        </w:rPr>
      </w:pPr>
      <w:r w:rsidRPr="005727B8">
        <w:rPr>
          <w:sz w:val="22"/>
          <w:szCs w:val="22"/>
        </w:rPr>
        <w:t>Stacionarių aplinkos tyrimo laboratorijų skaičius</w:t>
      </w:r>
    </w:p>
    <w:p w:rsidR="00995BE0" w:rsidRPr="005727B8" w:rsidRDefault="00995BE0" w:rsidP="00063468">
      <w:pPr>
        <w:rPr>
          <w:sz w:val="22"/>
          <w:szCs w:val="22"/>
        </w:rPr>
      </w:pPr>
      <w:r w:rsidRPr="005727B8">
        <w:rPr>
          <w:sz w:val="22"/>
          <w:szCs w:val="22"/>
        </w:rPr>
        <w:t>Atnaujintų stacionarių aplinkos tyrimo laboratorijų skaičius</w:t>
      </w:r>
    </w:p>
    <w:p w:rsidR="00995BE0" w:rsidRPr="005727B8" w:rsidRDefault="00995BE0" w:rsidP="00063468">
      <w:pPr>
        <w:rPr>
          <w:sz w:val="22"/>
          <w:szCs w:val="22"/>
        </w:rPr>
      </w:pPr>
      <w:r w:rsidRPr="005727B8">
        <w:rPr>
          <w:sz w:val="22"/>
          <w:szCs w:val="22"/>
        </w:rPr>
        <w:t>Įgytų stacionarių aplinkos tyrimo laboratorijų skaičius</w:t>
      </w:r>
    </w:p>
    <w:p w:rsidR="00995BE0" w:rsidRDefault="00995BE0" w:rsidP="00944F51">
      <w:pPr>
        <w:tabs>
          <w:tab w:val="left" w:pos="2850"/>
        </w:tabs>
      </w:pPr>
    </w:p>
    <w:p w:rsidR="00995BE0" w:rsidRDefault="00995BE0" w:rsidP="00944F51">
      <w:pPr>
        <w:tabs>
          <w:tab w:val="left" w:pos="2850"/>
        </w:tabs>
      </w:pPr>
    </w:p>
    <w:p w:rsidR="00995BE0" w:rsidRDefault="00995BE0" w:rsidP="00944F51">
      <w:pPr>
        <w:tabs>
          <w:tab w:val="left" w:pos="2850"/>
        </w:tabs>
      </w:pPr>
    </w:p>
    <w:p w:rsidR="00995BE0" w:rsidRDefault="00995BE0" w:rsidP="00944F51">
      <w:pPr>
        <w:tabs>
          <w:tab w:val="left" w:pos="2850"/>
        </w:tabs>
      </w:pPr>
    </w:p>
    <w:p w:rsidR="00995BE0" w:rsidRDefault="00995BE0" w:rsidP="00851EF3">
      <w:pPr>
        <w:jc w:val="right"/>
        <w:rPr>
          <w:b/>
        </w:rPr>
      </w:pPr>
      <w:r>
        <w:rPr>
          <w:b/>
        </w:rPr>
        <w:lastRenderedPageBreak/>
        <w:t>20 priedas</w:t>
      </w:r>
    </w:p>
    <w:p w:rsidR="00995BE0" w:rsidRDefault="00995BE0" w:rsidP="00851EF3">
      <w:pPr>
        <w:jc w:val="right"/>
        <w:rPr>
          <w: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668"/>
      </w:tblGrid>
      <w:tr w:rsidR="00995BE0" w:rsidRPr="001D71BB" w:rsidTr="00C734B5">
        <w:trPr>
          <w:trHeight w:val="6057"/>
          <w:tblCellSpacing w:w="0" w:type="dxa"/>
        </w:trPr>
        <w:tc>
          <w:tcPr>
            <w:tcW w:w="0" w:type="auto"/>
            <w:tcBorders>
              <w:top w:val="outset" w:sz="6" w:space="0" w:color="auto"/>
              <w:bottom w:val="outset" w:sz="6" w:space="0" w:color="auto"/>
            </w:tcBorders>
            <w:vAlign w:val="center"/>
          </w:tcPr>
          <w:p w:rsidR="00995BE0" w:rsidRPr="001D71BB" w:rsidRDefault="00A54FAC" w:rsidP="00C734B5">
            <w:pPr>
              <w:spacing w:line="360" w:lineRule="auto"/>
              <w:jc w:val="center"/>
              <w:rPr>
                <w:rFonts w:ascii="Arial" w:hAnsi="Arial" w:cs="Arial"/>
                <w:sz w:val="14"/>
                <w:szCs w:val="14"/>
              </w:rPr>
            </w:pPr>
            <w:r>
              <w:rPr>
                <w:rFonts w:ascii="Arial" w:hAnsi="Arial" w:cs="Arial"/>
                <w:noProof/>
                <w:sz w:val="14"/>
                <w:szCs w:val="14"/>
              </w:rPr>
              <w:drawing>
                <wp:inline distT="0" distB="0" distL="0" distR="0">
                  <wp:extent cx="4572000" cy="3148330"/>
                  <wp:effectExtent l="19050" t="0" r="0" b="0"/>
                  <wp:docPr id="63" name="Paveikslėlis 20" descr="http://vasc.sam.lt/vasc/m/m_images/wfiles/ity2hq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http://vasc.sam.lt/vasc/m/m_images/wfiles/ity2hq46.jpg"/>
                          <pic:cNvPicPr>
                            <a:picLocks noChangeAspect="1" noChangeArrowheads="1"/>
                          </pic:cNvPicPr>
                        </pic:nvPicPr>
                        <pic:blipFill>
                          <a:blip r:embed="rId214"/>
                          <a:srcRect t="15234"/>
                          <a:stretch>
                            <a:fillRect/>
                          </a:stretch>
                        </pic:blipFill>
                        <pic:spPr bwMode="auto">
                          <a:xfrm>
                            <a:off x="0" y="0"/>
                            <a:ext cx="4572000" cy="3148330"/>
                          </a:xfrm>
                          <a:prstGeom prst="rect">
                            <a:avLst/>
                          </a:prstGeom>
                          <a:noFill/>
                          <a:ln w="9525">
                            <a:noFill/>
                            <a:miter lim="800000"/>
                            <a:headEnd/>
                            <a:tailEnd/>
                          </a:ln>
                        </pic:spPr>
                      </pic:pic>
                    </a:graphicData>
                  </a:graphic>
                </wp:inline>
              </w:drawing>
            </w:r>
          </w:p>
        </w:tc>
      </w:tr>
    </w:tbl>
    <w:p w:rsidR="00995BE0" w:rsidRPr="00987BBB" w:rsidRDefault="00995BE0" w:rsidP="00263F5C">
      <w:pPr>
        <w:spacing w:line="360" w:lineRule="auto"/>
        <w:ind w:firstLine="567"/>
        <w:jc w:val="center"/>
        <w:rPr>
          <w:b/>
          <w:sz w:val="22"/>
          <w:szCs w:val="22"/>
        </w:rPr>
      </w:pPr>
      <w:r w:rsidRPr="00987BBB">
        <w:rPr>
          <w:b/>
          <w:sz w:val="22"/>
          <w:szCs w:val="22"/>
        </w:rPr>
        <w:t xml:space="preserve">19 pav. </w:t>
      </w:r>
      <w:r w:rsidRPr="00987BBB">
        <w:rPr>
          <w:sz w:val="22"/>
          <w:szCs w:val="22"/>
        </w:rPr>
        <w:t>Sveikatą stiprinančių mokyklų tinklas Lietuvoje</w:t>
      </w:r>
    </w:p>
    <w:p w:rsidR="00995BE0" w:rsidRPr="00F6690C" w:rsidRDefault="00995BE0" w:rsidP="00263F5C">
      <w:pPr>
        <w:pStyle w:val="Puslapioinaostekstas"/>
        <w:ind w:left="360"/>
        <w:jc w:val="center"/>
        <w:rPr>
          <w:sz w:val="22"/>
          <w:szCs w:val="22"/>
          <w:lang w:val="lt-LT"/>
        </w:rPr>
      </w:pPr>
      <w:r w:rsidRPr="00F6690C">
        <w:rPr>
          <w:lang w:val="lt-LT"/>
        </w:rPr>
        <w:t xml:space="preserve">Šaltinis: </w:t>
      </w:r>
      <w:r w:rsidRPr="00F6690C">
        <w:rPr>
          <w:spacing w:val="-6"/>
          <w:sz w:val="22"/>
          <w:szCs w:val="22"/>
          <w:lang w:val="lt-LT"/>
        </w:rPr>
        <w:t>Sveikatą stiprinančios mokyklos. (2011)</w:t>
      </w:r>
      <w:r w:rsidRPr="00F6690C">
        <w:rPr>
          <w:lang w:val="lt-LT"/>
        </w:rPr>
        <w:t xml:space="preserve"> [interaktyvus]</w:t>
      </w:r>
      <w:r w:rsidRPr="00F6690C">
        <w:rPr>
          <w:spacing w:val="-6"/>
          <w:sz w:val="22"/>
          <w:szCs w:val="22"/>
          <w:lang w:val="pl-PL"/>
        </w:rPr>
        <w:t xml:space="preserve"> [žiūrėta 201</w:t>
      </w:r>
      <w:r>
        <w:rPr>
          <w:spacing w:val="-6"/>
          <w:sz w:val="22"/>
          <w:szCs w:val="22"/>
          <w:lang w:val="pl-PL"/>
        </w:rPr>
        <w:t>1-02</w:t>
      </w:r>
      <w:r w:rsidRPr="00F6690C">
        <w:rPr>
          <w:spacing w:val="-6"/>
          <w:sz w:val="22"/>
          <w:szCs w:val="22"/>
          <w:lang w:val="pl-PL"/>
        </w:rPr>
        <w:t>-</w:t>
      </w:r>
      <w:r>
        <w:rPr>
          <w:spacing w:val="-6"/>
          <w:sz w:val="22"/>
          <w:szCs w:val="22"/>
          <w:lang w:val="pl-PL"/>
        </w:rPr>
        <w:t>28</w:t>
      </w:r>
      <w:r w:rsidRPr="00F6690C">
        <w:rPr>
          <w:spacing w:val="-6"/>
          <w:sz w:val="22"/>
          <w:szCs w:val="22"/>
          <w:lang w:val="pl-PL"/>
        </w:rPr>
        <w:t>]. Prieiga per internetą:</w:t>
      </w:r>
      <w:r w:rsidRPr="00F6690C">
        <w:rPr>
          <w:lang w:val="sv-SE"/>
        </w:rPr>
        <w:t xml:space="preserve"> </w:t>
      </w:r>
      <w:r w:rsidRPr="00F6690C">
        <w:rPr>
          <w:spacing w:val="-6"/>
          <w:sz w:val="22"/>
          <w:szCs w:val="22"/>
          <w:lang w:val="pl-PL"/>
        </w:rPr>
        <w:t>http://www.smlpc.lt/lt/vaiku_sveikata/sveikata_stiprinanti_mokykla/</w:t>
      </w:r>
    </w:p>
    <w:p w:rsidR="00995BE0" w:rsidRDefault="00995BE0" w:rsidP="00851EF3">
      <w:pPr>
        <w:jc w:val="right"/>
        <w:rPr>
          <w:b/>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663819">
      <w:pPr>
        <w:jc w:val="center"/>
        <w:rPr>
          <w:b/>
          <w:bCs/>
        </w:rPr>
      </w:pPr>
    </w:p>
    <w:p w:rsidR="00995BE0" w:rsidRDefault="00995BE0" w:rsidP="00263F5C">
      <w:pPr>
        <w:jc w:val="right"/>
        <w:rPr>
          <w:b/>
          <w:bCs/>
        </w:rPr>
      </w:pPr>
    </w:p>
    <w:p w:rsidR="00995BE0" w:rsidRDefault="00995BE0" w:rsidP="00263F5C">
      <w:pPr>
        <w:jc w:val="right"/>
        <w:rPr>
          <w:b/>
          <w:bCs/>
        </w:rPr>
      </w:pPr>
      <w:r>
        <w:rPr>
          <w:b/>
          <w:bCs/>
        </w:rPr>
        <w:lastRenderedPageBreak/>
        <w:t>21 priedas</w:t>
      </w:r>
    </w:p>
    <w:p w:rsidR="00995BE0" w:rsidRDefault="00995BE0" w:rsidP="00663819">
      <w:pPr>
        <w:jc w:val="center"/>
        <w:rPr>
          <w:b/>
          <w:bCs/>
        </w:rPr>
      </w:pPr>
      <w:r>
        <w:rPr>
          <w:b/>
          <w:bCs/>
        </w:rPr>
        <w:t>SMF 11-ąjai tarptautinei</w:t>
      </w:r>
      <w:r w:rsidRPr="00663819">
        <w:rPr>
          <w:b/>
          <w:bCs/>
        </w:rPr>
        <w:t xml:space="preserve"> stu</w:t>
      </w:r>
      <w:r>
        <w:rPr>
          <w:b/>
          <w:bCs/>
        </w:rPr>
        <w:t>dentų mokslo darbų konferencijai pateiktas ir priimtas publikuoti straipsnis (2011-04-14)</w:t>
      </w:r>
    </w:p>
    <w:p w:rsidR="00995BE0" w:rsidRDefault="00995BE0" w:rsidP="00663819">
      <w:pPr>
        <w:jc w:val="center"/>
        <w:rPr>
          <w:b/>
          <w:bCs/>
        </w:rPr>
      </w:pPr>
    </w:p>
    <w:p w:rsidR="00995BE0" w:rsidRDefault="00995BE0" w:rsidP="00663819">
      <w:pPr>
        <w:jc w:val="center"/>
        <w:rPr>
          <w:b/>
        </w:rPr>
      </w:pPr>
      <w:r w:rsidRPr="00E868B1">
        <w:rPr>
          <w:b/>
        </w:rPr>
        <w:t>VISUOMENĖS SVEIKATOS BIURO VEIKLOS STRATEGI</w:t>
      </w:r>
      <w:r>
        <w:rPr>
          <w:b/>
        </w:rPr>
        <w:t>NIAI PRIORITETAI</w:t>
      </w:r>
      <w:r w:rsidRPr="00E868B1">
        <w:rPr>
          <w:b/>
        </w:rPr>
        <w:t>: ŠIAULIŲ MIESTO ATVEJIS</w:t>
      </w:r>
    </w:p>
    <w:p w:rsidR="00995BE0" w:rsidRDefault="00995BE0" w:rsidP="00851EF3">
      <w:pPr>
        <w:jc w:val="both"/>
        <w:rPr>
          <w:b/>
        </w:rPr>
      </w:pPr>
    </w:p>
    <w:p w:rsidR="00995BE0" w:rsidRPr="00E868B1" w:rsidRDefault="00995BE0" w:rsidP="00851EF3">
      <w:pPr>
        <w:tabs>
          <w:tab w:val="left" w:pos="397"/>
          <w:tab w:val="left" w:leader="dot" w:pos="6237"/>
        </w:tabs>
        <w:jc w:val="both"/>
        <w:rPr>
          <w:b/>
        </w:rPr>
      </w:pPr>
      <w:r>
        <w:rPr>
          <w:b/>
        </w:rPr>
        <w:t>Diana Širvinskaitė</w:t>
      </w:r>
      <w:r w:rsidRPr="00E868B1">
        <w:rPr>
          <w:b/>
        </w:rPr>
        <w:t>, Teodoras Tamošiūnas</w:t>
      </w:r>
    </w:p>
    <w:p w:rsidR="00995BE0" w:rsidRPr="00E868B1" w:rsidRDefault="00995BE0" w:rsidP="00851EF3">
      <w:pPr>
        <w:tabs>
          <w:tab w:val="left" w:pos="397"/>
          <w:tab w:val="left" w:leader="dot" w:pos="6237"/>
        </w:tabs>
        <w:jc w:val="both"/>
        <w:rPr>
          <w:bCs/>
          <w:i/>
          <w:iCs/>
          <w:sz w:val="22"/>
          <w:szCs w:val="22"/>
        </w:rPr>
      </w:pPr>
      <w:r w:rsidRPr="00E868B1">
        <w:rPr>
          <w:bCs/>
          <w:i/>
          <w:iCs/>
          <w:sz w:val="22"/>
          <w:szCs w:val="22"/>
        </w:rPr>
        <w:t>Šiaulių universitetas</w:t>
      </w:r>
    </w:p>
    <w:p w:rsidR="00995BE0" w:rsidRPr="00851EF3" w:rsidRDefault="00995BE0" w:rsidP="00851EF3">
      <w:pPr>
        <w:tabs>
          <w:tab w:val="left" w:pos="397"/>
        </w:tabs>
        <w:ind w:firstLine="567"/>
        <w:jc w:val="both"/>
        <w:rPr>
          <w:b/>
          <w:sz w:val="22"/>
          <w:szCs w:val="22"/>
        </w:rPr>
      </w:pPr>
    </w:p>
    <w:p w:rsidR="00995BE0" w:rsidRPr="00851EF3" w:rsidRDefault="00995BE0" w:rsidP="00851EF3">
      <w:pPr>
        <w:tabs>
          <w:tab w:val="left" w:pos="397"/>
        </w:tabs>
        <w:jc w:val="both"/>
        <w:rPr>
          <w:b/>
        </w:rPr>
      </w:pPr>
      <w:r w:rsidRPr="00851EF3">
        <w:rPr>
          <w:b/>
        </w:rPr>
        <w:t>Įvadas</w:t>
      </w:r>
    </w:p>
    <w:p w:rsidR="00995BE0" w:rsidRDefault="00995BE0" w:rsidP="00851EF3">
      <w:pPr>
        <w:jc w:val="both"/>
        <w:rPr>
          <w:sz w:val="22"/>
          <w:szCs w:val="22"/>
        </w:rPr>
      </w:pPr>
      <w:r w:rsidRPr="00851EF3">
        <w:rPr>
          <w:b/>
          <w:sz w:val="22"/>
          <w:szCs w:val="22"/>
        </w:rPr>
        <w:t xml:space="preserve">Straipsnio aktualumas, naujumas ir mokslinė problematika. </w:t>
      </w:r>
      <w:r w:rsidRPr="000A0E81">
        <w:rPr>
          <w:sz w:val="22"/>
          <w:szCs w:val="22"/>
        </w:rPr>
        <w:t>Vakarų Europos valstybių patirtis rodo – kuo daugiau žmonės jaučia atsakomybę už savo sveikatą ir kuo labiau stengiasi pakeisti savo gyvenimo būdą, tuo labiau gerėja sveikata ir mažėja gydymo išlaidos. Ligų prevencija visada pigesnė už gydymą. Taip laimi ne tik žmogus, bet ir valstybė. Pirminės grandies sveikatos apsaugos plėtojimas – tai prioritetinė praktinės sveikatos apsaugos kryptis. Esant gerai išvystytai ir funkcionuojančiai pirminės grandies medicinos pagalbai, galima išspręsti 80-90 proc. medicinos pagalbos problemų (L</w:t>
      </w:r>
      <w:r>
        <w:rPr>
          <w:sz w:val="22"/>
          <w:szCs w:val="22"/>
        </w:rPr>
        <w:t xml:space="preserve">ietuvos </w:t>
      </w:r>
      <w:r w:rsidRPr="000A0E81">
        <w:rPr>
          <w:sz w:val="22"/>
          <w:szCs w:val="22"/>
        </w:rPr>
        <w:t>R</w:t>
      </w:r>
      <w:r>
        <w:rPr>
          <w:sz w:val="22"/>
          <w:szCs w:val="22"/>
        </w:rPr>
        <w:t>espublikos</w:t>
      </w:r>
      <w:r w:rsidRPr="000A0E81">
        <w:rPr>
          <w:sz w:val="22"/>
          <w:szCs w:val="22"/>
        </w:rPr>
        <w:t xml:space="preserve"> </w:t>
      </w:r>
      <w:r>
        <w:rPr>
          <w:sz w:val="22"/>
          <w:szCs w:val="22"/>
        </w:rPr>
        <w:t xml:space="preserve">Aukščiausiosios Tarybos </w:t>
      </w:r>
      <w:r w:rsidRPr="000A0E81">
        <w:rPr>
          <w:sz w:val="22"/>
          <w:szCs w:val="22"/>
        </w:rPr>
        <w:t>nutarimas</w:t>
      </w:r>
      <w:r>
        <w:rPr>
          <w:sz w:val="22"/>
          <w:szCs w:val="22"/>
        </w:rPr>
        <w:t xml:space="preserve"> Nr. I-1939</w:t>
      </w:r>
      <w:r w:rsidRPr="000A0E81">
        <w:rPr>
          <w:sz w:val="22"/>
          <w:szCs w:val="22"/>
        </w:rPr>
        <w:t>, 1991).</w:t>
      </w:r>
      <w:r>
        <w:rPr>
          <w:sz w:val="22"/>
          <w:szCs w:val="22"/>
        </w:rPr>
        <w:t xml:space="preserve"> </w:t>
      </w:r>
    </w:p>
    <w:p w:rsidR="00995BE0" w:rsidRPr="004D3F26" w:rsidRDefault="00995BE0" w:rsidP="00851EF3">
      <w:pPr>
        <w:jc w:val="both"/>
        <w:rPr>
          <w:sz w:val="22"/>
          <w:szCs w:val="22"/>
        </w:rPr>
      </w:pPr>
      <w:r w:rsidRPr="004D3F26">
        <w:rPr>
          <w:sz w:val="22"/>
          <w:szCs w:val="22"/>
        </w:rPr>
        <w:t>Dabartinis Lietuvos sveikatos sistemos valdymas yra nemodernus ir turi nemažai ydų. Nepaisant nemažo Lietuvos įdirbio rengiant sveikatos sistemos programinius dokumentus (Lietuvos sveikatos programa, Sveikatos priežiūros reformos tikslų ir uždavinių įgyvendinimo strategija), juose iškelti tikslai, uždaviniai bei rodikliai nėra susieti su strateginio planavimo procesu (tiek sveikatos sektoriaus, tiek ir visos šalies mastu). Neįvardinus atsakingų žinybų bei institucijų, konkrečių priemonių bei reikalingų lėšų, nuolat kaitaliojant ir menkai finansuojant sveikatos programas, dauguma siekiamų sveikatos rodiklių lieka nepasiekti, o kai kurie netgi blogėja (Sveikatos sistemos plėtros pagrindinės nuostatos, 2011).</w:t>
      </w:r>
    </w:p>
    <w:p w:rsidR="00995BE0" w:rsidRPr="000A0E81" w:rsidRDefault="00995BE0" w:rsidP="00851EF3">
      <w:pPr>
        <w:jc w:val="both"/>
        <w:rPr>
          <w:sz w:val="22"/>
          <w:szCs w:val="22"/>
        </w:rPr>
      </w:pPr>
      <w:r w:rsidRPr="000A0E81">
        <w:rPr>
          <w:sz w:val="22"/>
          <w:szCs w:val="22"/>
        </w:rPr>
        <w:t>Visuomenės sveikatos būklei didžiausią įtaką turi žmonių gyvensena, socialinė ir fizinė aplinka bei pirminės sveikatos priežiūros, ypač jos pirminės grandies, kokybė. Šie veiksniai sąlygoja pagrindines civilizacijos ligas. Todėl lemiamas vaidmuo čia tenka sveikatos mokymui, sveikatos saugai ir ligų profilaktikai. Gyventojų sveikatos gerinimas ir sveikatos priežiūros užtikrinimas yra svarbi ir ekonominio augimo sąlyga. Visuomenės sveikatos infrastruktūra tiesiogiai lemia gyvenimo kokybę, žmonių darbingumą ir darbingo amžiaus trukmę (Sveikatos apsaugos ministerijos</w:t>
      </w:r>
      <w:r>
        <w:rPr>
          <w:sz w:val="22"/>
          <w:szCs w:val="22"/>
        </w:rPr>
        <w:t xml:space="preserve"> </w:t>
      </w:r>
      <w:r w:rsidRPr="00414B5D">
        <w:rPr>
          <w:sz w:val="22"/>
          <w:szCs w:val="22"/>
        </w:rPr>
        <w:t>2010 – 2012 metų strateginis veiklos planas</w:t>
      </w:r>
      <w:r w:rsidRPr="000A0E81">
        <w:rPr>
          <w:sz w:val="22"/>
          <w:szCs w:val="22"/>
        </w:rPr>
        <w:t>, 2010). Sveikatos stiprinimo idėjos buvo kuriamos įgyvendinant Alma Atos pirminės sveikatos priežiūros deklaraciją (1977) ir PSO strategiją „Sveikata visiems“ (1984), apibrėžimas ir pagrindiniai principai suformuoti Otavos chartijoje (1986), toliau plėtoti konferencijose Adelaidėje („Dėl sveikos visuomenės“, 1988), Sundsvalyje („Apie sveikatą palaikančios aplinkos kūrimą“, 1991), Džakartoje (1997), Bankoke (2005). Sveikatos stiprinimas yra laikomas vienu iš visuomenės sveikatos kertinių akmenų, pabrėžiant sveikatos gyvensenos, rizikos veiksnių vengimo svarbą (Grabauskas ir kt., 2004).</w:t>
      </w:r>
    </w:p>
    <w:p w:rsidR="00995BE0" w:rsidRDefault="00995BE0" w:rsidP="00851EF3">
      <w:pPr>
        <w:jc w:val="both"/>
        <w:rPr>
          <w:sz w:val="22"/>
          <w:szCs w:val="22"/>
        </w:rPr>
      </w:pPr>
      <w:r w:rsidRPr="000A0E81">
        <w:rPr>
          <w:sz w:val="22"/>
          <w:szCs w:val="22"/>
        </w:rPr>
        <w:t xml:space="preserve">Ligų prevencijos funkcijai vykdyti </w:t>
      </w:r>
      <w:r>
        <w:rPr>
          <w:sz w:val="22"/>
          <w:szCs w:val="22"/>
        </w:rPr>
        <w:t xml:space="preserve">nuo 2006 m. </w:t>
      </w:r>
      <w:r w:rsidRPr="000A0E81">
        <w:rPr>
          <w:sz w:val="22"/>
          <w:szCs w:val="22"/>
        </w:rPr>
        <w:t>pradėti steigti savivaldybių visuomenės sveikatos biurai. Visuomenės sveikatos biurų paskirtis – darbas bendruomenėje, šios įstaigos yra pagrindiniai sveikatos žinių propaguotojai bendruomenėje. Kaip viešojo sektoriaus institucija, visuomenės sveikatos biuras neapsiriboja vien viešųjų paslaugų tiekimu. Rengiamos viešosios politikos kryptys, programos ir projektai. Globalioje, kintančioje aplinkoje reikalingi nauji politiniai konceptai, tačiau juos nelengva numatyti ir įgyvendinti. Todėl būtina nuolatos mokytis ir tobulinti viešojo sektoriaus strateginio valdymo žinias ir įgūdžius. Reikia ypač išmanyti strateginio planavimo procesus, galinčius kurti strategijas skirtingose situacijose, kai tikslai ir uždaviniai tarpusavyje nesuderinti.</w:t>
      </w:r>
    </w:p>
    <w:p w:rsidR="00995BE0" w:rsidRPr="004D3F26" w:rsidRDefault="00995BE0" w:rsidP="00851EF3">
      <w:pPr>
        <w:autoSpaceDE w:val="0"/>
        <w:autoSpaceDN w:val="0"/>
        <w:adjustRightInd w:val="0"/>
        <w:jc w:val="both"/>
        <w:rPr>
          <w:sz w:val="22"/>
          <w:szCs w:val="22"/>
        </w:rPr>
      </w:pPr>
      <w:r w:rsidRPr="004D3F26">
        <w:rPr>
          <w:sz w:val="22"/>
          <w:szCs w:val="22"/>
        </w:rPr>
        <w:t>Investicija į sveikatą yra investicija į šalies pažangos dabartį ir ateitį. Ši investicija nėra vien finansai, bet visų pirma šalies politinis įsipareigojimas visą valstybės socialinės struktūros sistemą, t. y. visų visuomenės socialinės-ekonominės veiklos sektorių veiklą orientuoti į sveikatos saugą, jos stiprinimą, ligų prevenciją. Tada sveikatos sektoriui atsiras daugiau galimybių atlikti savo tiesiogines pareigas bei prigimtines funkcijas (Jurgutis, 2009).</w:t>
      </w:r>
    </w:p>
    <w:p w:rsidR="00995BE0" w:rsidRPr="004D3F26" w:rsidRDefault="00995BE0" w:rsidP="00851EF3">
      <w:pPr>
        <w:jc w:val="both"/>
        <w:rPr>
          <w:b/>
          <w:sz w:val="22"/>
          <w:szCs w:val="22"/>
        </w:rPr>
      </w:pPr>
      <w:r w:rsidRPr="004D3F26">
        <w:rPr>
          <w:sz w:val="22"/>
          <w:szCs w:val="22"/>
        </w:rPr>
        <w:t>Dabartinėje 2007-2013 metų Šiaulių miesto visuomenės sveikatos priežiūros strategijoje iškelti prioritetai labiau atspindi pačią biuro veiklą, o ne aktualias savivaldybės problemas, į kurias būtina savalaikė reakcija. Reikia nepamiršti, kad gyvename greitai kintančioje ir nepastovioje aplinkoje, labai greitai viskas keičiasi, tad ir šios strategijos prioritetai nebeatitinka šiandieninių aktualijų.</w:t>
      </w:r>
    </w:p>
    <w:p w:rsidR="00995BE0" w:rsidRPr="000A0E81" w:rsidRDefault="00995BE0" w:rsidP="00851EF3">
      <w:pPr>
        <w:pStyle w:val="prastasistinklapis"/>
        <w:spacing w:before="0" w:beforeAutospacing="0" w:after="0" w:afterAutospacing="0"/>
        <w:jc w:val="both"/>
        <w:rPr>
          <w:sz w:val="22"/>
          <w:szCs w:val="22"/>
        </w:rPr>
      </w:pPr>
      <w:r w:rsidRPr="000A0E81">
        <w:rPr>
          <w:sz w:val="22"/>
          <w:szCs w:val="22"/>
        </w:rPr>
        <w:t>Strateginio valdymo problemas tyrė P. Drucker</w:t>
      </w:r>
      <w:r>
        <w:rPr>
          <w:sz w:val="22"/>
          <w:szCs w:val="22"/>
        </w:rPr>
        <w:t xml:space="preserve"> (1995)</w:t>
      </w:r>
      <w:r w:rsidRPr="000A0E81">
        <w:rPr>
          <w:sz w:val="22"/>
          <w:szCs w:val="22"/>
        </w:rPr>
        <w:t>, H. Mintzberg</w:t>
      </w:r>
      <w:r>
        <w:rPr>
          <w:sz w:val="22"/>
          <w:szCs w:val="22"/>
        </w:rPr>
        <w:t xml:space="preserve"> (1994, 1998)</w:t>
      </w:r>
      <w:r w:rsidRPr="000A0E81">
        <w:rPr>
          <w:sz w:val="22"/>
          <w:szCs w:val="22"/>
        </w:rPr>
        <w:t>, M.</w:t>
      </w:r>
      <w:r>
        <w:rPr>
          <w:sz w:val="22"/>
          <w:szCs w:val="22"/>
        </w:rPr>
        <w:t xml:space="preserve"> E.</w:t>
      </w:r>
      <w:r w:rsidRPr="000A0E81">
        <w:rPr>
          <w:sz w:val="22"/>
          <w:szCs w:val="22"/>
        </w:rPr>
        <w:t xml:space="preserve"> Porter</w:t>
      </w:r>
      <w:r>
        <w:rPr>
          <w:sz w:val="22"/>
          <w:szCs w:val="22"/>
        </w:rPr>
        <w:t xml:space="preserve"> (1998)</w:t>
      </w:r>
      <w:r w:rsidRPr="000A0E81">
        <w:rPr>
          <w:sz w:val="22"/>
          <w:szCs w:val="22"/>
        </w:rPr>
        <w:t>, J. Thomson, F. Martin</w:t>
      </w:r>
      <w:r>
        <w:rPr>
          <w:sz w:val="22"/>
          <w:szCs w:val="22"/>
        </w:rPr>
        <w:t xml:space="preserve"> (2005)</w:t>
      </w:r>
      <w:r w:rsidRPr="000A0E81">
        <w:rPr>
          <w:sz w:val="22"/>
          <w:szCs w:val="22"/>
        </w:rPr>
        <w:t>, G. A. Cole</w:t>
      </w:r>
      <w:r>
        <w:rPr>
          <w:sz w:val="22"/>
          <w:szCs w:val="22"/>
        </w:rPr>
        <w:t xml:space="preserve"> (1994), A. Vasiliauskas (2002, 2004</w:t>
      </w:r>
      <w:r w:rsidRPr="00270BDD">
        <w:rPr>
          <w:sz w:val="22"/>
          <w:szCs w:val="22"/>
        </w:rPr>
        <w:t>), J. A. F.</w:t>
      </w:r>
      <w:r>
        <w:rPr>
          <w:sz w:val="22"/>
          <w:szCs w:val="22"/>
        </w:rPr>
        <w:t xml:space="preserve"> </w:t>
      </w:r>
      <w:r w:rsidRPr="00270BDD">
        <w:rPr>
          <w:sz w:val="22"/>
          <w:szCs w:val="22"/>
        </w:rPr>
        <w:t>Stoner,</w:t>
      </w:r>
      <w:r>
        <w:rPr>
          <w:sz w:val="22"/>
          <w:szCs w:val="22"/>
        </w:rPr>
        <w:t xml:space="preserve"> </w:t>
      </w:r>
      <w:r w:rsidRPr="00270BDD">
        <w:rPr>
          <w:sz w:val="22"/>
          <w:szCs w:val="22"/>
        </w:rPr>
        <w:t>R. E., R.</w:t>
      </w:r>
      <w:r>
        <w:rPr>
          <w:sz w:val="22"/>
          <w:szCs w:val="22"/>
        </w:rPr>
        <w:t xml:space="preserve"> </w:t>
      </w:r>
      <w:r w:rsidRPr="00270BDD">
        <w:rPr>
          <w:sz w:val="22"/>
          <w:szCs w:val="22"/>
        </w:rPr>
        <w:lastRenderedPageBreak/>
        <w:t>Freeman, Jr. D. R.</w:t>
      </w:r>
      <w:r>
        <w:rPr>
          <w:sz w:val="22"/>
          <w:szCs w:val="22"/>
        </w:rPr>
        <w:t xml:space="preserve"> Gilbert</w:t>
      </w:r>
      <w:r w:rsidRPr="00270BDD">
        <w:rPr>
          <w:sz w:val="22"/>
          <w:szCs w:val="22"/>
        </w:rPr>
        <w:t xml:space="preserve"> (2005)</w:t>
      </w:r>
      <w:r>
        <w:rPr>
          <w:sz w:val="22"/>
          <w:szCs w:val="22"/>
        </w:rPr>
        <w:t>, G. Navin (1998)</w:t>
      </w:r>
      <w:r w:rsidRPr="000A0E81">
        <w:rPr>
          <w:sz w:val="22"/>
          <w:szCs w:val="22"/>
        </w:rPr>
        <w:t xml:space="preserve"> i</w:t>
      </w:r>
      <w:r>
        <w:rPr>
          <w:sz w:val="22"/>
          <w:szCs w:val="22"/>
        </w:rPr>
        <w:t>r kt. Lietuvos mokslininkai:</w:t>
      </w:r>
      <w:r w:rsidRPr="000A0E81">
        <w:rPr>
          <w:sz w:val="22"/>
          <w:szCs w:val="22"/>
        </w:rPr>
        <w:t xml:space="preserve"> E. Smilga, A. Grebliauskas</w:t>
      </w:r>
      <w:r>
        <w:rPr>
          <w:sz w:val="22"/>
          <w:szCs w:val="22"/>
        </w:rPr>
        <w:t xml:space="preserve"> (2000)</w:t>
      </w:r>
      <w:r w:rsidRPr="000A0E81">
        <w:rPr>
          <w:sz w:val="22"/>
          <w:szCs w:val="22"/>
        </w:rPr>
        <w:t>, B. Melnikas, R. Smaliukienė</w:t>
      </w:r>
      <w:r>
        <w:rPr>
          <w:sz w:val="22"/>
          <w:szCs w:val="22"/>
        </w:rPr>
        <w:t xml:space="preserve"> (2007)</w:t>
      </w:r>
      <w:r w:rsidRPr="000A0E81">
        <w:rPr>
          <w:sz w:val="22"/>
          <w:szCs w:val="22"/>
        </w:rPr>
        <w:t>, A. Bosas</w:t>
      </w:r>
      <w:r>
        <w:rPr>
          <w:sz w:val="22"/>
          <w:szCs w:val="22"/>
        </w:rPr>
        <w:t xml:space="preserve"> (2002, 2004), J. Staponkienė (2004)</w:t>
      </w:r>
      <w:r w:rsidRPr="000A0E81">
        <w:rPr>
          <w:sz w:val="22"/>
          <w:szCs w:val="22"/>
        </w:rPr>
        <w:t xml:space="preserve"> ir kt. Sveikatos politiką tyrinėjo V. Grabauskas</w:t>
      </w:r>
      <w:r>
        <w:rPr>
          <w:sz w:val="22"/>
          <w:szCs w:val="22"/>
        </w:rPr>
        <w:t xml:space="preserve"> (1997, 2004, 2009)</w:t>
      </w:r>
      <w:r w:rsidRPr="000A0E81">
        <w:rPr>
          <w:sz w:val="22"/>
          <w:szCs w:val="22"/>
        </w:rPr>
        <w:t>, R. Kalėdienė</w:t>
      </w:r>
      <w:r>
        <w:rPr>
          <w:sz w:val="22"/>
          <w:szCs w:val="22"/>
        </w:rPr>
        <w:t xml:space="preserve"> (2004)</w:t>
      </w:r>
      <w:r w:rsidRPr="000A0E81">
        <w:rPr>
          <w:sz w:val="22"/>
          <w:szCs w:val="22"/>
        </w:rPr>
        <w:t>, D. Jankauskienė, R. Pečiūra</w:t>
      </w:r>
      <w:r>
        <w:rPr>
          <w:sz w:val="22"/>
          <w:szCs w:val="22"/>
        </w:rPr>
        <w:t xml:space="preserve"> (2007)</w:t>
      </w:r>
      <w:r w:rsidRPr="000A0E81">
        <w:rPr>
          <w:sz w:val="22"/>
          <w:szCs w:val="22"/>
        </w:rPr>
        <w:t>, L. Gustaitienė</w:t>
      </w:r>
      <w:r>
        <w:rPr>
          <w:sz w:val="22"/>
          <w:szCs w:val="22"/>
        </w:rPr>
        <w:t xml:space="preserve"> (2003) R. </w:t>
      </w:r>
      <w:r w:rsidRPr="009D5922">
        <w:rPr>
          <w:sz w:val="22"/>
          <w:szCs w:val="22"/>
        </w:rPr>
        <w:t>Kalėdienė, J.</w:t>
      </w:r>
      <w:r>
        <w:rPr>
          <w:sz w:val="22"/>
          <w:szCs w:val="22"/>
        </w:rPr>
        <w:t xml:space="preserve"> </w:t>
      </w:r>
      <w:r w:rsidRPr="009D5922">
        <w:rPr>
          <w:sz w:val="22"/>
          <w:szCs w:val="22"/>
        </w:rPr>
        <w:t>Petrauskienė, A. Rimpela (1999)</w:t>
      </w:r>
      <w:r w:rsidRPr="000A0E81">
        <w:rPr>
          <w:sz w:val="22"/>
          <w:szCs w:val="22"/>
        </w:rPr>
        <w:t>. Sveikatos organizacijų strateginį valdymą išsamiai analizavo E. Smilga, K. Janušonienė</w:t>
      </w:r>
      <w:r>
        <w:rPr>
          <w:sz w:val="22"/>
          <w:szCs w:val="22"/>
        </w:rPr>
        <w:t xml:space="preserve"> (2003, 2005, 2006, 2007, 2009)</w:t>
      </w:r>
      <w:r w:rsidRPr="000A0E81">
        <w:rPr>
          <w:sz w:val="22"/>
          <w:szCs w:val="22"/>
        </w:rPr>
        <w:t>, V. Janušonis</w:t>
      </w:r>
      <w:r>
        <w:rPr>
          <w:sz w:val="22"/>
          <w:szCs w:val="22"/>
        </w:rPr>
        <w:t xml:space="preserve"> (2000)</w:t>
      </w:r>
      <w:r w:rsidRPr="000A0E81">
        <w:rPr>
          <w:sz w:val="22"/>
          <w:szCs w:val="22"/>
        </w:rPr>
        <w:t>, J. Koteen</w:t>
      </w:r>
      <w:r>
        <w:rPr>
          <w:sz w:val="22"/>
          <w:szCs w:val="22"/>
        </w:rPr>
        <w:t xml:space="preserve"> (1988)</w:t>
      </w:r>
      <w:r w:rsidRPr="000A0E81">
        <w:rPr>
          <w:sz w:val="22"/>
          <w:szCs w:val="22"/>
        </w:rPr>
        <w:t>, C. A. Enz</w:t>
      </w:r>
      <w:r>
        <w:rPr>
          <w:sz w:val="22"/>
          <w:szCs w:val="22"/>
        </w:rPr>
        <w:t xml:space="preserve"> (2010)</w:t>
      </w:r>
      <w:r w:rsidRPr="000A0E81">
        <w:rPr>
          <w:sz w:val="22"/>
          <w:szCs w:val="22"/>
        </w:rPr>
        <w:t xml:space="preserve"> ir kiti mokslininkai.</w:t>
      </w:r>
    </w:p>
    <w:p w:rsidR="00995BE0" w:rsidRPr="000A0E81" w:rsidRDefault="00995BE0" w:rsidP="00851EF3">
      <w:pPr>
        <w:shd w:val="clear" w:color="auto" w:fill="FFFFFF"/>
        <w:jc w:val="both"/>
        <w:rPr>
          <w:spacing w:val="2"/>
          <w:sz w:val="22"/>
          <w:szCs w:val="22"/>
        </w:rPr>
      </w:pPr>
      <w:r w:rsidRPr="000A0E81">
        <w:rPr>
          <w:b/>
          <w:spacing w:val="2"/>
          <w:sz w:val="22"/>
          <w:szCs w:val="22"/>
        </w:rPr>
        <w:t>Tyrimo objektas</w:t>
      </w:r>
      <w:r>
        <w:rPr>
          <w:b/>
          <w:spacing w:val="2"/>
          <w:sz w:val="22"/>
          <w:szCs w:val="22"/>
        </w:rPr>
        <w:t>:</w:t>
      </w:r>
      <w:r w:rsidRPr="000A0E81">
        <w:rPr>
          <w:b/>
          <w:i/>
          <w:spacing w:val="2"/>
          <w:sz w:val="22"/>
          <w:szCs w:val="22"/>
        </w:rPr>
        <w:t xml:space="preserve"> </w:t>
      </w:r>
      <w:r w:rsidRPr="000A0E81">
        <w:rPr>
          <w:spacing w:val="2"/>
          <w:sz w:val="22"/>
          <w:szCs w:val="22"/>
        </w:rPr>
        <w:t>Šiaulių visuomenės sveikatos</w:t>
      </w:r>
      <w:r>
        <w:rPr>
          <w:spacing w:val="2"/>
          <w:sz w:val="22"/>
          <w:szCs w:val="22"/>
        </w:rPr>
        <w:t xml:space="preserve"> (toliau - VS)</w:t>
      </w:r>
      <w:r w:rsidRPr="000A0E81">
        <w:rPr>
          <w:spacing w:val="2"/>
          <w:sz w:val="22"/>
          <w:szCs w:val="22"/>
        </w:rPr>
        <w:t xml:space="preserve"> biuro</w:t>
      </w:r>
      <w:r w:rsidRPr="000A0E81">
        <w:rPr>
          <w:sz w:val="22"/>
          <w:szCs w:val="22"/>
        </w:rPr>
        <w:t xml:space="preserve"> veikla</w:t>
      </w:r>
      <w:r w:rsidRPr="000A0E81">
        <w:rPr>
          <w:spacing w:val="2"/>
          <w:sz w:val="22"/>
          <w:szCs w:val="22"/>
        </w:rPr>
        <w:t>.</w:t>
      </w:r>
    </w:p>
    <w:p w:rsidR="00995BE0" w:rsidRPr="000A0E81" w:rsidRDefault="00995BE0" w:rsidP="00851EF3">
      <w:pPr>
        <w:autoSpaceDE w:val="0"/>
        <w:autoSpaceDN w:val="0"/>
        <w:adjustRightInd w:val="0"/>
        <w:jc w:val="both"/>
        <w:rPr>
          <w:sz w:val="22"/>
          <w:szCs w:val="22"/>
        </w:rPr>
      </w:pPr>
      <w:r w:rsidRPr="000A0E81">
        <w:rPr>
          <w:b/>
          <w:sz w:val="22"/>
          <w:szCs w:val="22"/>
        </w:rPr>
        <w:t>Tyrimo dalykas:</w:t>
      </w:r>
      <w:r w:rsidRPr="000A0E81">
        <w:rPr>
          <w:sz w:val="22"/>
          <w:szCs w:val="22"/>
        </w:rPr>
        <w:t xml:space="preserve"> Šiaulių miesto savivaldybės visuomenės sveikatos biuro</w:t>
      </w:r>
      <w:r>
        <w:rPr>
          <w:sz w:val="22"/>
          <w:szCs w:val="22"/>
        </w:rPr>
        <w:t xml:space="preserve"> veiklos strateginiai prioritetai</w:t>
      </w:r>
      <w:r w:rsidRPr="000A0E81">
        <w:rPr>
          <w:sz w:val="22"/>
          <w:szCs w:val="22"/>
        </w:rPr>
        <w:t>.</w:t>
      </w:r>
    </w:p>
    <w:p w:rsidR="00995BE0" w:rsidRPr="000A0E81" w:rsidRDefault="00995BE0" w:rsidP="00851EF3">
      <w:pPr>
        <w:jc w:val="both"/>
        <w:rPr>
          <w:sz w:val="22"/>
          <w:szCs w:val="22"/>
        </w:rPr>
      </w:pPr>
      <w:r w:rsidRPr="000A0E81">
        <w:rPr>
          <w:b/>
          <w:sz w:val="22"/>
          <w:szCs w:val="22"/>
        </w:rPr>
        <w:t>Tyrimo tikslas:</w:t>
      </w:r>
      <w:r w:rsidRPr="000A0E81">
        <w:rPr>
          <w:sz w:val="22"/>
          <w:szCs w:val="22"/>
        </w:rPr>
        <w:t xml:space="preserve"> suformuoti ir pagrįsti visuomenės</w:t>
      </w:r>
      <w:r w:rsidRPr="000A0E81">
        <w:rPr>
          <w:b/>
          <w:sz w:val="22"/>
          <w:szCs w:val="22"/>
        </w:rPr>
        <w:t xml:space="preserve"> </w:t>
      </w:r>
      <w:r w:rsidRPr="000A0E81">
        <w:rPr>
          <w:sz w:val="22"/>
          <w:szCs w:val="22"/>
        </w:rPr>
        <w:t>sveikatos biuro veiklos strategi</w:t>
      </w:r>
      <w:r>
        <w:rPr>
          <w:sz w:val="22"/>
          <w:szCs w:val="22"/>
        </w:rPr>
        <w:t>nius prioritetus</w:t>
      </w:r>
      <w:r w:rsidRPr="000A0E81">
        <w:rPr>
          <w:sz w:val="22"/>
          <w:szCs w:val="22"/>
        </w:rPr>
        <w:t>.</w:t>
      </w:r>
    </w:p>
    <w:p w:rsidR="00995BE0" w:rsidRPr="000A0E81" w:rsidRDefault="00995BE0" w:rsidP="00851EF3">
      <w:pPr>
        <w:jc w:val="both"/>
        <w:rPr>
          <w:b/>
          <w:sz w:val="22"/>
          <w:szCs w:val="22"/>
        </w:rPr>
      </w:pPr>
      <w:r w:rsidRPr="000A0E81">
        <w:rPr>
          <w:b/>
          <w:sz w:val="22"/>
          <w:szCs w:val="22"/>
        </w:rPr>
        <w:t>Tyrimo uždaviniai:</w:t>
      </w:r>
    </w:p>
    <w:p w:rsidR="00995BE0" w:rsidRPr="005E6B1C" w:rsidRDefault="00995BE0" w:rsidP="00851EF3">
      <w:pPr>
        <w:numPr>
          <w:ilvl w:val="0"/>
          <w:numId w:val="2"/>
        </w:numPr>
        <w:jc w:val="both"/>
        <w:rPr>
          <w:sz w:val="22"/>
          <w:szCs w:val="22"/>
        </w:rPr>
      </w:pPr>
      <w:r>
        <w:rPr>
          <w:sz w:val="22"/>
          <w:szCs w:val="22"/>
        </w:rPr>
        <w:t>Apibūdinti pagrindinius strateginius dokumentus ir teisės aktus, reglamentuojančius visuomenės sveikatos apsaugą;</w:t>
      </w:r>
    </w:p>
    <w:p w:rsidR="00995BE0" w:rsidRPr="005E6B1C" w:rsidRDefault="00995BE0" w:rsidP="00851EF3">
      <w:pPr>
        <w:numPr>
          <w:ilvl w:val="0"/>
          <w:numId w:val="2"/>
        </w:numPr>
        <w:jc w:val="both"/>
        <w:rPr>
          <w:sz w:val="22"/>
          <w:szCs w:val="22"/>
        </w:rPr>
      </w:pPr>
      <w:r>
        <w:rPr>
          <w:sz w:val="22"/>
          <w:szCs w:val="22"/>
        </w:rPr>
        <w:t>Išanalizuoti</w:t>
      </w:r>
      <w:r w:rsidRPr="005E6B1C">
        <w:rPr>
          <w:sz w:val="22"/>
          <w:szCs w:val="22"/>
        </w:rPr>
        <w:t xml:space="preserve"> Šiaulių </w:t>
      </w:r>
      <w:r>
        <w:rPr>
          <w:sz w:val="22"/>
          <w:szCs w:val="22"/>
        </w:rPr>
        <w:t>miesto gyventojų sveikatos situaciją;</w:t>
      </w:r>
    </w:p>
    <w:p w:rsidR="00995BE0" w:rsidRDefault="00995BE0" w:rsidP="00851EF3">
      <w:pPr>
        <w:numPr>
          <w:ilvl w:val="0"/>
          <w:numId w:val="2"/>
        </w:numPr>
        <w:jc w:val="both"/>
        <w:rPr>
          <w:sz w:val="22"/>
          <w:szCs w:val="22"/>
        </w:rPr>
      </w:pPr>
      <w:r>
        <w:rPr>
          <w:sz w:val="22"/>
          <w:szCs w:val="22"/>
        </w:rPr>
        <w:t>Apibendrinti ekspertų nuostatas dėl visuomenės sveikatos biuro veiklos tobulinimo;</w:t>
      </w:r>
    </w:p>
    <w:p w:rsidR="00995BE0" w:rsidRPr="005E6B1C" w:rsidRDefault="00995BE0" w:rsidP="00851EF3">
      <w:pPr>
        <w:numPr>
          <w:ilvl w:val="0"/>
          <w:numId w:val="2"/>
        </w:numPr>
        <w:jc w:val="both"/>
        <w:rPr>
          <w:sz w:val="22"/>
          <w:szCs w:val="22"/>
        </w:rPr>
      </w:pPr>
      <w:r>
        <w:rPr>
          <w:sz w:val="22"/>
          <w:szCs w:val="22"/>
        </w:rPr>
        <w:t>Atlikti</w:t>
      </w:r>
      <w:r w:rsidRPr="005E6B1C">
        <w:rPr>
          <w:sz w:val="22"/>
          <w:szCs w:val="22"/>
        </w:rPr>
        <w:t xml:space="preserve"> Šiaulių VS biuro </w:t>
      </w:r>
      <w:r>
        <w:rPr>
          <w:sz w:val="22"/>
          <w:szCs w:val="22"/>
        </w:rPr>
        <w:t>prioritetų analizę</w:t>
      </w:r>
      <w:r w:rsidRPr="005E6B1C">
        <w:rPr>
          <w:sz w:val="22"/>
          <w:szCs w:val="22"/>
        </w:rPr>
        <w:t>.</w:t>
      </w:r>
    </w:p>
    <w:p w:rsidR="00995BE0" w:rsidRDefault="00995BE0" w:rsidP="00851EF3">
      <w:pPr>
        <w:autoSpaceDE w:val="0"/>
        <w:autoSpaceDN w:val="0"/>
        <w:adjustRightInd w:val="0"/>
        <w:jc w:val="both"/>
        <w:rPr>
          <w:sz w:val="22"/>
          <w:szCs w:val="22"/>
        </w:rPr>
      </w:pPr>
      <w:r w:rsidRPr="005E6B1C">
        <w:rPr>
          <w:sz w:val="22"/>
          <w:szCs w:val="22"/>
        </w:rPr>
        <w:t>Tyrime naudoti teoriniai (analizė, apibendrinimas, sisteminimas) ir empiriniai (dokumentų analizė, nestruktūrizuotas ekspertų interviu) tyrimo metodai ir statistinė</w:t>
      </w:r>
      <w:r>
        <w:rPr>
          <w:sz w:val="22"/>
          <w:szCs w:val="22"/>
        </w:rPr>
        <w:t>s</w:t>
      </w:r>
      <w:r w:rsidRPr="005E6B1C">
        <w:rPr>
          <w:sz w:val="22"/>
          <w:szCs w:val="22"/>
        </w:rPr>
        <w:t xml:space="preserve"> tyrimo duomenų analizės metodas. Mokslinės literatūros ir teisinės bazės analizė naudojama siekiant apžvelgti strateginio valdymo ypatumus ir aspektus, kurie pagrindžia strateginio valdymo privalumus visuomenės sveikatos biurui. Aptariamos visuomenės sveikatos biurų kūrimosi priežastys, jų reikšmingumas, įgyvendinant šalyje visuomenės sveikatos priežiūros reformą. Daugkartinio nestruktūrizuoto interviu metodu buvo apklausti 8 ekspertai</w:t>
      </w:r>
      <w:r>
        <w:rPr>
          <w:sz w:val="22"/>
          <w:szCs w:val="22"/>
        </w:rPr>
        <w:t>.</w:t>
      </w:r>
    </w:p>
    <w:p w:rsidR="00995BE0" w:rsidRPr="001A7C5E" w:rsidRDefault="00995BE0" w:rsidP="00851EF3">
      <w:pPr>
        <w:rPr>
          <w:sz w:val="22"/>
          <w:szCs w:val="22"/>
        </w:rPr>
      </w:pPr>
    </w:p>
    <w:p w:rsidR="00995BE0" w:rsidRPr="001A7C5E" w:rsidRDefault="00995BE0" w:rsidP="00851EF3">
      <w:pPr>
        <w:jc w:val="both"/>
        <w:rPr>
          <w:sz w:val="22"/>
          <w:szCs w:val="22"/>
        </w:rPr>
      </w:pPr>
      <w:r w:rsidRPr="001A7C5E">
        <w:rPr>
          <w:rStyle w:val="Knygospavadinimas"/>
          <w:bCs w:val="0"/>
          <w:smallCaps w:val="0"/>
          <w:sz w:val="22"/>
          <w:szCs w:val="22"/>
        </w:rPr>
        <w:t xml:space="preserve">Strateginis valdymas ir jo taikymas sveikatos apsaugos sistemoje. </w:t>
      </w:r>
      <w:r w:rsidRPr="001A7C5E">
        <w:rPr>
          <w:sz w:val="22"/>
          <w:szCs w:val="22"/>
        </w:rPr>
        <w:t>1978 m. Danas Schendelis ir Charkesas Hoferis sukūrė sudėtinį strateginio valdymo apibrėžimą. Jis buvo grindžiamas principu, kad bendras organizacijos sumanymas gali būti išsamiai aprašytas, greta organizacijos politikos ir strategijos nurodant siekiamus tikslus – kaip pagrindinius strateginio valdymo proceso veiksnius. Apibendrindami Hoferis ir Schandelis dėmesį sutelkė į keturis strateginio valdymo aspektus. Pirmasis – tikslo nustatymas. Antrasis – strategijos formulavimas, grindžiamas tais tikslais. Po to strategijos įgyvendinimas, t.y. perėjimas nuo analizės prie administravimo – užduoties pasiekti numatytu tikslu. Paskutinė užduotis – strateginė kontrolė – teikia vadovams grįžtamąjį ryšį. Žinoma, neigiamas grįžtamasi ryšys gali sukelti naują strateginio planavimo ciklą (Stoner, ir kt. 2005).</w:t>
      </w:r>
    </w:p>
    <w:p w:rsidR="00995BE0" w:rsidRPr="001A7C5E" w:rsidRDefault="00995BE0" w:rsidP="00851EF3">
      <w:pPr>
        <w:pStyle w:val="Pagrindinistekstas"/>
        <w:spacing w:after="0"/>
        <w:jc w:val="both"/>
        <w:rPr>
          <w:sz w:val="22"/>
          <w:szCs w:val="22"/>
          <w:lang w:val="lt-LT"/>
        </w:rPr>
      </w:pPr>
      <w:r w:rsidRPr="001A7C5E">
        <w:rPr>
          <w:sz w:val="22"/>
          <w:szCs w:val="22"/>
          <w:lang w:val="lt-LT"/>
        </w:rPr>
        <w:t>Strateginis valdymas taikomas viešajame sektoriuje – specifinis. Anot Staponkienės (2004), viešasis sektorius pagal tradicinį modelį rūpinasi visuomene, remdamasis hierarchinių struktūrų, atliepiančių politines nuostatas, sistema. Viešojo sektoriaus institucijos reikalingos apibrėžti atitinkamos veiklos srities politikai, jai įgyvendinti ir administruoti.</w:t>
      </w:r>
    </w:p>
    <w:p w:rsidR="00995BE0" w:rsidRPr="00503174" w:rsidRDefault="00995BE0" w:rsidP="00851EF3">
      <w:pPr>
        <w:autoSpaceDE w:val="0"/>
        <w:autoSpaceDN w:val="0"/>
        <w:adjustRightInd w:val="0"/>
        <w:jc w:val="both"/>
        <w:rPr>
          <w:sz w:val="22"/>
          <w:szCs w:val="22"/>
        </w:rPr>
      </w:pPr>
      <w:r w:rsidRPr="00503174">
        <w:rPr>
          <w:sz w:val="22"/>
          <w:szCs w:val="22"/>
        </w:rPr>
        <w:t>Viešosios įstaigos paprastai turi daugybę tikslų, kurie yra sudaryti politiškai bei konkuruojantys tarpusavyje (Rainey, 2003). Todėl, ar viešoji įstaiga keis savo valdymo veiklą, priklausys nuo veiklos vykdymo apimčių (pavyzdžiui, produktyvumo, efektyvumo ir bešališkumo) ir taip pat organizacijos išlikimo svarbumo suvokimo (Gedvilaitė – Moan, Zakarevičius, 2010).</w:t>
      </w:r>
    </w:p>
    <w:p w:rsidR="00995BE0" w:rsidRPr="00503174" w:rsidRDefault="00995BE0" w:rsidP="00851EF3">
      <w:pPr>
        <w:autoSpaceDE w:val="0"/>
        <w:autoSpaceDN w:val="0"/>
        <w:adjustRightInd w:val="0"/>
        <w:jc w:val="both"/>
        <w:rPr>
          <w:sz w:val="22"/>
          <w:szCs w:val="22"/>
        </w:rPr>
      </w:pPr>
      <w:r w:rsidRPr="00503174">
        <w:rPr>
          <w:sz w:val="22"/>
          <w:szCs w:val="22"/>
        </w:rPr>
        <w:t>Strateginis šiuolaikinės sveikatos priežiūros tikslas – aktyvinti individų, grupių bei organizacijų dalyvavimą diegiant įvairias sveikatos gerinimo programas, skatinant sveikatos paslaugų teikėjų ir vartotojų dialogą, ugdant pacientų atsakomybę už savo sveikatą.</w:t>
      </w:r>
    </w:p>
    <w:p w:rsidR="00995BE0" w:rsidRPr="00503174" w:rsidRDefault="00995BE0" w:rsidP="00851EF3">
      <w:pPr>
        <w:jc w:val="both"/>
        <w:rPr>
          <w:sz w:val="22"/>
          <w:szCs w:val="22"/>
        </w:rPr>
      </w:pPr>
      <w:r w:rsidRPr="00503174">
        <w:rPr>
          <w:sz w:val="22"/>
          <w:szCs w:val="22"/>
        </w:rPr>
        <w:t xml:space="preserve">Sveikatos priežiūros svarba ir jos poveikis globaliniui ekonominiui vystymuisi traukia daugelio teoretikų, visuomenės, ir privataus kapitalo savininkų dėmesį (Smilga, Janušonienė, 2009). Vienas iš didžiausių šiuolaikinių sveikatos apsaugos sektoriaus iššūkių – identifikuoti ir planuoti savo veiklą, kuri padėtų spręsti problemas, kurios susijusios su socialiniais/demografiniais pokyčiais, ekonominėmis sąlygomis, įstatymų leidyba, politiniais sprendimais. XXI a. tiek viešos, tiek ir privačios sveikatos apsaugos įstaigos susiduria su minėtais pokyčiais, tačiau ne visi vadovai pasiruošę ir geba juos atlaikyti bei išgyventi. </w:t>
      </w:r>
      <w:r w:rsidRPr="00503174">
        <w:rPr>
          <w:sz w:val="22"/>
          <w:szCs w:val="22"/>
          <w:lang w:eastAsia="ar-SA"/>
        </w:rPr>
        <w:t xml:space="preserve">Sėkmingai besivystančios sveikatos apsaugos organizacijos turi vadovus, kurie supranta išorinių pokyčių reikšmę, geba vykdyti efektyvias strategijas, kurios įveikia pokyčius. Šie gebėjimai kartu apjungia tai, ką vadiname „strateginis valdymas“ (Swayne ir kt., 2006). </w:t>
      </w:r>
      <w:r w:rsidRPr="00503174">
        <w:rPr>
          <w:sz w:val="22"/>
          <w:szCs w:val="22"/>
        </w:rPr>
        <w:t xml:space="preserve">Strateginio valdymo problematika sveikatos apsaugos sistemoje apima tikslų sistemos aspektą ir išteklius, tokius kaip: finansai, personalas, technologijos, valdymo schemos, informacija, patirtis ir žinios (Мintzberg, Lampel, Quinn, Ghoshal, 2002; Ackoff, 1981; Januрonis, 2000). Sveikatos apsaugos sistema turлtш apimti visas veiklos kryptis, kurios turi бtakos юmoniш sveikatai: ekonomika, ekologija, socialinл apsauga, sveikatos apsauga. Problemos turлtш bыti sprendюiamos kompleksiрkai, integruotai. Strateginio potencialo plлtra sveikatos apsaugos sistemoje (kaip, beje, ir </w:t>
      </w:r>
      <w:r w:rsidRPr="00503174">
        <w:rPr>
          <w:sz w:val="22"/>
          <w:szCs w:val="22"/>
        </w:rPr>
        <w:lastRenderedPageBreak/>
        <w:t>pramonлs, verslo, paslaugш, kultыros, mokslo ir kt. sferose) yra svarbi sudedamoji siekiant strateginiш tikslш (Ansoff, 1989; Koteen, 1988; Drucker, 1995).</w:t>
      </w:r>
    </w:p>
    <w:p w:rsidR="00995BE0" w:rsidRPr="00503174" w:rsidRDefault="00995BE0" w:rsidP="00851EF3">
      <w:pPr>
        <w:jc w:val="both"/>
        <w:rPr>
          <w:sz w:val="22"/>
          <w:szCs w:val="22"/>
        </w:rPr>
      </w:pPr>
      <w:r w:rsidRPr="00503174">
        <w:rPr>
          <w:sz w:val="22"/>
          <w:szCs w:val="22"/>
        </w:rPr>
        <w:t xml:space="preserve">Sveikatos apsauga yra viena valstybлs vystymo strategijos posistemiш, glaudюiai susijusi su bendru ekonomikos ir infrastruktыros raidos tikslu ar jш sistema (Smilga, Grebliauskas, 2000; Smilga, 1997). Modernioji vadyba leidюia paюvelgti б sveikatos apsaugos sistemа kaip б vienа sudлtiniш valstybлs strateginio valdymo posistemiш (Smilga, Januрonienл, 2005). Autoriai teigia, kad efektyvesnл sveikatos apsaugos sistemos politika бmanoma tik suderinus visш valstybлs vystymo strategijos posistemiш tikslus ir veiklа tiek рalies viduje, tiek ES regiono atюvilgiu. </w:t>
      </w:r>
    </w:p>
    <w:p w:rsidR="00995BE0" w:rsidRPr="001A7C5E" w:rsidRDefault="00995BE0" w:rsidP="00851EF3">
      <w:pPr>
        <w:jc w:val="both"/>
        <w:rPr>
          <w:sz w:val="22"/>
          <w:szCs w:val="22"/>
        </w:rPr>
      </w:pPr>
      <w:r w:rsidRPr="001A7C5E">
        <w:rPr>
          <w:sz w:val="22"/>
          <w:szCs w:val="22"/>
        </w:rPr>
        <w:t>S. L. Syme (1996) teigia, kad būtina visuomenės sveikatos problemas sprendžianti strategija, kur sveikatos būklės rodikliai būtų išdėstyti remiantis kompleksiniais, dinamiškais ir sąveikaujančiais socialiniais tarpusavio santykiais, kuriuos nustatytų socialinės institucijos ir organizacijos, įskaitant šeimas, bendruomenes, darbo vietas. Kiekvienas žmogus turėtų suvokti, jog ne Sveikatos apsaugos ministerija, ne ligoninė ar tam tikras gydytojas pagerins jo sveikatą, o jis pats turi prisiimti asmeninę atsakomybę už ją (Smilga, Janušonienė, 2005).</w:t>
      </w:r>
    </w:p>
    <w:p w:rsidR="00995BE0" w:rsidRPr="002E3512" w:rsidRDefault="00995BE0" w:rsidP="00851EF3">
      <w:pPr>
        <w:jc w:val="both"/>
        <w:rPr>
          <w:sz w:val="22"/>
          <w:szCs w:val="22"/>
        </w:rPr>
      </w:pPr>
      <w:r w:rsidRPr="002E3512">
        <w:rPr>
          <w:b/>
          <w:sz w:val="22"/>
          <w:szCs w:val="22"/>
        </w:rPr>
        <w:t xml:space="preserve">Pagrindiniai </w:t>
      </w:r>
      <w:r>
        <w:rPr>
          <w:b/>
          <w:sz w:val="22"/>
          <w:szCs w:val="22"/>
        </w:rPr>
        <w:t xml:space="preserve">strateginiai dokumentai ir </w:t>
      </w:r>
      <w:r w:rsidRPr="002E3512">
        <w:rPr>
          <w:b/>
          <w:sz w:val="22"/>
          <w:szCs w:val="22"/>
        </w:rPr>
        <w:t xml:space="preserve">teisės </w:t>
      </w:r>
      <w:r w:rsidRPr="004D3F26">
        <w:rPr>
          <w:b/>
          <w:sz w:val="22"/>
          <w:szCs w:val="22"/>
        </w:rPr>
        <w:t>aktai,</w:t>
      </w:r>
      <w:r w:rsidRPr="002E3512">
        <w:rPr>
          <w:b/>
          <w:sz w:val="22"/>
          <w:szCs w:val="22"/>
        </w:rPr>
        <w:t xml:space="preserve"> regla</w:t>
      </w:r>
      <w:r>
        <w:rPr>
          <w:b/>
          <w:sz w:val="22"/>
          <w:szCs w:val="22"/>
        </w:rPr>
        <w:t xml:space="preserve">mentuojantys visuomenės sveikatos apsaugą </w:t>
      </w:r>
      <w:r w:rsidRPr="002E3512">
        <w:rPr>
          <w:b/>
          <w:sz w:val="22"/>
          <w:szCs w:val="22"/>
        </w:rPr>
        <w:t>ES</w:t>
      </w:r>
      <w:r>
        <w:rPr>
          <w:b/>
          <w:sz w:val="22"/>
          <w:szCs w:val="22"/>
        </w:rPr>
        <w:t xml:space="preserve">. </w:t>
      </w:r>
      <w:r w:rsidRPr="002E3512">
        <w:rPr>
          <w:sz w:val="22"/>
          <w:szCs w:val="22"/>
        </w:rPr>
        <w:t>ES įsipareigojimų savo gyventojų sveikatai istorinė raida klostėsi taip:</w:t>
      </w:r>
    </w:p>
    <w:p w:rsidR="00995BE0" w:rsidRPr="002E3512" w:rsidRDefault="00995BE0" w:rsidP="00851EF3">
      <w:pPr>
        <w:jc w:val="both"/>
        <w:rPr>
          <w:sz w:val="22"/>
          <w:szCs w:val="22"/>
        </w:rPr>
      </w:pPr>
      <w:r w:rsidRPr="002E3512">
        <w:rPr>
          <w:sz w:val="22"/>
          <w:szCs w:val="22"/>
        </w:rPr>
        <w:t>1987 m. suvestiniu Europos aktu (100 a ir 118  straipsniai) pripažintos nuostatos, reglamentuojančios sveikatos apsaugos ir darbo aplinkos taisyklių derinimą;</w:t>
      </w:r>
    </w:p>
    <w:p w:rsidR="00995BE0" w:rsidRPr="002E3512" w:rsidRDefault="00995BE0" w:rsidP="00851EF3">
      <w:pPr>
        <w:jc w:val="both"/>
        <w:rPr>
          <w:sz w:val="22"/>
          <w:szCs w:val="22"/>
        </w:rPr>
      </w:pPr>
      <w:r w:rsidRPr="002E3512">
        <w:rPr>
          <w:sz w:val="22"/>
          <w:szCs w:val="22"/>
        </w:rPr>
        <w:t>1992 m. – Mastrichto sutartis, įsigaliojusi 1993 m., aplinkos apsaugos 130 straipsnis ir vartotojų apsaugos 129 straipsnis jau reglamentuoja visuomenės sveikatos veiksmus. Tuometinės sutartį pasirašiusios ES šalys savo visuomenės sveikatos programoje numatė 8 prioritetines veiklos sritis;</w:t>
      </w:r>
    </w:p>
    <w:p w:rsidR="00995BE0" w:rsidRPr="002E3512" w:rsidRDefault="00995BE0" w:rsidP="00851EF3">
      <w:pPr>
        <w:jc w:val="both"/>
        <w:rPr>
          <w:sz w:val="22"/>
          <w:szCs w:val="22"/>
        </w:rPr>
      </w:pPr>
      <w:r w:rsidRPr="002E3512">
        <w:rPr>
          <w:sz w:val="22"/>
          <w:szCs w:val="22"/>
        </w:rPr>
        <w:t>1997 m. – Amsterdamo sutartis, kurią pasirašė 15 šalių ir kuri įsigaliojo 1999 m., numatė tolesnę ES sveikatos politikos plėtrą. Jos 152 straipsnis įpareigojo užtikrinti veiksmingą sveikatos apsaugą tobulinant ir įgyvendinant bet kurios srities Europos politiką;</w:t>
      </w:r>
    </w:p>
    <w:p w:rsidR="00995BE0" w:rsidRPr="002E3512" w:rsidRDefault="00995BE0" w:rsidP="00851EF3">
      <w:pPr>
        <w:jc w:val="both"/>
        <w:rPr>
          <w:sz w:val="22"/>
          <w:szCs w:val="22"/>
        </w:rPr>
      </w:pPr>
      <w:r w:rsidRPr="002E3512">
        <w:rPr>
          <w:sz w:val="22"/>
          <w:szCs w:val="22"/>
        </w:rPr>
        <w:t xml:space="preserve">1998 m. PSO Europos regiono komitetas priėmė Europos strategiją „Sveikata 21“ - pagrindiniai PSO visuomenės sveikatos priežiūros principai Europos regione. </w:t>
      </w:r>
    </w:p>
    <w:p w:rsidR="00995BE0" w:rsidRPr="002E3512" w:rsidRDefault="00995BE0" w:rsidP="00851EF3">
      <w:pPr>
        <w:jc w:val="both"/>
        <w:rPr>
          <w:sz w:val="22"/>
          <w:szCs w:val="22"/>
        </w:rPr>
      </w:pPr>
      <w:r w:rsidRPr="002E3512">
        <w:rPr>
          <w:sz w:val="22"/>
          <w:szCs w:val="22"/>
        </w:rPr>
        <w:t xml:space="preserve">2002 m. – 2003-2008 m. ES visuomenės sveikatos programa (1786/2002/EB). Joje numatyti 3 strateginiai prioritetai: sveikatos informacija, sveikatą lemiantys veiksniai ir atsakas į grėsmes (Grabauskas, 2004). Pastaroji programa formuoja esminius Europos Bendrijos sveikatos strategijos pagrindus, sutelkiant dėmesį į šiuos tikslus ir bendras priemones: gerinti informaciją ir žinias skatinant visuomenės sveikatos stiprinimą ir sveikatos sistemas; didinti gebėjimą greitai ir suderintai reaguoti į grėsmes sveikatai; spręsti svarbių veiksnių sveikatai klausimus. </w:t>
      </w:r>
    </w:p>
    <w:p w:rsidR="00995BE0" w:rsidRDefault="00995BE0" w:rsidP="00851EF3">
      <w:pPr>
        <w:jc w:val="both"/>
        <w:rPr>
          <w:sz w:val="22"/>
          <w:szCs w:val="22"/>
        </w:rPr>
      </w:pPr>
      <w:r w:rsidRPr="002E3512">
        <w:rPr>
          <w:sz w:val="22"/>
          <w:szCs w:val="22"/>
        </w:rPr>
        <w:t>2007 m. - Baltojoje knygoje „Kartu sveikatos labui, 2008 – 2013 m. ES strateginis požiūris“</w:t>
      </w:r>
      <w:r>
        <w:rPr>
          <w:sz w:val="22"/>
          <w:szCs w:val="22"/>
        </w:rPr>
        <w:t>, išdės</w:t>
      </w:r>
      <w:r w:rsidRPr="002E3512">
        <w:rPr>
          <w:sz w:val="22"/>
          <w:szCs w:val="22"/>
        </w:rPr>
        <w:t>tė naujosios strategijos poreikį ir naują požiūrį į esamą visuomenės sveikatos situaciją. Šioje Baltojoje knygoje siekiama nustatyti nuoseklią sistemą – pirmąją EB sveikatos strategiją – numatyti kryptį Bendrijos veiksmams sveikatos politikos srityje. Knygoje siūlomi keturi pagrindiniai principai, pagrindžiantys tris strateginius tikslus, kurie bus artimiausių metų prioritetai.</w:t>
      </w:r>
    </w:p>
    <w:p w:rsidR="00995BE0" w:rsidRPr="002E3512" w:rsidRDefault="00995BE0" w:rsidP="00851EF3">
      <w:pPr>
        <w:jc w:val="both"/>
        <w:rPr>
          <w:sz w:val="22"/>
          <w:szCs w:val="22"/>
        </w:rPr>
      </w:pPr>
      <w:r>
        <w:rPr>
          <w:sz w:val="22"/>
          <w:szCs w:val="22"/>
        </w:rPr>
        <w:t xml:space="preserve">Kiti svarbūs teisiniai aktai: </w:t>
      </w:r>
      <w:r w:rsidRPr="002E3512">
        <w:rPr>
          <w:sz w:val="22"/>
          <w:szCs w:val="22"/>
        </w:rPr>
        <w:t>Europos širdies sveikatos chartija (2007)</w:t>
      </w:r>
      <w:r>
        <w:rPr>
          <w:sz w:val="22"/>
          <w:szCs w:val="22"/>
        </w:rPr>
        <w:t xml:space="preserve">, </w:t>
      </w:r>
      <w:r w:rsidRPr="002E3512">
        <w:rPr>
          <w:sz w:val="22"/>
          <w:szCs w:val="22"/>
        </w:rPr>
        <w:t>Liuksemburgo deklaracija</w:t>
      </w:r>
      <w:r>
        <w:rPr>
          <w:sz w:val="22"/>
          <w:szCs w:val="22"/>
        </w:rPr>
        <w:t xml:space="preserve">, </w:t>
      </w:r>
      <w:r w:rsidRPr="002E3512">
        <w:rPr>
          <w:sz w:val="22"/>
          <w:szCs w:val="22"/>
        </w:rPr>
        <w:t>Baltoji knyga „Dėl Europos strategijos su mityba, antsvoriu ir nutukimu susijusiomis sveikatos problemomis“ (2007)</w:t>
      </w:r>
      <w:r>
        <w:rPr>
          <w:sz w:val="22"/>
          <w:szCs w:val="22"/>
        </w:rPr>
        <w:t xml:space="preserve">, </w:t>
      </w:r>
      <w:r w:rsidRPr="002E3512">
        <w:rPr>
          <w:sz w:val="22"/>
          <w:szCs w:val="22"/>
        </w:rPr>
        <w:t>ES kai kurios patvirtintos direktyvos siejasi su alkoholio apmokestinimu: rekomendacija dėl alkoholį vartojančio jaunimo (2001 m.) ir direktyva apie televiziją be sienų (direktyva 89/552/EEB), kuri numato apribojimus alkoholio reklamai. 2006 m. spalio mėnesį Europos Komisija patvirtino alkoholio visapusišką strategiją, siekdama skatinti valstybes nares mažinti žalą, kurią sukelia alkoholis Europoje (An EU strategy to support Member States in reducing alcohol related harm, 2006</w:t>
      </w:r>
      <w:r>
        <w:rPr>
          <w:sz w:val="22"/>
          <w:szCs w:val="22"/>
        </w:rPr>
        <w:t xml:space="preserve">). </w:t>
      </w:r>
      <w:r w:rsidRPr="002E3512">
        <w:rPr>
          <w:sz w:val="22"/>
          <w:szCs w:val="22"/>
        </w:rPr>
        <w:t>ES direktyva dėl t</w:t>
      </w:r>
      <w:r>
        <w:rPr>
          <w:sz w:val="22"/>
          <w:szCs w:val="22"/>
        </w:rPr>
        <w:t>abako produktų reklamos (2003)</w:t>
      </w:r>
      <w:r w:rsidRPr="002E3512">
        <w:rPr>
          <w:sz w:val="22"/>
          <w:szCs w:val="22"/>
        </w:rPr>
        <w:t>, pagal kurią draudžiama tabako produktų reklama; šiuo metu ji apima reklamą už nacionalinės sienos ribų ir sporto finansavimą.</w:t>
      </w:r>
    </w:p>
    <w:p w:rsidR="00995BE0" w:rsidRPr="002E3512" w:rsidRDefault="00995BE0" w:rsidP="00851EF3">
      <w:pPr>
        <w:autoSpaceDE w:val="0"/>
        <w:autoSpaceDN w:val="0"/>
        <w:adjustRightInd w:val="0"/>
        <w:jc w:val="both"/>
        <w:rPr>
          <w:sz w:val="22"/>
          <w:szCs w:val="22"/>
        </w:rPr>
      </w:pPr>
      <w:r w:rsidRPr="002E3512">
        <w:rPr>
          <w:sz w:val="22"/>
          <w:szCs w:val="22"/>
        </w:rPr>
        <w:t xml:space="preserve">Tabako kontrolės pagrindų konvencija </w:t>
      </w:r>
      <w:r>
        <w:rPr>
          <w:sz w:val="22"/>
          <w:szCs w:val="22"/>
        </w:rPr>
        <w:t>(</w:t>
      </w:r>
      <w:r w:rsidRPr="002E3512">
        <w:rPr>
          <w:sz w:val="22"/>
          <w:szCs w:val="22"/>
        </w:rPr>
        <w:t>2004</w:t>
      </w:r>
      <w:r>
        <w:rPr>
          <w:sz w:val="22"/>
          <w:szCs w:val="22"/>
        </w:rPr>
        <w:t xml:space="preserve">), </w:t>
      </w:r>
      <w:r w:rsidRPr="002E3512">
        <w:rPr>
          <w:sz w:val="22"/>
          <w:szCs w:val="22"/>
        </w:rPr>
        <w:t>2005–2012 m. ES kovos su narkotikais strategij</w:t>
      </w:r>
      <w:r>
        <w:rPr>
          <w:sz w:val="22"/>
          <w:szCs w:val="22"/>
        </w:rPr>
        <w:t>a,</w:t>
      </w:r>
      <w:r w:rsidRPr="002E3512">
        <w:rPr>
          <w:sz w:val="22"/>
          <w:szCs w:val="22"/>
        </w:rPr>
        <w:t xml:space="preserve"> </w:t>
      </w:r>
      <w:r w:rsidRPr="002E3512">
        <w:rPr>
          <w:rStyle w:val="longtext1"/>
          <w:sz w:val="22"/>
          <w:szCs w:val="22"/>
          <w:shd w:val="clear" w:color="auto" w:fill="FFFFFF"/>
        </w:rPr>
        <w:t>2005 m. gruodžio 15 d. Komisija priėmė komunikatą dėl kovos su ŽIV/AIDS Europos Sąjungoje ir kaimyninėse šalyse 2006-2009 m.</w:t>
      </w:r>
      <w:r>
        <w:rPr>
          <w:rStyle w:val="longtext1"/>
          <w:sz w:val="22"/>
          <w:szCs w:val="22"/>
          <w:shd w:val="clear" w:color="auto" w:fill="FFFFFF"/>
        </w:rPr>
        <w:t xml:space="preserve">, </w:t>
      </w:r>
      <w:r w:rsidRPr="002E3512">
        <w:rPr>
          <w:sz w:val="22"/>
          <w:szCs w:val="22"/>
        </w:rPr>
        <w:t xml:space="preserve">Europos paktas dėl psichinės sveikatos ir gerovės </w:t>
      </w:r>
      <w:r>
        <w:rPr>
          <w:sz w:val="22"/>
          <w:szCs w:val="22"/>
        </w:rPr>
        <w:t>(</w:t>
      </w:r>
      <w:r w:rsidRPr="002E3512">
        <w:rPr>
          <w:sz w:val="22"/>
          <w:szCs w:val="22"/>
        </w:rPr>
        <w:t>2008</w:t>
      </w:r>
      <w:r>
        <w:rPr>
          <w:sz w:val="22"/>
          <w:szCs w:val="22"/>
        </w:rPr>
        <w:t xml:space="preserve">), </w:t>
      </w:r>
      <w:r w:rsidRPr="002E3512">
        <w:rPr>
          <w:sz w:val="22"/>
          <w:szCs w:val="22"/>
        </w:rPr>
        <w:t>2005 metais PSO Europos regiono sveikatos apsaugos ministrų konferencijoje Helsinkyje Europos valstybės priėmė Europos psichikos sveikatos apsaugos deklaraciją ir Veiksmų planą 2005–2010 metams;</w:t>
      </w:r>
    </w:p>
    <w:p w:rsidR="00995BE0" w:rsidRPr="002E3512" w:rsidRDefault="00995BE0" w:rsidP="00851EF3">
      <w:pPr>
        <w:autoSpaceDE w:val="0"/>
        <w:autoSpaceDN w:val="0"/>
        <w:adjustRightInd w:val="0"/>
        <w:jc w:val="both"/>
        <w:rPr>
          <w:sz w:val="22"/>
          <w:szCs w:val="22"/>
        </w:rPr>
      </w:pPr>
      <w:r w:rsidRPr="002E3512">
        <w:rPr>
          <w:sz w:val="22"/>
          <w:szCs w:val="22"/>
        </w:rPr>
        <w:t xml:space="preserve">EB komunikatas „Europos partnerystė aktams prieš vėžį“ </w:t>
      </w:r>
      <w:r>
        <w:rPr>
          <w:sz w:val="22"/>
          <w:szCs w:val="22"/>
        </w:rPr>
        <w:t>(</w:t>
      </w:r>
      <w:r w:rsidRPr="002E3512">
        <w:rPr>
          <w:sz w:val="22"/>
          <w:szCs w:val="22"/>
        </w:rPr>
        <w:t>2009)</w:t>
      </w:r>
      <w:r>
        <w:rPr>
          <w:sz w:val="22"/>
          <w:szCs w:val="22"/>
        </w:rPr>
        <w:t xml:space="preserve">, </w:t>
      </w:r>
      <w:r w:rsidRPr="002E3512">
        <w:rPr>
          <w:sz w:val="22"/>
          <w:szCs w:val="22"/>
        </w:rPr>
        <w:t>2005 m. priimta Europos strategija Vaikų ir paauglių sveikata ir raida</w:t>
      </w:r>
      <w:r>
        <w:rPr>
          <w:sz w:val="22"/>
          <w:szCs w:val="22"/>
        </w:rPr>
        <w:t xml:space="preserve">, </w:t>
      </w:r>
      <w:r w:rsidRPr="002E3512">
        <w:rPr>
          <w:sz w:val="22"/>
          <w:szCs w:val="22"/>
        </w:rPr>
        <w:t xml:space="preserve">2004 m. </w:t>
      </w:r>
      <w:r w:rsidRPr="002E3512">
        <w:rPr>
          <w:bCs/>
          <w:sz w:val="22"/>
          <w:szCs w:val="22"/>
        </w:rPr>
        <w:t>Europos vaikų aplinkos ir sveikatos veiksmų planas.</w:t>
      </w:r>
      <w:r>
        <w:rPr>
          <w:bCs/>
          <w:sz w:val="22"/>
          <w:szCs w:val="22"/>
        </w:rPr>
        <w:t xml:space="preserve"> </w:t>
      </w:r>
      <w:r w:rsidRPr="002E3512">
        <w:rPr>
          <w:sz w:val="22"/>
          <w:szCs w:val="22"/>
        </w:rPr>
        <w:t xml:space="preserve">Egmond‘o darbotvarkė, priimta Europos konferencijoje „Švietimas ir sveikatos stiprinimas mokyklose, švietimo ir sveikatos sektorių bendradarbiavimas“, Nyderlanduose, 2002 m. rugsėjo 24-27 d., apima geriausius moksliniais įrodymais ir praktine veikla grindžiamus veiksnius, suvokta kaip esminis dalykas, kuriant sėkmingas sveikatos stiprinimo programas. Sėkmingiausių rezultatų gauta įgyvendinant programas </w:t>
      </w:r>
      <w:r w:rsidRPr="002E3512">
        <w:rPr>
          <w:sz w:val="22"/>
          <w:szCs w:val="22"/>
        </w:rPr>
        <w:lastRenderedPageBreak/>
        <w:t>bendradarbiaujant sveikatos ir švietimo sektoriams.</w:t>
      </w:r>
      <w:r>
        <w:rPr>
          <w:sz w:val="22"/>
          <w:szCs w:val="22"/>
        </w:rPr>
        <w:t xml:space="preserve"> </w:t>
      </w:r>
      <w:r w:rsidRPr="002E3512">
        <w:rPr>
          <w:sz w:val="22"/>
          <w:szCs w:val="22"/>
        </w:rPr>
        <w:t>Europos sveikatą stiprinančių mokyklų konferencijos „Sveikatą stiprinanti mokykla – investicija į mokymą, sveikatą ir demokratiją“ rezoliucija priimta 1997 m. Graikijoje skelbia, kad sveikatos stiprinimas mokyklose yra investicija į sveikatą, švietimą ir demokratiją. Konferencijos išvada – 10 principų, kurie pabrėžė sveikatą stiprinančių mokyklų vertingumą ir jos tikslus.</w:t>
      </w:r>
    </w:p>
    <w:p w:rsidR="00995BE0" w:rsidRPr="00370183" w:rsidRDefault="00995BE0" w:rsidP="00851EF3">
      <w:pPr>
        <w:jc w:val="both"/>
        <w:rPr>
          <w:sz w:val="22"/>
          <w:szCs w:val="22"/>
        </w:rPr>
      </w:pPr>
      <w:r w:rsidRPr="00370183">
        <w:rPr>
          <w:b/>
          <w:sz w:val="22"/>
          <w:szCs w:val="22"/>
        </w:rPr>
        <w:t>Visuomenės sveikat</w:t>
      </w:r>
      <w:r>
        <w:rPr>
          <w:b/>
          <w:sz w:val="22"/>
          <w:szCs w:val="22"/>
        </w:rPr>
        <w:t>os apsaugą</w:t>
      </w:r>
      <w:r w:rsidRPr="00370183">
        <w:rPr>
          <w:b/>
          <w:sz w:val="22"/>
          <w:szCs w:val="22"/>
        </w:rPr>
        <w:t xml:space="preserve"> reglamentuojantys teisės aktai Lietuvoje. </w:t>
      </w:r>
      <w:r w:rsidRPr="00370183">
        <w:rPr>
          <w:sz w:val="22"/>
          <w:szCs w:val="22"/>
          <w:lang w:eastAsia="ar-SA"/>
        </w:rPr>
        <w:t xml:space="preserve">1991 m. Seimas priėmė Nacionalinės sveikatos priežiūros koncepciją. Ji nustatė sveikatos priežiūros politikos ilgalaikius ir trumpalaikius tikslus bei šios sferos problemų sprendimo intelektualinį pagrindą. Šios koncepcijos pagrindu buvo priimta Lietuvos sveikatos programa ir pradėta sveikatos apsaugos reforma. Lietuvos sveikatos 1997 – 2010 m. programoje numatyti pagrindiniai tikslai iki 2010 metų, remiantis prioritetinėmis Lietuvos gyventojų sveikatos problemomis. </w:t>
      </w:r>
      <w:r w:rsidRPr="00370183">
        <w:rPr>
          <w:noProof/>
          <w:sz w:val="22"/>
          <w:szCs w:val="22"/>
        </w:rPr>
        <w:t>2001 m. liepos 27 d. priimta Lietuvos Nacionalinės visuomenės sveikatos priežiūros strategija (</w:t>
      </w:r>
      <w:r w:rsidRPr="00370183">
        <w:rPr>
          <w:sz w:val="22"/>
          <w:szCs w:val="22"/>
          <w:lang w:eastAsia="ar-SA"/>
        </w:rPr>
        <w:t>Gustainienė, 2003</w:t>
      </w:r>
      <w:r w:rsidRPr="00370183">
        <w:rPr>
          <w:noProof/>
          <w:sz w:val="22"/>
          <w:szCs w:val="22"/>
        </w:rPr>
        <w:t xml:space="preserve">). Pastaroji 2006 m. koreguota, apibrėžtas laikotarpis – 2006-2013 metai, bei patvirtintas 2006-2008 m. strategijos įgyvendinimo priemonių planas. </w:t>
      </w:r>
      <w:r w:rsidRPr="00370183">
        <w:rPr>
          <w:sz w:val="22"/>
          <w:szCs w:val="22"/>
        </w:rPr>
        <w:t>Strategijos tikslas – pagerinti Lietuvos gyventojų gyvenimo kokybę, ilginti gyvenimo trukmę – mažinti sergamumą, mirtingumą ir neįgalumą, ypač daug dėmesio skirti dažniausioms mirties priežastims: nelaimingiems atsitikimams ir traumoms, širdies bei kraujagyslių ligoms, onkologiniams susirgimams, psichikos sveikatos sutrikimams.</w:t>
      </w:r>
    </w:p>
    <w:p w:rsidR="00995BE0" w:rsidRPr="00370183" w:rsidRDefault="00995BE0" w:rsidP="00851EF3">
      <w:pPr>
        <w:jc w:val="both"/>
        <w:rPr>
          <w:sz w:val="22"/>
          <w:szCs w:val="22"/>
        </w:rPr>
      </w:pPr>
      <w:r w:rsidRPr="00370183">
        <w:rPr>
          <w:sz w:val="22"/>
          <w:szCs w:val="22"/>
        </w:rPr>
        <w:t>Kiti aktualūs</w:t>
      </w:r>
      <w:r>
        <w:rPr>
          <w:sz w:val="22"/>
          <w:szCs w:val="22"/>
        </w:rPr>
        <w:t xml:space="preserve"> visuomenės sveikatą reglamentuojantys</w:t>
      </w:r>
      <w:r w:rsidRPr="00370183">
        <w:rPr>
          <w:sz w:val="22"/>
          <w:szCs w:val="22"/>
        </w:rPr>
        <w:t xml:space="preserve"> teisės aktai: Sveikatos sistemos įstatymas (1994), Visuomenės sveikatos priežiūros įstatymas (2002)</w:t>
      </w:r>
      <w:r>
        <w:rPr>
          <w:sz w:val="22"/>
          <w:szCs w:val="22"/>
        </w:rPr>
        <w:t>,</w:t>
      </w:r>
      <w:r w:rsidRPr="00370183">
        <w:rPr>
          <w:sz w:val="22"/>
          <w:szCs w:val="22"/>
        </w:rPr>
        <w:t xml:space="preserve"> </w:t>
      </w:r>
      <w:r>
        <w:rPr>
          <w:sz w:val="22"/>
          <w:szCs w:val="22"/>
        </w:rPr>
        <w:t>S</w:t>
      </w:r>
      <w:r w:rsidRPr="00370183">
        <w:rPr>
          <w:sz w:val="22"/>
          <w:szCs w:val="22"/>
        </w:rPr>
        <w:t>veikatos priežiūros įstaigų įstatym</w:t>
      </w:r>
      <w:r>
        <w:rPr>
          <w:sz w:val="22"/>
          <w:szCs w:val="22"/>
        </w:rPr>
        <w:t>as</w:t>
      </w:r>
      <w:r w:rsidRPr="00370183">
        <w:rPr>
          <w:sz w:val="22"/>
          <w:szCs w:val="22"/>
        </w:rPr>
        <w:t xml:space="preserve"> (1996)</w:t>
      </w:r>
      <w:r>
        <w:rPr>
          <w:sz w:val="22"/>
          <w:szCs w:val="22"/>
        </w:rPr>
        <w:t xml:space="preserve">, </w:t>
      </w:r>
      <w:r w:rsidRPr="00370183">
        <w:rPr>
          <w:sz w:val="22"/>
          <w:szCs w:val="22"/>
        </w:rPr>
        <w:t>2006 m. priimta</w:t>
      </w:r>
      <w:r w:rsidRPr="00370183">
        <w:rPr>
          <w:b/>
          <w:sz w:val="22"/>
          <w:szCs w:val="22"/>
        </w:rPr>
        <w:t xml:space="preserve"> </w:t>
      </w:r>
      <w:r w:rsidRPr="00370183">
        <w:rPr>
          <w:sz w:val="22"/>
          <w:szCs w:val="22"/>
        </w:rPr>
        <w:t>alkoholio, tabako ir kitų psichiką veikiančių medžiagų vartojimo prevencijos programa, Valstybės tabako kontrolės programa (1998), Valstybės alkoholio kontrolės programa (1999),</w:t>
      </w:r>
      <w:r w:rsidRPr="00370183">
        <w:rPr>
          <w:i/>
          <w:sz w:val="22"/>
          <w:szCs w:val="22"/>
        </w:rPr>
        <w:t xml:space="preserve"> </w:t>
      </w:r>
      <w:r w:rsidRPr="00370183">
        <w:rPr>
          <w:sz w:val="22"/>
          <w:szCs w:val="22"/>
        </w:rPr>
        <w:t>2007 m. patvirtinta sergamumo ir mirtingumo nuo pagrindinių neinfekcinių ligų mažinimo 2007-2013 m. programa, Valstybinė visuomenės sveikatos priežiūros plėtros savivaldybėse 2007 – 2010 metų programa (2007), Lietuvos psichikos sveikatos strategij</w:t>
      </w:r>
      <w:r>
        <w:rPr>
          <w:sz w:val="22"/>
          <w:szCs w:val="22"/>
        </w:rPr>
        <w:t>a</w:t>
      </w:r>
      <w:r w:rsidRPr="00370183">
        <w:rPr>
          <w:sz w:val="22"/>
          <w:szCs w:val="22"/>
        </w:rPr>
        <w:t xml:space="preserve"> (2007)</w:t>
      </w:r>
      <w:r>
        <w:rPr>
          <w:sz w:val="22"/>
          <w:szCs w:val="22"/>
        </w:rPr>
        <w:t xml:space="preserve">, </w:t>
      </w:r>
      <w:r w:rsidRPr="00370183">
        <w:rPr>
          <w:sz w:val="22"/>
          <w:szCs w:val="22"/>
        </w:rPr>
        <w:t>Lietuvos Respublikos sveikatos apsaugos ministro įsakym</w:t>
      </w:r>
      <w:r>
        <w:rPr>
          <w:sz w:val="22"/>
          <w:szCs w:val="22"/>
        </w:rPr>
        <w:t>u</w:t>
      </w:r>
      <w:r w:rsidRPr="00370183">
        <w:rPr>
          <w:sz w:val="22"/>
          <w:szCs w:val="22"/>
        </w:rPr>
        <w:t xml:space="preserve"> patvirtinti savivaldybės visuomenės sveikatos biuro pavyzdiniai nuostatai (2008),  Lietuvos Respublikos sveikatos apsa</w:t>
      </w:r>
      <w:r>
        <w:rPr>
          <w:sz w:val="22"/>
          <w:szCs w:val="22"/>
        </w:rPr>
        <w:t>ugos ministro 2007 m.</w:t>
      </w:r>
      <w:r w:rsidRPr="00370183">
        <w:rPr>
          <w:sz w:val="22"/>
          <w:szCs w:val="22"/>
        </w:rPr>
        <w:t xml:space="preserve"> įsakymas „Dėl savivaldybės visuomenės sveikatos biure privalomų pareigybių sąrašo ir joms keliamų kvalifikacinių reikalavimų patvirtinimo“</w:t>
      </w:r>
      <w:r>
        <w:rPr>
          <w:sz w:val="22"/>
          <w:szCs w:val="22"/>
        </w:rPr>
        <w:t>, ir daugelis kitų.</w:t>
      </w:r>
    </w:p>
    <w:p w:rsidR="00995BE0" w:rsidRDefault="00995BE0" w:rsidP="00851EF3">
      <w:pPr>
        <w:tabs>
          <w:tab w:val="left" w:pos="9638"/>
        </w:tabs>
        <w:ind w:right="-1"/>
        <w:jc w:val="both"/>
        <w:rPr>
          <w:sz w:val="22"/>
          <w:szCs w:val="22"/>
        </w:rPr>
      </w:pPr>
      <w:r w:rsidRPr="001A7C5E">
        <w:rPr>
          <w:b/>
          <w:sz w:val="22"/>
          <w:szCs w:val="22"/>
        </w:rPr>
        <w:t xml:space="preserve">Šiaulių miesto gyventojų sveikatos situacijos analizė. </w:t>
      </w:r>
      <w:r w:rsidRPr="001A7C5E">
        <w:rPr>
          <w:sz w:val="22"/>
          <w:szCs w:val="22"/>
          <w:lang w:eastAsia="ar-SA"/>
        </w:rPr>
        <w:t>Strategijos parinkimas ir įgyvendinimas – pagrindinė strateginio valdymo turinio dalis. Akivaizdu, kad pradinė ir labai svarbi institucijos veiklos trajektorijos nustatymo fazė yra situacijos analizė.</w:t>
      </w:r>
      <w:r w:rsidRPr="001A7C5E">
        <w:rPr>
          <w:sz w:val="22"/>
          <w:szCs w:val="22"/>
        </w:rPr>
        <w:t xml:space="preserve"> Statistikos Departamento prie Lietuvos Respublikos Vyriausybės duomenimis, jau daugelį metų gyventojų skaičius šalyje sistemingai mažėja. 2010 metų pradžioje Šiaulių mieste gyveno 125 453 žmonės: 56 889 (45,4 proc.) vyrai ir 68 564 (54,6 proc.) moterys. Gyventojų skaičius mažėja dėl neigiamo migracijos saldo ir labai mažo natūralaus gyventojų prieaugio, kuris šiuo metu tiek šalyje, tiek ir Šiaulių mieste yra neigiamas. Šiaulių mieste iki 2000 metų daugiau žmonių gimdavo, nei mirdavo, tačiau nuo 2001 metų mirtingumas viršija gimstamumą. Paskutinius trejus metus Šiaulių miesto gyventojų gimstamumo rodiklis kyla. Po devynerių metų pertraukos, 2009 m., Šiaulių mieste vėl registruojamas didesnis gimstamumas nei mirtingumas. Širdies ir kraujagyslių ligos yra viena svarbiausių ne tik medicinos, bet ir socialinių problemų. 2009 m. Šiaulių mieste mirusieji nuo kraujotakos sistemos ligų sudarė apie pusę (49,5 proc.) visų mirusiųjų</w:t>
      </w:r>
      <w:r>
        <w:rPr>
          <w:sz w:val="22"/>
          <w:szCs w:val="22"/>
        </w:rPr>
        <w:t xml:space="preserve"> (1 pav.)</w:t>
      </w:r>
      <w:r w:rsidRPr="001A7C5E">
        <w:rPr>
          <w:sz w:val="22"/>
          <w:szCs w:val="22"/>
        </w:rPr>
        <w:t>.</w:t>
      </w:r>
    </w:p>
    <w:p w:rsidR="00995BE0" w:rsidRPr="001D71BB" w:rsidRDefault="00A54FAC" w:rsidP="00851EF3">
      <w:pPr>
        <w:spacing w:line="360" w:lineRule="auto"/>
        <w:jc w:val="center"/>
      </w:pPr>
      <w:r>
        <w:rPr>
          <w:noProof/>
        </w:rPr>
        <w:drawing>
          <wp:inline distT="0" distB="0" distL="0" distR="0">
            <wp:extent cx="5891530" cy="1998345"/>
            <wp:effectExtent l="0" t="0" r="0" b="0"/>
            <wp:docPr id="64" name="Objektas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995BE0" w:rsidRPr="00C551BE" w:rsidRDefault="00995BE0" w:rsidP="00851EF3">
      <w:pPr>
        <w:jc w:val="center"/>
        <w:rPr>
          <w:sz w:val="22"/>
          <w:szCs w:val="22"/>
        </w:rPr>
      </w:pPr>
      <w:r w:rsidRPr="00C551BE">
        <w:rPr>
          <w:b/>
          <w:sz w:val="22"/>
          <w:szCs w:val="22"/>
        </w:rPr>
        <w:t xml:space="preserve">1 pav. </w:t>
      </w:r>
      <w:r w:rsidRPr="00C551BE">
        <w:rPr>
          <w:sz w:val="22"/>
          <w:szCs w:val="22"/>
        </w:rPr>
        <w:t>Mirtingumas pagal priežastis Šiaulių mieste 2004-2009 m. (100 000 gyv.)</w:t>
      </w:r>
    </w:p>
    <w:p w:rsidR="00995BE0" w:rsidRPr="001D71BB" w:rsidRDefault="00995BE0" w:rsidP="00851EF3">
      <w:pPr>
        <w:jc w:val="center"/>
        <w:rPr>
          <w:sz w:val="20"/>
          <w:szCs w:val="20"/>
        </w:rPr>
      </w:pPr>
      <w:r w:rsidRPr="001D71BB">
        <w:rPr>
          <w:sz w:val="20"/>
          <w:szCs w:val="20"/>
        </w:rPr>
        <w:t xml:space="preserve">Sudaryta autoriaus, remiantis </w:t>
      </w:r>
      <w:r>
        <w:rPr>
          <w:sz w:val="20"/>
          <w:szCs w:val="20"/>
        </w:rPr>
        <w:t>šaltiniu</w:t>
      </w:r>
      <w:r w:rsidRPr="001D71BB">
        <w:rPr>
          <w:sz w:val="20"/>
          <w:szCs w:val="20"/>
        </w:rPr>
        <w:t>: Statistikos departament</w:t>
      </w:r>
      <w:r>
        <w:rPr>
          <w:sz w:val="20"/>
          <w:szCs w:val="20"/>
        </w:rPr>
        <w:t>as prie LR Vyriausybės</w:t>
      </w:r>
    </w:p>
    <w:p w:rsidR="00995BE0" w:rsidRDefault="00995BE0" w:rsidP="00851EF3">
      <w:pPr>
        <w:tabs>
          <w:tab w:val="left" w:pos="9638"/>
        </w:tabs>
        <w:ind w:right="-1" w:firstLine="360"/>
        <w:jc w:val="both"/>
        <w:rPr>
          <w:sz w:val="22"/>
          <w:szCs w:val="22"/>
        </w:rPr>
      </w:pPr>
    </w:p>
    <w:p w:rsidR="00995BE0" w:rsidRPr="001A7C5E" w:rsidRDefault="00995BE0" w:rsidP="00851EF3">
      <w:pPr>
        <w:tabs>
          <w:tab w:val="left" w:pos="9638"/>
        </w:tabs>
        <w:ind w:right="-1"/>
        <w:jc w:val="both"/>
        <w:rPr>
          <w:sz w:val="22"/>
          <w:szCs w:val="22"/>
        </w:rPr>
      </w:pPr>
      <w:r w:rsidRPr="001A7C5E">
        <w:rPr>
          <w:sz w:val="22"/>
          <w:szCs w:val="22"/>
        </w:rPr>
        <w:t xml:space="preserve">Higienos instituto sveikatos informacijos duomenimis, Šiaulių mieste savižudybės 2009 m. sudarė 35,8 atvejo 100 000 gyv. iš kurių dvigubai daugiau buvo vyrų. Eurostato duomenimis, 2008 metais Lietuvoje savižudybių rodiklis buvo 30,7/100 000 gyv. ir lenkė kitas šalis. Lėtinės neinfekcinės ligos yra viena aktualiausių tiek Šiaulių, tiek visos Lietuvos gyventojų sveikatos problemų. Mažas fizinis aktyvumas, </w:t>
      </w:r>
      <w:r w:rsidRPr="001A7C5E">
        <w:rPr>
          <w:sz w:val="22"/>
          <w:szCs w:val="22"/>
        </w:rPr>
        <w:lastRenderedPageBreak/>
        <w:t xml:space="preserve">ilgalaikis stresas, neracionali mityba, rūkymas bei nesaikingas alkoholio vartojimas skatina širdies ir kraujotakos sistemos ligų plitimą. </w:t>
      </w:r>
    </w:p>
    <w:p w:rsidR="00995BE0" w:rsidRDefault="00995BE0" w:rsidP="00851EF3">
      <w:pPr>
        <w:jc w:val="both"/>
        <w:rPr>
          <w:bCs/>
          <w:sz w:val="22"/>
          <w:szCs w:val="22"/>
        </w:rPr>
      </w:pPr>
      <w:r w:rsidRPr="001A7C5E">
        <w:rPr>
          <w:sz w:val="22"/>
          <w:szCs w:val="22"/>
        </w:rPr>
        <w:t>Gyventojų sergamumo struktūra pagal pagrindines ligų klases skiriasi nuo mirtingumo struktūros. Higienos instituto sveikatos informacijos centro duomenimis, 2009 metais daugiausia Šiaulių miesto gyventojų sirgo jungiamojo audinio ir skeleto raumenų sistemos ligomis (102,3/1 000 gyv.), antroje vietoje buvo traumos bei apsinuodijimai (81,2/1 000 gyv.)</w:t>
      </w:r>
      <w:r>
        <w:rPr>
          <w:sz w:val="22"/>
          <w:szCs w:val="22"/>
        </w:rPr>
        <w:t xml:space="preserve"> (2 pav.)</w:t>
      </w:r>
      <w:r w:rsidRPr="001A7C5E">
        <w:rPr>
          <w:sz w:val="22"/>
          <w:szCs w:val="22"/>
        </w:rPr>
        <w:t>.</w:t>
      </w:r>
      <w:r w:rsidRPr="001A7C5E">
        <w:rPr>
          <w:bCs/>
          <w:sz w:val="22"/>
          <w:szCs w:val="22"/>
        </w:rPr>
        <w:t xml:space="preserve"> </w:t>
      </w:r>
    </w:p>
    <w:p w:rsidR="00995BE0" w:rsidRPr="001D71BB" w:rsidRDefault="00A54FAC" w:rsidP="00851EF3">
      <w:pPr>
        <w:spacing w:line="360" w:lineRule="auto"/>
        <w:jc w:val="center"/>
      </w:pPr>
      <w:r>
        <w:rPr>
          <w:noProof/>
        </w:rPr>
        <w:drawing>
          <wp:inline distT="0" distB="0" distL="0" distR="0">
            <wp:extent cx="5643245" cy="1724025"/>
            <wp:effectExtent l="0" t="0" r="0" b="0"/>
            <wp:docPr id="65" name="Objektas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995BE0" w:rsidRPr="00C551BE" w:rsidRDefault="00995BE0" w:rsidP="00851EF3">
      <w:pPr>
        <w:jc w:val="center"/>
        <w:rPr>
          <w:sz w:val="22"/>
          <w:szCs w:val="22"/>
        </w:rPr>
      </w:pPr>
      <w:r>
        <w:rPr>
          <w:b/>
          <w:sz w:val="22"/>
          <w:szCs w:val="22"/>
        </w:rPr>
        <w:t>2</w:t>
      </w:r>
      <w:r w:rsidRPr="00C551BE">
        <w:rPr>
          <w:b/>
          <w:sz w:val="22"/>
          <w:szCs w:val="22"/>
        </w:rPr>
        <w:t xml:space="preserve"> pav. </w:t>
      </w:r>
      <w:r w:rsidRPr="00C551BE">
        <w:rPr>
          <w:sz w:val="22"/>
          <w:szCs w:val="22"/>
        </w:rPr>
        <w:t>Gyventojų sergamumas kai kuriomis ligomis Šiaulių mieste 2009 m. (1 000 gyv.)</w:t>
      </w:r>
    </w:p>
    <w:p w:rsidR="00995BE0" w:rsidRPr="001D71BB" w:rsidRDefault="00995BE0" w:rsidP="00851EF3">
      <w:pPr>
        <w:jc w:val="center"/>
        <w:rPr>
          <w:sz w:val="20"/>
          <w:szCs w:val="20"/>
        </w:rPr>
      </w:pPr>
      <w:r w:rsidRPr="001D71BB">
        <w:rPr>
          <w:sz w:val="20"/>
          <w:szCs w:val="20"/>
        </w:rPr>
        <w:t xml:space="preserve">Sudaryta autoriaus, remiantis </w:t>
      </w:r>
      <w:r>
        <w:rPr>
          <w:sz w:val="20"/>
          <w:szCs w:val="20"/>
        </w:rPr>
        <w:t>š</w:t>
      </w:r>
      <w:r w:rsidRPr="001D71BB">
        <w:rPr>
          <w:sz w:val="20"/>
          <w:szCs w:val="20"/>
        </w:rPr>
        <w:t>altinis: Higienos instituto Sveikatos</w:t>
      </w:r>
      <w:r>
        <w:rPr>
          <w:sz w:val="20"/>
          <w:szCs w:val="20"/>
        </w:rPr>
        <w:t xml:space="preserve">  informacijos centras</w:t>
      </w:r>
    </w:p>
    <w:p w:rsidR="00995BE0" w:rsidRDefault="00995BE0" w:rsidP="00851EF3">
      <w:pPr>
        <w:ind w:firstLine="360"/>
        <w:jc w:val="both"/>
        <w:rPr>
          <w:bCs/>
          <w:sz w:val="22"/>
          <w:szCs w:val="22"/>
        </w:rPr>
      </w:pPr>
    </w:p>
    <w:p w:rsidR="00995BE0" w:rsidRPr="001A7C5E" w:rsidRDefault="00995BE0" w:rsidP="00851EF3">
      <w:pPr>
        <w:jc w:val="both"/>
        <w:rPr>
          <w:sz w:val="22"/>
          <w:szCs w:val="22"/>
        </w:rPr>
      </w:pPr>
      <w:r w:rsidRPr="001A7C5E">
        <w:rPr>
          <w:bCs/>
          <w:sz w:val="22"/>
          <w:szCs w:val="22"/>
        </w:rPr>
        <w:t xml:space="preserve">Pastaraisiais metais onkologinių susirgimų šalyje kasmet daugėja. Šiaulių mieste susirgimų šiomis ligomis rodiklis kilo 2005-2007 m. laikotarpyje, o nuo 2008 - mažėjo ir 2009 m. siekė 489,7/100 000 gyv. Pagal LSP, iki 2010 m. sergamumą piktybiniais navikais numatyta sumažinti 10 proc., taigi rodiklis turėtų būti 323,4/100 000 gyv. </w:t>
      </w:r>
      <w:r w:rsidRPr="001A7C5E">
        <w:rPr>
          <w:sz w:val="22"/>
          <w:szCs w:val="22"/>
        </w:rPr>
        <w:t>Tuberkuliozė yra viena grėsmingų užkrečiamų ligų. Šiaulių mieste sergamumas tuberkulioze nuo 2005 m. kasmet mažėja ir 2009 m. siekė 32,6 atvejus 100 000 gyventojų.</w:t>
      </w:r>
    </w:p>
    <w:p w:rsidR="00995BE0" w:rsidRPr="00E65782" w:rsidRDefault="00995BE0" w:rsidP="00851EF3">
      <w:pPr>
        <w:jc w:val="both"/>
        <w:rPr>
          <w:sz w:val="22"/>
          <w:szCs w:val="22"/>
        </w:rPr>
      </w:pPr>
      <w:r w:rsidRPr="00E65782">
        <w:rPr>
          <w:b/>
          <w:sz w:val="22"/>
          <w:szCs w:val="22"/>
        </w:rPr>
        <w:t xml:space="preserve">Šiaulių visuomenės sveikatos biuro veikla. </w:t>
      </w:r>
      <w:r w:rsidRPr="00E65782">
        <w:rPr>
          <w:sz w:val="22"/>
          <w:szCs w:val="22"/>
        </w:rPr>
        <w:t>Savivaldybėje visuomenės sveikatos politiką įgyvendina, pirminę asmens ir visuomenės sveikatos priežiūrą numato ir organizuoja savivaldybės gydytojas, tačiau kai kuriose savivaldybėse šią instituciją sudaro tik vienas asmuo, o kai kur jo išvis nėra. Dažnai savivaldybės gydytojas sprendžia su asmens sveikatos priežiūromis susijusias problemas, o visuomenės sveikatos priežiūrai skiriama per mažai dėmesio.</w:t>
      </w:r>
    </w:p>
    <w:p w:rsidR="00995BE0" w:rsidRPr="00E65782" w:rsidRDefault="00995BE0" w:rsidP="00851EF3">
      <w:pPr>
        <w:jc w:val="both"/>
        <w:rPr>
          <w:sz w:val="22"/>
          <w:szCs w:val="22"/>
        </w:rPr>
      </w:pPr>
      <w:r w:rsidRPr="00E65782">
        <w:rPr>
          <w:sz w:val="22"/>
          <w:szCs w:val="22"/>
        </w:rPr>
        <w:t xml:space="preserve">Daugiausia dėmesio ir diskusijų sukėlė funkcijų perdavimas savivaldybėms ir Visuomenės sveikatos biurų steigimas jose. Šios įstaigos steigtos moderniajai visuomenės sveikatos priežiūrai vykdyti, siekiant, kad sveikatos specialistai būtų arčiau bendruomenės ir analizuotų bendruomenės problemas, gyventojams suteiktų sveikatos stiprinimo žinias, efektyviai įgyvendintų savivaldybių, valstybines sveikatinimo programas. </w:t>
      </w:r>
    </w:p>
    <w:p w:rsidR="00995BE0" w:rsidRPr="00E65782" w:rsidRDefault="00995BE0" w:rsidP="00851EF3">
      <w:pPr>
        <w:jc w:val="both"/>
        <w:rPr>
          <w:sz w:val="22"/>
          <w:szCs w:val="22"/>
        </w:rPr>
      </w:pPr>
      <w:r w:rsidRPr="00E65782">
        <w:rPr>
          <w:sz w:val="22"/>
          <w:szCs w:val="22"/>
        </w:rPr>
        <w:t>Įgyvendinant šalyje visuomenės sveikatos priežiūros reformą, Lietuvos Respublikos Vyriausybė 2006 m. patvirtino 2006 – 2013 metų Lietuvos nacionalinės visuomenės sveikatos priežiūros strategiją ir jos įgyvendinimo 2006 – 2008 m. priemonių planą. Lietuvos nacionalinėje visuomenės sveikatos priežiūros strategijoje išdėstytos pagrindinės valstybės nuostatos, susijusios su visuomenės sveikatos priežiūros sistemos modernizavimu, kad ji visiškai atitiktų valstybės poreikius ir naujausius tarptautinius reikalavimus, taip pat priemonės šiam tikslui pasiekti. Viena prioritetinių šios pertvarkos krypčių – visuomenės sveikatos priežiūros plėtra savivaldybėse</w:t>
      </w:r>
      <w:r>
        <w:rPr>
          <w:sz w:val="22"/>
          <w:szCs w:val="22"/>
        </w:rPr>
        <w:t xml:space="preserve"> (2007 – 2013 metų Šiaulių..., 2007)</w:t>
      </w:r>
      <w:r w:rsidRPr="00E65782">
        <w:rPr>
          <w:sz w:val="22"/>
          <w:szCs w:val="22"/>
        </w:rPr>
        <w:t xml:space="preserve">. Pirmieji keturi pilotiniai savivaldybių Visuomenės sveikatos biurai įsteigti 2006-ais metais. Tai Šiaulių mieste, Joniškio, Kėdainių ir Klaipėdos rajonuose.  </w:t>
      </w:r>
    </w:p>
    <w:p w:rsidR="00995BE0" w:rsidRPr="00E65782" w:rsidRDefault="00995BE0" w:rsidP="00851EF3">
      <w:pPr>
        <w:jc w:val="both"/>
        <w:rPr>
          <w:sz w:val="22"/>
          <w:szCs w:val="22"/>
        </w:rPr>
      </w:pPr>
      <w:r w:rsidRPr="00E65782">
        <w:rPr>
          <w:sz w:val="22"/>
          <w:szCs w:val="22"/>
          <w:lang w:eastAsia="ar-SA"/>
        </w:rPr>
        <w:t xml:space="preserve">Šiame straipsnyje analizuojama Šiaulių miesto visuomenės sveikatos biuro veikla. Šiaulių miesto savivaldybės biuras įsteigtas </w:t>
      </w:r>
      <w:r w:rsidRPr="00E65782">
        <w:rPr>
          <w:sz w:val="22"/>
          <w:szCs w:val="22"/>
        </w:rPr>
        <w:t>savivaldybės tarybos 2006 m. rugpjūčio 23 d. sprendimu, savo veiklą pradėjo spalio mėnesį. Pagrindinis biuro veiklos tikslas – rūpintis savivaldybės bendruomenėje visuomenės sveikata ir ją stiprinti. Veiklos pobūdis – nespecializuotų visuomenės sveikatos priežiūros paslaugų organizavimas ir teikimas savivaldybės gyventojams (Šiaulių miesto savivaldybės</w:t>
      </w:r>
      <w:r>
        <w:rPr>
          <w:sz w:val="22"/>
          <w:szCs w:val="22"/>
        </w:rPr>
        <w:t xml:space="preserve">..., </w:t>
      </w:r>
      <w:r w:rsidRPr="00E65782">
        <w:rPr>
          <w:sz w:val="22"/>
          <w:szCs w:val="22"/>
        </w:rPr>
        <w:t>2008).</w:t>
      </w:r>
    </w:p>
    <w:p w:rsidR="00995BE0" w:rsidRDefault="00995BE0" w:rsidP="00851EF3">
      <w:pPr>
        <w:jc w:val="both"/>
        <w:rPr>
          <w:bCs/>
          <w:sz w:val="22"/>
          <w:szCs w:val="22"/>
        </w:rPr>
      </w:pPr>
      <w:r w:rsidRPr="00E255D6">
        <w:rPr>
          <w:sz w:val="22"/>
          <w:szCs w:val="22"/>
        </w:rPr>
        <w:t>Ekspertų interviu rezultatų analizė.</w:t>
      </w:r>
      <w:r w:rsidRPr="00E255D6">
        <w:rPr>
          <w:bCs/>
          <w:sz w:val="22"/>
          <w:szCs w:val="22"/>
        </w:rPr>
        <w:t xml:space="preserve"> Siekiant išsiaiškinti Šiaulių visuomenės sveikatos biuro veiklos esamus trūkumus, įvertinti realius pasiekimus ir galimybes, galimus veiklos tobulinimo kelius, buvo vykdoma ekspertų apklausa. Iš viso apklausti 8 ekspertai </w:t>
      </w:r>
      <w:r w:rsidRPr="004D3F26">
        <w:rPr>
          <w:bCs/>
          <w:sz w:val="22"/>
          <w:szCs w:val="22"/>
        </w:rPr>
        <w:t>(</w:t>
      </w:r>
      <w:r w:rsidRPr="004D3F26">
        <w:rPr>
          <w:sz w:val="22"/>
          <w:szCs w:val="22"/>
        </w:rPr>
        <w:t xml:space="preserve">E1-Radviliškio rajono savivaldybės visuomenės sveikatos biuro direktorė; E2-Šiaulių universiteto socialinės gerovės ir negalės studijų fakulteto Medicinos pagrindų katedros vedėjas, Šiaulių miesto savivaldybės bendruomenės sveikatos tarybos pirmininkas; E3-Šiaulių teritorinės ligonių kasos analizės skyriaus vedėja, E4-Šiaulių miesto savivaldybės visuomenės sveikatos biuro direktorė, E5-Klaipėdos rajono visuomenės sveikatos biuro direktorė, visuomenės sveikatos biurų asociacijos prezidentė, E6-Šiaulių visuomenės sveikatos centro direktorius, E7-Šiaulių miesto savivaldybės </w:t>
      </w:r>
      <w:r w:rsidRPr="004D3F26">
        <w:rPr>
          <w:sz w:val="22"/>
          <w:szCs w:val="22"/>
        </w:rPr>
        <w:lastRenderedPageBreak/>
        <w:t>visuomenės sveikatos biuro vaikų ir jaunimo priežiūros skyriaus vedėja, E8- Šiaulių teritorinės ligonių kasos kontrolės ir ekspertizės skyriaus vyriausioji specialistė).</w:t>
      </w:r>
      <w:r>
        <w:rPr>
          <w:sz w:val="22"/>
          <w:szCs w:val="22"/>
        </w:rPr>
        <w:t xml:space="preserve"> </w:t>
      </w:r>
      <w:r w:rsidRPr="00D07B25">
        <w:rPr>
          <w:bCs/>
          <w:sz w:val="22"/>
          <w:szCs w:val="22"/>
        </w:rPr>
        <w:t>Tyrime buvo naudotas interviu metodas</w:t>
      </w:r>
      <w:r w:rsidRPr="00D07B25">
        <w:rPr>
          <w:b/>
          <w:bCs/>
          <w:sz w:val="22"/>
          <w:szCs w:val="22"/>
        </w:rPr>
        <w:t xml:space="preserve"> -</w:t>
      </w:r>
      <w:r w:rsidRPr="00D07B25">
        <w:rPr>
          <w:bCs/>
          <w:sz w:val="22"/>
          <w:szCs w:val="22"/>
        </w:rPr>
        <w:t xml:space="preserve"> duomenų rinkimas tiesiogiai bendraujant (kalbantis) tyrėjui ir respondentui.</w:t>
      </w:r>
    </w:p>
    <w:p w:rsidR="00995BE0" w:rsidRDefault="00995BE0" w:rsidP="00851EF3">
      <w:pPr>
        <w:jc w:val="both"/>
        <w:rPr>
          <w:bCs/>
          <w:sz w:val="22"/>
          <w:szCs w:val="22"/>
        </w:rPr>
      </w:pPr>
      <w:r w:rsidRPr="00D07B25">
        <w:rPr>
          <w:bCs/>
          <w:sz w:val="22"/>
          <w:szCs w:val="22"/>
        </w:rPr>
        <w:t>Tyrimo metu išaiškėjo, kad biuras turi daugiau trūkumų nei privalumų. Tai galima paaiškinti keliais aspektais: visų pirma tai gali atsitikti dėl to, kad šios įstaigos yra dar jaunos, nėra patirties, kol kas darbas tik tobulintinas, nėra bendros sistemos, metodikos. Kaip paaiškėjo – kai kurie biurai neturi pilnos struktūros, trūksta vieno ar kelių specialistų. Kitas aspektas gali būti susijęs su Lietuvos sveikatos sistemos reforma, kuri vykdoma per greitai, gerai neapgalvojus visų aspektų.</w:t>
      </w:r>
      <w:r>
        <w:rPr>
          <w:bCs/>
          <w:sz w:val="22"/>
          <w:szCs w:val="22"/>
        </w:rPr>
        <w:t xml:space="preserve"> 3 paveiksle apibendrintai pateikta schema, kaip ekspertų išvardinti trūkumai priklauso vienas nuo kito.</w:t>
      </w:r>
    </w:p>
    <w:p w:rsidR="00995BE0" w:rsidRPr="00D07B25" w:rsidRDefault="00995BE0" w:rsidP="00851EF3">
      <w:pPr>
        <w:jc w:val="both"/>
        <w:rPr>
          <w:sz w:val="22"/>
          <w:szCs w:val="22"/>
        </w:rPr>
      </w:pPr>
      <w:r>
        <w:rPr>
          <w:sz w:val="22"/>
          <w:szCs w:val="22"/>
        </w:rPr>
        <w:t>Apibendrinant tyrimo rezultatus, galima teigti, kad vienas pagrindinių veiksnių, kurie neleidžia tinkamai biurui funkcionuoti yra savivaldybių ir visų aukštesnių politikų nepakankamas ir dažniai negatyvus požiūris į visuomenės sveikatą. Daugelis ekspertų pareiškė, kad su šia problema buvo susidūrę asmeniškai, kai tenka aiškinti kam yra reikalingas visuomenės sveikatos biuras, kokias funkcijas jie atlieka ir pan. Taigi to rezultatas – per mažai skiriamas finansavimas tiek iš sveikatos apsaugos ministerijos pirminei sveikatos priežiūrai, tiek iš savivaldybės visuomenės sveikatos biurui. Kita pasekmė – nėra pakankamų metodikų, kuriomis galėtų vadovautis visi biurai, nors šios įstaigos jau dirba 5 metus, tačiau, kaip paaiškėjo ir ataskaitas, organizacinius darbus atlieka savaip, o tai reiškia – skirtingai. Iš šių dviejų pagrindinių reiškinių seka ir kiti, ne tik Šiaulių visuomenės sveikatos biure, esančių trūkumai, kurie vienaip ar kitaip įtakoja biuro veiklą.</w:t>
      </w:r>
    </w:p>
    <w:p w:rsidR="00995BE0" w:rsidRPr="000611E7" w:rsidRDefault="00CB16CF" w:rsidP="00851EF3">
      <w:pPr>
        <w:spacing w:line="360" w:lineRule="auto"/>
        <w:ind w:firstLine="540"/>
        <w:jc w:val="both"/>
        <w:rPr>
          <w:b/>
        </w:rPr>
      </w:pPr>
      <w:r>
        <w:rPr>
          <w:b/>
        </w:rPr>
      </w:r>
      <w:r>
        <w:rPr>
          <w:b/>
        </w:rPr>
        <w:pict>
          <v:group id="_x0000_s1133" editas="canvas" style="width:480pt;height:333pt;mso-position-horizontal-relative:char;mso-position-vertical-relative:line" coordorigin="2341,11578" coordsize="7200,4995">
            <o:lock v:ext="edit" aspectratio="t"/>
            <v:shape id="_x0000_s1134" type="#_x0000_t75" style="position:absolute;left:2341;top:11578;width:7200;height:4995" o:preferrelative="f">
              <v:fill o:detectmouseclick="t"/>
              <v:path o:extrusionok="t" o:connecttype="none"/>
              <o:lock v:ext="edit" text="t"/>
            </v:shape>
            <v:rect id="_x0000_s1135" style="position:absolute;left:4771;top:11848;width:2520;height:405">
              <v:textbox style="mso-next-textbox:#_x0000_s1135">
                <w:txbxContent>
                  <w:p w:rsidR="00995BE0" w:rsidRPr="00F06393" w:rsidRDefault="00995BE0" w:rsidP="00851EF3">
                    <w:pPr>
                      <w:jc w:val="center"/>
                      <w:rPr>
                        <w:sz w:val="22"/>
                        <w:szCs w:val="22"/>
                      </w:rPr>
                    </w:pPr>
                    <w:r w:rsidRPr="00F06393">
                      <w:rPr>
                        <w:sz w:val="22"/>
                        <w:szCs w:val="22"/>
                      </w:rPr>
                      <w:t>Politikų nuostatos biurų atžvilgiu</w:t>
                    </w:r>
                  </w:p>
                  <w:p w:rsidR="00995BE0" w:rsidRDefault="00995BE0" w:rsidP="00851EF3"/>
                </w:txbxContent>
              </v:textbox>
            </v:rect>
            <v:rect id="_x0000_s1136" style="position:absolute;left:3241;top:12793;width:2610;height:540">
              <v:textbox style="mso-next-textbox:#_x0000_s1136">
                <w:txbxContent>
                  <w:p w:rsidR="00995BE0" w:rsidRPr="001C03CF" w:rsidRDefault="00995BE0" w:rsidP="00851EF3">
                    <w:pPr>
                      <w:jc w:val="center"/>
                      <w:rPr>
                        <w:sz w:val="20"/>
                        <w:szCs w:val="20"/>
                      </w:rPr>
                    </w:pPr>
                    <w:r w:rsidRPr="001C03CF">
                      <w:rPr>
                        <w:sz w:val="20"/>
                        <w:szCs w:val="20"/>
                      </w:rPr>
                      <w:t>Nepakankamas pirminės sveikatos priežiūros finansavimas</w:t>
                    </w:r>
                  </w:p>
                  <w:p w:rsidR="00995BE0" w:rsidRDefault="00995BE0" w:rsidP="00851EF3"/>
                </w:txbxContent>
              </v:textbox>
            </v:rect>
            <v:rect id="_x0000_s1137" style="position:absolute;left:6121;top:12793;width:2700;height:405">
              <v:textbox style="mso-next-textbox:#_x0000_s1137">
                <w:txbxContent>
                  <w:p w:rsidR="00995BE0" w:rsidRPr="001C03CF" w:rsidRDefault="00995BE0" w:rsidP="00851EF3">
                    <w:pPr>
                      <w:jc w:val="center"/>
                      <w:rPr>
                        <w:sz w:val="20"/>
                        <w:szCs w:val="20"/>
                      </w:rPr>
                    </w:pPr>
                    <w:r>
                      <w:rPr>
                        <w:sz w:val="20"/>
                        <w:szCs w:val="20"/>
                      </w:rPr>
                      <w:t>Ne iki galo sutvarkyta metodika</w:t>
                    </w:r>
                  </w:p>
                  <w:p w:rsidR="00995BE0" w:rsidRDefault="00995BE0" w:rsidP="00851EF3"/>
                </w:txbxContent>
              </v:textbox>
            </v:rect>
            <v:rect id="_x0000_s1138" style="position:absolute;left:2476;top:13738;width:3375;height:2835">
              <v:textbox style="mso-next-textbox:#_x0000_s1138">
                <w:txbxContent>
                  <w:p w:rsidR="00995BE0" w:rsidRPr="00C110C3" w:rsidRDefault="00995BE0" w:rsidP="00851EF3">
                    <w:pPr>
                      <w:rPr>
                        <w:sz w:val="20"/>
                        <w:szCs w:val="20"/>
                      </w:rPr>
                    </w:pPr>
                    <w:r w:rsidRPr="00C110C3">
                      <w:rPr>
                        <w:bCs/>
                        <w:sz w:val="20"/>
                        <w:szCs w:val="20"/>
                      </w:rPr>
                      <w:t>Žiniasklaida nepakankamai įsitraukia į sveikatinimo veiklą;</w:t>
                    </w:r>
                  </w:p>
                  <w:p w:rsidR="00995BE0" w:rsidRPr="00C110C3" w:rsidRDefault="00995BE0" w:rsidP="00851EF3">
                    <w:pPr>
                      <w:rPr>
                        <w:sz w:val="20"/>
                        <w:szCs w:val="20"/>
                      </w:rPr>
                    </w:pPr>
                    <w:r w:rsidRPr="00C110C3">
                      <w:rPr>
                        <w:bCs/>
                        <w:sz w:val="20"/>
                        <w:szCs w:val="20"/>
                      </w:rPr>
                      <w:t>Mokyklose nėra atskiros disciplinos skirtos sveikatos mokymui;</w:t>
                    </w:r>
                  </w:p>
                  <w:p w:rsidR="00995BE0" w:rsidRPr="00C110C3" w:rsidRDefault="00995BE0" w:rsidP="00851EF3">
                    <w:pPr>
                      <w:rPr>
                        <w:sz w:val="20"/>
                        <w:szCs w:val="20"/>
                      </w:rPr>
                    </w:pPr>
                    <w:r w:rsidRPr="00C110C3">
                      <w:rPr>
                        <w:sz w:val="20"/>
                        <w:szCs w:val="20"/>
                      </w:rPr>
                      <w:t>Šeimos pajungimas į sveikatinimo veiklą;</w:t>
                    </w:r>
                  </w:p>
                  <w:p w:rsidR="00995BE0" w:rsidRPr="00C110C3" w:rsidRDefault="00995BE0" w:rsidP="00851EF3">
                    <w:pPr>
                      <w:rPr>
                        <w:sz w:val="20"/>
                        <w:szCs w:val="20"/>
                      </w:rPr>
                    </w:pPr>
                    <w:r w:rsidRPr="00C110C3">
                      <w:rPr>
                        <w:sz w:val="20"/>
                        <w:szCs w:val="20"/>
                      </w:rPr>
                      <w:t>Nuolatinė darbuotojų kaita;</w:t>
                    </w:r>
                  </w:p>
                  <w:p w:rsidR="00995BE0" w:rsidRPr="00C110C3" w:rsidRDefault="00995BE0" w:rsidP="00851EF3">
                    <w:pPr>
                      <w:rPr>
                        <w:sz w:val="20"/>
                        <w:szCs w:val="20"/>
                      </w:rPr>
                    </w:pPr>
                    <w:r w:rsidRPr="00C110C3">
                      <w:rPr>
                        <w:sz w:val="20"/>
                        <w:szCs w:val="20"/>
                      </w:rPr>
                      <w:t>Neigiamas mokyklų vadovų požiūris į visuomenės sveikatos specialistus;</w:t>
                    </w:r>
                  </w:p>
                  <w:p w:rsidR="00995BE0" w:rsidRPr="00C110C3" w:rsidRDefault="00995BE0" w:rsidP="00851EF3">
                    <w:pPr>
                      <w:rPr>
                        <w:sz w:val="20"/>
                        <w:szCs w:val="20"/>
                      </w:rPr>
                    </w:pPr>
                    <w:r w:rsidRPr="00C110C3">
                      <w:rPr>
                        <w:sz w:val="20"/>
                        <w:szCs w:val="20"/>
                      </w:rPr>
                      <w:t>Nepakankamai pritaikytos  patalpos darbui;</w:t>
                    </w:r>
                  </w:p>
                  <w:p w:rsidR="00995BE0" w:rsidRPr="00C110C3" w:rsidRDefault="00995BE0" w:rsidP="00851EF3">
                    <w:pPr>
                      <w:rPr>
                        <w:sz w:val="20"/>
                        <w:szCs w:val="20"/>
                      </w:rPr>
                    </w:pPr>
                    <w:r w:rsidRPr="00C110C3">
                      <w:rPr>
                        <w:sz w:val="20"/>
                        <w:szCs w:val="20"/>
                      </w:rPr>
                      <w:t>Specialistai darbe naudoja neefektyvias mokymo priemones;</w:t>
                    </w:r>
                  </w:p>
                  <w:p w:rsidR="00995BE0" w:rsidRPr="00C110C3" w:rsidRDefault="00995BE0" w:rsidP="00851EF3">
                    <w:pPr>
                      <w:rPr>
                        <w:sz w:val="20"/>
                        <w:szCs w:val="20"/>
                      </w:rPr>
                    </w:pPr>
                    <w:r w:rsidRPr="00C110C3">
                      <w:rPr>
                        <w:sz w:val="20"/>
                        <w:szCs w:val="20"/>
                      </w:rPr>
                      <w:t>Kvalifikuotų specialistų trūkumas;</w:t>
                    </w:r>
                  </w:p>
                  <w:p w:rsidR="00995BE0" w:rsidRPr="00C110C3" w:rsidRDefault="00995BE0" w:rsidP="00851EF3">
                    <w:pPr>
                      <w:rPr>
                        <w:sz w:val="20"/>
                        <w:szCs w:val="20"/>
                      </w:rPr>
                    </w:pPr>
                    <w:r w:rsidRPr="00C110C3">
                      <w:rPr>
                        <w:sz w:val="20"/>
                        <w:szCs w:val="20"/>
                      </w:rPr>
                      <w:t>Specialistų motyvacijos trūkumas;</w:t>
                    </w:r>
                  </w:p>
                  <w:p w:rsidR="00995BE0" w:rsidRDefault="00995BE0" w:rsidP="00851EF3">
                    <w:pPr>
                      <w:rPr>
                        <w:sz w:val="20"/>
                        <w:szCs w:val="20"/>
                      </w:rPr>
                    </w:pPr>
                    <w:r w:rsidRPr="00C110C3">
                      <w:rPr>
                        <w:sz w:val="20"/>
                        <w:szCs w:val="20"/>
                      </w:rPr>
                      <w:t>Ne visur suformuotos biuro struktūros</w:t>
                    </w:r>
                    <w:r>
                      <w:rPr>
                        <w:sz w:val="20"/>
                        <w:szCs w:val="20"/>
                      </w:rPr>
                      <w:t>;</w:t>
                    </w:r>
                  </w:p>
                  <w:p w:rsidR="00995BE0" w:rsidRPr="00C110C3" w:rsidRDefault="00995BE0" w:rsidP="00851EF3">
                    <w:pPr>
                      <w:rPr>
                        <w:sz w:val="20"/>
                        <w:szCs w:val="20"/>
                      </w:rPr>
                    </w:pPr>
                    <w:r w:rsidRPr="00C110C3">
                      <w:rPr>
                        <w:sz w:val="20"/>
                        <w:szCs w:val="20"/>
                      </w:rPr>
                      <w:t>Nepakankamas dėmesys ikimokyklinio amžiaus vaikų sveikatai</w:t>
                    </w:r>
                    <w:r>
                      <w:rPr>
                        <w:sz w:val="20"/>
                        <w:szCs w:val="20"/>
                      </w:rPr>
                      <w:t>.</w:t>
                    </w:r>
                  </w:p>
                  <w:p w:rsidR="00995BE0" w:rsidRDefault="00995BE0" w:rsidP="00851EF3">
                    <w:pPr>
                      <w:rPr>
                        <w:sz w:val="20"/>
                        <w:szCs w:val="20"/>
                      </w:rPr>
                    </w:pPr>
                  </w:p>
                  <w:p w:rsidR="00995BE0" w:rsidRPr="00C110C3" w:rsidRDefault="00995BE0" w:rsidP="00851EF3">
                    <w:pPr>
                      <w:rPr>
                        <w:sz w:val="20"/>
                        <w:szCs w:val="20"/>
                      </w:rPr>
                    </w:pPr>
                  </w:p>
                  <w:p w:rsidR="00995BE0" w:rsidRDefault="00995BE0" w:rsidP="00851EF3">
                    <w:pPr>
                      <w:tabs>
                        <w:tab w:val="num" w:pos="480"/>
                      </w:tabs>
                      <w:ind w:hanging="720"/>
                    </w:pPr>
                  </w:p>
                </w:txbxContent>
              </v:textbox>
            </v:rect>
            <v:rect id="_x0000_s1139" style="position:absolute;left:6301;top:13603;width:3060;height:1350">
              <v:textbox style="mso-next-textbox:#_x0000_s1139">
                <w:txbxContent>
                  <w:p w:rsidR="00995BE0" w:rsidRPr="00C110C3" w:rsidRDefault="00995BE0" w:rsidP="00851EF3">
                    <w:pPr>
                      <w:rPr>
                        <w:sz w:val="20"/>
                        <w:szCs w:val="20"/>
                      </w:rPr>
                    </w:pPr>
                    <w:r w:rsidRPr="00C110C3">
                      <w:rPr>
                        <w:bCs/>
                        <w:sz w:val="20"/>
                        <w:szCs w:val="20"/>
                      </w:rPr>
                      <w:t>Nepakankamas stebėsenos skyriaus darbas;</w:t>
                    </w:r>
                  </w:p>
                  <w:p w:rsidR="00995BE0" w:rsidRPr="00C110C3" w:rsidRDefault="00995BE0" w:rsidP="00851EF3">
                    <w:pPr>
                      <w:rPr>
                        <w:sz w:val="20"/>
                        <w:szCs w:val="20"/>
                      </w:rPr>
                    </w:pPr>
                    <w:r w:rsidRPr="00C110C3">
                      <w:rPr>
                        <w:bCs/>
                        <w:sz w:val="20"/>
                        <w:szCs w:val="20"/>
                      </w:rPr>
                      <w:t>Per platus veiklos spektras;</w:t>
                    </w:r>
                  </w:p>
                  <w:p w:rsidR="00995BE0" w:rsidRPr="00C110C3" w:rsidRDefault="00995BE0" w:rsidP="00851EF3">
                    <w:pPr>
                      <w:rPr>
                        <w:sz w:val="20"/>
                        <w:szCs w:val="20"/>
                      </w:rPr>
                    </w:pPr>
                    <w:r w:rsidRPr="00C110C3">
                      <w:rPr>
                        <w:bCs/>
                        <w:sz w:val="20"/>
                        <w:szCs w:val="20"/>
                      </w:rPr>
                      <w:t>Nėra kasmetinio darbų veiklos planų vertinimo;</w:t>
                    </w:r>
                  </w:p>
                  <w:p w:rsidR="00995BE0" w:rsidRPr="00C110C3" w:rsidRDefault="00995BE0" w:rsidP="00851EF3">
                    <w:pPr>
                      <w:rPr>
                        <w:sz w:val="20"/>
                        <w:szCs w:val="20"/>
                      </w:rPr>
                    </w:pPr>
                    <w:r w:rsidRPr="00C110C3">
                      <w:rPr>
                        <w:sz w:val="20"/>
                        <w:szCs w:val="20"/>
                      </w:rPr>
                      <w:t>Nesutvarkyta paslaugų nomenklatūra, lėšų poreikio skaičiaus metodika;</w:t>
                    </w:r>
                  </w:p>
                  <w:p w:rsidR="00995BE0" w:rsidRPr="00C110C3" w:rsidRDefault="00995BE0" w:rsidP="00851EF3">
                    <w:pPr>
                      <w:rPr>
                        <w:sz w:val="20"/>
                        <w:szCs w:val="20"/>
                      </w:rPr>
                    </w:pPr>
                    <w:r w:rsidRPr="00C110C3">
                      <w:rPr>
                        <w:sz w:val="20"/>
                        <w:szCs w:val="20"/>
                      </w:rPr>
                      <w:t>Nėra bendros metodikos;</w:t>
                    </w:r>
                  </w:p>
                  <w:p w:rsidR="00995BE0" w:rsidRDefault="00995BE0" w:rsidP="00851EF3"/>
                </w:txbxContent>
              </v:textbox>
            </v:rect>
            <v:shape id="_x0000_s1140" type="#_x0000_t67" style="position:absolute;left:7201;top:13198;width:574;height:405">
              <v:textbox style="layout-flow:vertical-ideographic"/>
            </v:shape>
            <v:shape id="_x0000_s1141" type="#_x0000_t67" style="position:absolute;left:4501;top:13333;width:540;height:405">
              <v:textbox style="layout-flow:vertical-ideographic"/>
            </v:shape>
            <v:shape id="_x0000_s1142" type="#_x0000_t67" style="position:absolute;left:4906;top:12253;width:540;height:540">
              <v:textbox style="layout-flow:vertical-ideographic"/>
            </v:shape>
            <v:shape id="_x0000_s1143" type="#_x0000_t67" style="position:absolute;left:6661;top:12253;width:540;height:540">
              <v:textbox style="layout-flow:vertical-ideographic"/>
            </v:shape>
            <w10:wrap type="none"/>
            <w10:anchorlock/>
          </v:group>
        </w:pict>
      </w:r>
    </w:p>
    <w:p w:rsidR="00995BE0" w:rsidRDefault="00995BE0" w:rsidP="00851EF3">
      <w:pPr>
        <w:jc w:val="center"/>
        <w:rPr>
          <w:sz w:val="22"/>
          <w:szCs w:val="22"/>
        </w:rPr>
      </w:pPr>
      <w:r>
        <w:rPr>
          <w:b/>
          <w:sz w:val="22"/>
          <w:szCs w:val="22"/>
        </w:rPr>
        <w:t>3</w:t>
      </w:r>
      <w:r w:rsidRPr="00670D41">
        <w:rPr>
          <w:b/>
          <w:sz w:val="22"/>
          <w:szCs w:val="22"/>
        </w:rPr>
        <w:t xml:space="preserve"> pav.</w:t>
      </w:r>
      <w:r w:rsidRPr="00670D41">
        <w:rPr>
          <w:sz w:val="22"/>
          <w:szCs w:val="22"/>
        </w:rPr>
        <w:t xml:space="preserve"> Šiaulių visuomenės sveikatos biuro </w:t>
      </w:r>
      <w:r>
        <w:rPr>
          <w:sz w:val="22"/>
          <w:szCs w:val="22"/>
        </w:rPr>
        <w:t xml:space="preserve">veiklos </w:t>
      </w:r>
      <w:r w:rsidRPr="00670D41">
        <w:rPr>
          <w:sz w:val="22"/>
          <w:szCs w:val="22"/>
        </w:rPr>
        <w:t>trūkumai ir jų tarpusavio ryšiai</w:t>
      </w:r>
    </w:p>
    <w:p w:rsidR="00995BE0" w:rsidRPr="00670D41" w:rsidRDefault="00995BE0" w:rsidP="00851EF3">
      <w:pPr>
        <w:jc w:val="center"/>
        <w:rPr>
          <w:sz w:val="20"/>
          <w:szCs w:val="20"/>
        </w:rPr>
      </w:pPr>
      <w:r w:rsidRPr="00670D41">
        <w:rPr>
          <w:sz w:val="20"/>
          <w:szCs w:val="20"/>
        </w:rPr>
        <w:t xml:space="preserve">Sudaryta autoriaus, remiantis ekspertų tyrimo rezultatais </w:t>
      </w:r>
    </w:p>
    <w:p w:rsidR="00995BE0" w:rsidRPr="007B5182" w:rsidRDefault="00995BE0" w:rsidP="00851EF3">
      <w:pPr>
        <w:jc w:val="both"/>
      </w:pPr>
    </w:p>
    <w:p w:rsidR="00995BE0" w:rsidRPr="000010AB" w:rsidRDefault="00995BE0" w:rsidP="00851EF3">
      <w:pPr>
        <w:tabs>
          <w:tab w:val="left" w:pos="397"/>
        </w:tabs>
        <w:jc w:val="both"/>
        <w:rPr>
          <w:sz w:val="22"/>
          <w:szCs w:val="22"/>
        </w:rPr>
      </w:pPr>
      <w:r>
        <w:rPr>
          <w:sz w:val="22"/>
          <w:szCs w:val="22"/>
        </w:rPr>
        <w:t xml:space="preserve">Kaip parodo 3 paveikslas, daugiausia biuro veikla priklauso nuo finansavimo. Jei jis būtų pakankamas, užtikrintas ir savalaikis galėtume tikėtis didesnės specialistų motyvacijos, mažesnės jų kaitos. Visuomenės sveikatos biuras į savo veiklą galėtų įsitraukti šeimas bei ikimokyklinio amžiaus vaikus, kurių ugdymas yra labai svarbus, nuo kurių reikia pradėti sveikatinimo veiklą, nes didelė dalis vaikų jau į pirmą klasę ateina turėdami sveikatos sutrikimų. Tuo tarpu dėl iki galo nesutvarkytos metodikos atsiranda tokios problemos kaip per platus veiklos spektras. Spręstinų sveikatos problemų yra nemažai, o visas aprėpti ir išspręsti reikia laiko, žmogiškųjų išteklių ir lėšų. Vienas iš ekspertų pabrėžė būtinumą sukurti bendrą metodiką, pagal kurią būtų galima paskaičiuoti paslaugų nomenklatūra ir lėšų poreikį. </w:t>
      </w:r>
    </w:p>
    <w:p w:rsidR="00995BE0" w:rsidRPr="00C551BE" w:rsidRDefault="00995BE0" w:rsidP="00851EF3">
      <w:pPr>
        <w:tabs>
          <w:tab w:val="left" w:pos="397"/>
        </w:tabs>
        <w:ind w:firstLine="360"/>
        <w:jc w:val="both"/>
        <w:rPr>
          <w:sz w:val="22"/>
          <w:szCs w:val="22"/>
        </w:rPr>
      </w:pPr>
      <w:r w:rsidRPr="00C551BE">
        <w:rPr>
          <w:sz w:val="22"/>
          <w:szCs w:val="22"/>
        </w:rPr>
        <w:lastRenderedPageBreak/>
        <w:t>Visgi reikia pabrėžti, kad ekspertai teigiamai vertina savivaldybių visuomenės sveikatos veiklą, tačiau dirbti ir pasiekti rezultatų kurių tikimasi be politikų pagalbos ir palaikymo nėra lengva.</w:t>
      </w:r>
    </w:p>
    <w:p w:rsidR="00995BE0" w:rsidRPr="004D3F26" w:rsidRDefault="00995BE0" w:rsidP="00851EF3">
      <w:pPr>
        <w:tabs>
          <w:tab w:val="left" w:pos="397"/>
        </w:tabs>
        <w:jc w:val="both"/>
        <w:rPr>
          <w:sz w:val="22"/>
          <w:szCs w:val="22"/>
        </w:rPr>
      </w:pPr>
      <w:r w:rsidRPr="001C3E02">
        <w:rPr>
          <w:b/>
          <w:sz w:val="22"/>
          <w:szCs w:val="22"/>
        </w:rPr>
        <w:t xml:space="preserve">Šiaulių miesto visuomenės sveikatos biuro strateginių prioritetų analizė. </w:t>
      </w:r>
      <w:r w:rsidRPr="004D3F26">
        <w:rPr>
          <w:sz w:val="22"/>
          <w:szCs w:val="22"/>
        </w:rPr>
        <w:t>Vadovaujantis ekspertų nuostatomis, kaip vienintelį prioritetą, kurį daugelis jų konkrečiai apibrėžė yra vaikų sveikata (jis bus aptartas vėliau). Kitus prioritetus jų nuomone turėtų parodyti stebėsenos analizė (E3, E4, E7, E8).</w:t>
      </w:r>
      <w:r w:rsidRPr="004D3F26">
        <w:t xml:space="preserve"> </w:t>
      </w:r>
      <w:r w:rsidRPr="004D3F26">
        <w:rPr>
          <w:sz w:val="22"/>
          <w:szCs w:val="22"/>
        </w:rPr>
        <w:t xml:space="preserve">Ekspertai nurodė, kad viena iš pagrindinių savivaldybių visuomenės sveikatos priežiūros funkcijų yra visuomenės sveikatos stebėsena, kurią vykdant gaunama išsami informaciją apie gyventojų sveikatos būklę ir ją lemiančius rizikos veiksnius, ir tuo pagrindu galima nusistatyti visuomenės sveikatos problemas ir visuomenės sveikatos stiprinimo prioritetus, kokios sveikatinimo programos gali būti finansuojamos papildomai. Taigi apibendrinant Šiaulių miesto gyventojų sveikatos būklę, pagrindines sergamumo/mirtingumo priežastis, socialinius ekonominius veiksnius neigiamai veikiančius sveikatą, galima išskirti 4 pagrindinius sveikatos prioritetui. </w:t>
      </w:r>
    </w:p>
    <w:p w:rsidR="00995BE0" w:rsidRPr="001C3E02" w:rsidRDefault="00995BE0" w:rsidP="00851EF3">
      <w:pPr>
        <w:tabs>
          <w:tab w:val="left" w:pos="397"/>
        </w:tabs>
        <w:jc w:val="both"/>
        <w:rPr>
          <w:sz w:val="22"/>
          <w:szCs w:val="22"/>
        </w:rPr>
      </w:pPr>
      <w:r w:rsidRPr="001C3E02">
        <w:rPr>
          <w:sz w:val="22"/>
          <w:szCs w:val="22"/>
        </w:rPr>
        <w:t xml:space="preserve">Pirmasis prioritetas nukreiptas į socialinių – ekonominių sveikatos netolygumų mažinimą. Ši problema aktuali tuo, kad socialiai – ekonominiai skirtumai vis didėja, o sveikatos nelygybė vis ryškėja. </w:t>
      </w:r>
      <w:r>
        <w:rPr>
          <w:sz w:val="22"/>
          <w:szCs w:val="22"/>
        </w:rPr>
        <w:t>P</w:t>
      </w:r>
      <w:r w:rsidRPr="001C3E02">
        <w:rPr>
          <w:sz w:val="22"/>
          <w:szCs w:val="22"/>
        </w:rPr>
        <w:t>asak Kalėdienės (2010) socialiniai sveikatos netolygumai Lietuvoje didėjo, tai priklausė nuo skirtingomis kryptimis kintančio mirtingumo įvairiose išsimokslinimo grupėse. Pasaulinės sveikatos organizacijos pateiktas socialinių ir ekonominių faktorių apibrėžimas teigia, kad labiausiai sveikatą įtakoja žmonių gyvenimo sąlygos: skurdas, socialinė atskirtis, nedarbas, kokybiško būsto trūkumas, ekologinis užterštumas, prasta mityba, sveikatos priežiūros paslaugų prieinamumas ir kiti veiksniai.</w:t>
      </w:r>
    </w:p>
    <w:p w:rsidR="00995BE0" w:rsidRPr="001C3E02" w:rsidRDefault="00995BE0" w:rsidP="00851EF3">
      <w:pPr>
        <w:autoSpaceDE w:val="0"/>
        <w:autoSpaceDN w:val="0"/>
        <w:adjustRightInd w:val="0"/>
        <w:jc w:val="both"/>
        <w:rPr>
          <w:sz w:val="22"/>
          <w:szCs w:val="22"/>
        </w:rPr>
      </w:pPr>
      <w:r w:rsidRPr="001C3E02">
        <w:rPr>
          <w:sz w:val="22"/>
          <w:szCs w:val="22"/>
        </w:rPr>
        <w:t>Analizuojant Šiaulių miesto atvejį, kai kuriuos sveikatos netolygumus galima vertinti remiantis 2008 m. atliktu Šiaulių suaugusių žmonių gyvensenos tyrimu. Jame išryškėja sveikatos skirtumai priklausantys nuo įgyto išsilavinimo (savo sveikatą geriau vertina aukštesnį išsilavinimą įgiję respondentai, sunkų fizinį darbą dažniau dirbo nebaigtą vidurinį išsilavinimą įgiję gyventojai), šeimyninės padėties (depresiją dažniau patiria našliai, išsiskyrę asmenys; vienišų žmonių grupėje buvo mažesnė pusryčiaujančių dalis, tačiau didesnė vartojančių alkoholį), bei lyties (daugiau nei 100 cigarečių per gyvenimą didesnė dalis surūkiusių buvo vyrų nei moterų, be to vyrai geriau vertina savo gyvenimo kokybę).</w:t>
      </w:r>
    </w:p>
    <w:p w:rsidR="00995BE0" w:rsidRPr="001C3E02" w:rsidRDefault="00995BE0" w:rsidP="00851EF3">
      <w:pPr>
        <w:autoSpaceDE w:val="0"/>
        <w:autoSpaceDN w:val="0"/>
        <w:adjustRightInd w:val="0"/>
        <w:jc w:val="both"/>
        <w:rPr>
          <w:sz w:val="22"/>
          <w:szCs w:val="22"/>
        </w:rPr>
      </w:pPr>
      <w:r w:rsidRPr="001C3E02">
        <w:rPr>
          <w:sz w:val="22"/>
          <w:szCs w:val="22"/>
        </w:rPr>
        <w:t>Nors Šiaulių miesto savivaldybė jau 2008 m. pasiekė Lietuvos sveikatos programoje užsibrėžtą tikslą (prailginti Lietuvos gyventojų vidutinę gyvenimo trukmę iki 73 metų), tačiau skirtumas tarp lyties yra didelis (2006-2008 m. vidurkis buvo 10,27 metų). Naujausiais, 2010 m., duomenimis, Europos Sąjungos valstybių vyrų ir moterų nedarbo lygis skyrėsi nežymiai. Tuo tarpu žymus skirtumas stebimas Lietuvoje bei Šiaulių apskrityje – didesnę dalį bedarbių sudarė vyrai.</w:t>
      </w:r>
    </w:p>
    <w:p w:rsidR="00995BE0" w:rsidRPr="001C3E02" w:rsidRDefault="00995BE0" w:rsidP="00851EF3">
      <w:pPr>
        <w:ind w:right="38"/>
        <w:jc w:val="both"/>
        <w:rPr>
          <w:sz w:val="22"/>
          <w:szCs w:val="22"/>
        </w:rPr>
      </w:pPr>
      <w:r w:rsidRPr="001C3E02">
        <w:rPr>
          <w:sz w:val="22"/>
          <w:szCs w:val="22"/>
        </w:rPr>
        <w:t xml:space="preserve">Antrasis prioritetas – vaikų sveikata. Prastą vaikų sveikatą rodo tiek sveikatos priežiūros ataskaitų rodikliai, tiek ir vykdomi socialiniai tyrimų rezultatai. Lietuvos sveikatos informacijos centro duomenimis 2009 metais Šiaulių mieste, apskrityje ir visoje šalyje vaikų sergamumas buvo didesnis nei suaugusiųjų, Šiaulių mieste 1 000-ui vaikų teko 2307,6 naujai registruoti susirgimo atvejai, o suaugusiųjų – 989,3/1 000-ui suaugusiųjų. Pagal mokyklų visuomenės sveikatos priežiūros specialisčių pateiktus duomenis Šiaulių miesto bendrojo lavinimo mokyklų mokinių skaičius yra </w:t>
      </w:r>
      <w:r w:rsidRPr="001C3E02">
        <w:rPr>
          <w:bCs/>
          <w:sz w:val="22"/>
          <w:szCs w:val="22"/>
        </w:rPr>
        <w:t>16385.</w:t>
      </w:r>
      <w:r w:rsidRPr="001C3E02">
        <w:rPr>
          <w:b/>
          <w:bCs/>
          <w:sz w:val="22"/>
          <w:szCs w:val="22"/>
        </w:rPr>
        <w:t xml:space="preserve"> </w:t>
      </w:r>
      <w:r w:rsidRPr="001C3E02">
        <w:rPr>
          <w:sz w:val="22"/>
          <w:szCs w:val="22"/>
        </w:rPr>
        <w:t xml:space="preserve">Iš profilaktiškai sveikatą pasitikrinusių mokinių 2009-2010 m. tik </w:t>
      </w:r>
      <w:r w:rsidRPr="001C3E02">
        <w:rPr>
          <w:bCs/>
          <w:sz w:val="22"/>
          <w:szCs w:val="22"/>
        </w:rPr>
        <w:t>33 proc.</w:t>
      </w:r>
      <w:r w:rsidRPr="001C3E02">
        <w:rPr>
          <w:b/>
          <w:bCs/>
          <w:sz w:val="22"/>
          <w:szCs w:val="22"/>
        </w:rPr>
        <w:t xml:space="preserve"> </w:t>
      </w:r>
      <w:r w:rsidRPr="001C3E02">
        <w:rPr>
          <w:sz w:val="22"/>
          <w:szCs w:val="22"/>
        </w:rPr>
        <w:t xml:space="preserve">neturi jokių sveikatos sutrikimų. </w:t>
      </w:r>
      <w:r w:rsidRPr="001C3E02">
        <w:rPr>
          <w:bCs/>
          <w:sz w:val="22"/>
          <w:szCs w:val="22"/>
        </w:rPr>
        <w:t xml:space="preserve">10878 </w:t>
      </w:r>
      <w:r w:rsidRPr="001C3E02">
        <w:rPr>
          <w:sz w:val="22"/>
          <w:szCs w:val="22"/>
        </w:rPr>
        <w:t xml:space="preserve">sergantiems mokiniams nustatyti </w:t>
      </w:r>
      <w:r w:rsidRPr="001C3E02">
        <w:rPr>
          <w:bCs/>
          <w:sz w:val="22"/>
          <w:szCs w:val="22"/>
        </w:rPr>
        <w:t>14030</w:t>
      </w:r>
      <w:r w:rsidRPr="001C3E02">
        <w:rPr>
          <w:b/>
          <w:bCs/>
          <w:sz w:val="22"/>
          <w:szCs w:val="22"/>
        </w:rPr>
        <w:t xml:space="preserve"> </w:t>
      </w:r>
      <w:r w:rsidRPr="001C3E02">
        <w:rPr>
          <w:sz w:val="22"/>
          <w:szCs w:val="22"/>
        </w:rPr>
        <w:t xml:space="preserve">sveikatos sutrikimai. Tai rodo, kad kai kurie moksleiviai turi po kelis sveikatos sutrikimus. </w:t>
      </w:r>
      <w:r>
        <w:rPr>
          <w:sz w:val="22"/>
          <w:szCs w:val="22"/>
        </w:rPr>
        <w:t>4 p</w:t>
      </w:r>
      <w:r w:rsidRPr="001C3E02">
        <w:rPr>
          <w:sz w:val="22"/>
          <w:szCs w:val="22"/>
        </w:rPr>
        <w:t>aveiksle matome, kad  Šiaulių mokiniai daugiausia serga regos sutrikimų (36 proc.), taip pat jau 12 proc. jų turi širdies ir kraujagyslių su</w:t>
      </w:r>
      <w:r>
        <w:rPr>
          <w:sz w:val="22"/>
          <w:szCs w:val="22"/>
        </w:rPr>
        <w:t>trikimų.</w:t>
      </w:r>
    </w:p>
    <w:p w:rsidR="00995BE0" w:rsidRPr="001D71BB" w:rsidRDefault="00A54FAC" w:rsidP="00851EF3">
      <w:pPr>
        <w:spacing w:line="360" w:lineRule="auto"/>
        <w:ind w:right="425"/>
        <w:jc w:val="center"/>
        <w:rPr>
          <w:sz w:val="20"/>
          <w:szCs w:val="20"/>
        </w:rPr>
      </w:pPr>
      <w:r>
        <w:rPr>
          <w:noProof/>
          <w:sz w:val="20"/>
          <w:szCs w:val="20"/>
        </w:rPr>
        <w:drawing>
          <wp:inline distT="0" distB="0" distL="0" distR="0">
            <wp:extent cx="5617210" cy="2089785"/>
            <wp:effectExtent l="0" t="0" r="0" b="0"/>
            <wp:docPr id="67" name="Objektas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995BE0" w:rsidRPr="0077780C" w:rsidRDefault="00995BE0" w:rsidP="00851EF3">
      <w:pPr>
        <w:ind w:right="425"/>
        <w:jc w:val="center"/>
        <w:rPr>
          <w:b/>
          <w:sz w:val="22"/>
          <w:szCs w:val="22"/>
        </w:rPr>
      </w:pPr>
      <w:r>
        <w:rPr>
          <w:b/>
          <w:sz w:val="22"/>
          <w:szCs w:val="22"/>
        </w:rPr>
        <w:t xml:space="preserve">4 </w:t>
      </w:r>
      <w:r w:rsidRPr="0077780C">
        <w:rPr>
          <w:b/>
          <w:sz w:val="22"/>
          <w:szCs w:val="22"/>
        </w:rPr>
        <w:t xml:space="preserve">pav. </w:t>
      </w:r>
      <w:r w:rsidRPr="0077780C">
        <w:rPr>
          <w:sz w:val="22"/>
          <w:szCs w:val="22"/>
        </w:rPr>
        <w:t>Profilaktiškai pasitikrinusių mokinių sergamumas pagal ligų klases Šiaulių mieste 2010/11 m. m. (proc.)</w:t>
      </w:r>
    </w:p>
    <w:p w:rsidR="00995BE0" w:rsidRPr="009F2F05" w:rsidRDefault="00995BE0" w:rsidP="00851EF3">
      <w:pPr>
        <w:spacing w:after="120" w:line="360" w:lineRule="auto"/>
        <w:ind w:right="424"/>
        <w:jc w:val="center"/>
        <w:rPr>
          <w:sz w:val="20"/>
          <w:szCs w:val="20"/>
        </w:rPr>
      </w:pPr>
      <w:r w:rsidRPr="009F2F05">
        <w:rPr>
          <w:sz w:val="20"/>
          <w:szCs w:val="20"/>
        </w:rPr>
        <w:t>Sudaryta autoriaus, remiantis profilaktinių patikrinimų rezultatais.</w:t>
      </w:r>
    </w:p>
    <w:p w:rsidR="00995BE0" w:rsidRDefault="00995BE0" w:rsidP="00851EF3">
      <w:pPr>
        <w:autoSpaceDE w:val="0"/>
        <w:autoSpaceDN w:val="0"/>
        <w:adjustRightInd w:val="0"/>
        <w:jc w:val="both"/>
        <w:rPr>
          <w:sz w:val="22"/>
          <w:szCs w:val="22"/>
        </w:rPr>
      </w:pPr>
      <w:r w:rsidRPr="000077F8">
        <w:rPr>
          <w:sz w:val="22"/>
          <w:szCs w:val="22"/>
        </w:rPr>
        <w:lastRenderedPageBreak/>
        <w:t>Tarptautiniu mastu tiek Lietuvos, tiek ir Šiaulių mokiniai pirmauja patyčių, alkoholio vartojimo, nepakankamos burnos higienos, laisvalaikio  leidimo prie kompiuterio srityse, vis dar per mažai vartoja vaisių.</w:t>
      </w:r>
    </w:p>
    <w:p w:rsidR="00995BE0" w:rsidRPr="000077F8" w:rsidRDefault="00995BE0" w:rsidP="00851EF3">
      <w:pPr>
        <w:autoSpaceDE w:val="0"/>
        <w:autoSpaceDN w:val="0"/>
        <w:adjustRightInd w:val="0"/>
        <w:jc w:val="both"/>
        <w:rPr>
          <w:sz w:val="22"/>
          <w:szCs w:val="22"/>
        </w:rPr>
      </w:pPr>
      <w:r>
        <w:rPr>
          <w:sz w:val="22"/>
          <w:szCs w:val="22"/>
        </w:rPr>
        <w:t>Vaikų sveikatą, kaip vieną iš svarbiausių prioritetų pabrėžė ir tyrime dalyvavę ekspertai. E1 mano, kad biurai taip pat turėtų rūpintis ir ikimokyklinio amžiaus vaikų sveikata, t.y., šiose įstaigose turėtų dirbti visuomenės sveikatos specialistai. E2, E3, E7 ir E8 teigė, kad labai svarbu užtikrinti vaikų ir jaunimo sveikatą, o E2 ir E8 papildomai pridūrė, jog mokyklose turi būti atskira disciplina sveikai gyvensenai propaguoti, nuostatą.</w:t>
      </w:r>
    </w:p>
    <w:p w:rsidR="00995BE0" w:rsidRPr="00444211" w:rsidRDefault="00995BE0" w:rsidP="00851EF3">
      <w:pPr>
        <w:autoSpaceDE w:val="0"/>
        <w:autoSpaceDN w:val="0"/>
        <w:adjustRightInd w:val="0"/>
        <w:jc w:val="both"/>
        <w:rPr>
          <w:sz w:val="22"/>
          <w:szCs w:val="22"/>
        </w:rPr>
      </w:pPr>
      <w:r w:rsidRPr="000077F8">
        <w:rPr>
          <w:sz w:val="22"/>
          <w:szCs w:val="22"/>
        </w:rPr>
        <w:t>Trečiasis prioritetas - sveikas senėjimas. Gyventojų rengimas senatvei turi būti socialinės politikos dalis ir apimti fizinį, psichologinį, kultūrinį, ekonominį, medicininį ir kitus pasirengimo būdus (Bagdonas ir kt., 2009). Sveikas senėjimas – tai vienas aktualiausių dalykų Europoje. Vis didėjantis pagyvenusių žmonių skaičius daro didžiulę įtaką Europos šalių ekonomikai, rūpybai, socialinei plėtrai, gerovei ir gerai savijautai, todėl būtina kaupti ir gilinti žinias apie tai, kaip skatinti pagyvenusių žmonių sveikatingumą bei gyvenimo kokybę i</w:t>
      </w:r>
      <w:r w:rsidRPr="00444211">
        <w:rPr>
          <w:sz w:val="22"/>
          <w:szCs w:val="22"/>
        </w:rPr>
        <w:t xml:space="preserve">r kaip išvengti brangiai kainuojančių šio proceso padarinių visiems gyventojams (Sveikas senėjimas, 2007). </w:t>
      </w:r>
    </w:p>
    <w:p w:rsidR="00995BE0" w:rsidRPr="00444211" w:rsidRDefault="00995BE0" w:rsidP="00851EF3">
      <w:pPr>
        <w:autoSpaceDE w:val="0"/>
        <w:autoSpaceDN w:val="0"/>
        <w:adjustRightInd w:val="0"/>
        <w:jc w:val="both"/>
        <w:rPr>
          <w:sz w:val="22"/>
          <w:szCs w:val="22"/>
        </w:rPr>
      </w:pPr>
      <w:r w:rsidRPr="00444211">
        <w:rPr>
          <w:sz w:val="22"/>
          <w:szCs w:val="22"/>
        </w:rPr>
        <w:t>Pagal tarptautiniu mastu priimtais vertinimais, Lietuva priskiriama prie demografiškai senėjančių šalių grupės, tai yra didėja senyvo amžiaus (60 metų ir vyresnių) žmonių skaičius bendrame gyventojų skaičiuje. Lietuvoje demografai fiksuoja antrąją senėjimo bangą. 2009 metų pradžioje Šiaulių miesto savivaldybėje pagyvenusių žmonių buvo – 18,8 proc., o apskrityje 20,7 proc. Vaikai (0 -14 metų amžiaus) Šiaulių mieste sudarė 13,7 proc. Taigi šiuo metu tėvų kartą keičia ženkliai mažesnė vaikų karta. Nors nuo 2003 metų gimusiųjų skaičius šalyje didėja, gimstamumo lygis neužtikrina teigiamos kartų kaitos.</w:t>
      </w:r>
    </w:p>
    <w:p w:rsidR="00995BE0" w:rsidRPr="00444211" w:rsidRDefault="00995BE0" w:rsidP="00851EF3">
      <w:pPr>
        <w:jc w:val="both"/>
        <w:rPr>
          <w:color w:val="000000"/>
          <w:sz w:val="22"/>
          <w:szCs w:val="22"/>
        </w:rPr>
      </w:pPr>
      <w:r w:rsidRPr="00444211">
        <w:rPr>
          <w:color w:val="000000"/>
          <w:sz w:val="22"/>
          <w:szCs w:val="22"/>
        </w:rPr>
        <w:t>Demografinis senėjimas, vykstantis dėl ilgesnės gyvenimo</w:t>
      </w:r>
      <w:r w:rsidRPr="000077F8">
        <w:rPr>
          <w:color w:val="000000"/>
          <w:sz w:val="22"/>
          <w:szCs w:val="22"/>
        </w:rPr>
        <w:t xml:space="preserve"> trukmės ir mažėjančio gimstamumo, sukelia gilius gyventojų struktūros pokyčius. Taigi pagyvenusių žmonių vis daugėja ir jie tampa vis svarbesni tiek pačiai ekonomikai, tiek žmonių bendruomenėms, auga jų, kaip vartotojų, poreikiai ir jų, kaip piliečių, </w:t>
      </w:r>
      <w:r w:rsidRPr="00444211">
        <w:rPr>
          <w:color w:val="000000"/>
          <w:sz w:val="22"/>
          <w:szCs w:val="22"/>
        </w:rPr>
        <w:t>lūkesčiai (</w:t>
      </w:r>
      <w:r w:rsidRPr="00444211">
        <w:rPr>
          <w:sz w:val="22"/>
          <w:szCs w:val="22"/>
        </w:rPr>
        <w:t>Ferry, Baker, 2006</w:t>
      </w:r>
      <w:r w:rsidRPr="00444211">
        <w:rPr>
          <w:color w:val="000000"/>
          <w:sz w:val="22"/>
          <w:szCs w:val="22"/>
        </w:rPr>
        <w:t xml:space="preserve">). </w:t>
      </w:r>
    </w:p>
    <w:p w:rsidR="00995BE0" w:rsidRPr="00444211" w:rsidRDefault="00995BE0" w:rsidP="00851EF3">
      <w:pPr>
        <w:jc w:val="both"/>
        <w:rPr>
          <w:color w:val="000000"/>
          <w:sz w:val="22"/>
          <w:szCs w:val="22"/>
        </w:rPr>
      </w:pPr>
      <w:r w:rsidRPr="00444211">
        <w:rPr>
          <w:color w:val="000000"/>
          <w:sz w:val="22"/>
          <w:szCs w:val="22"/>
        </w:rPr>
        <w:t>Pagrindinės problemos, su kuriomis susiduria pagyvenę žmonės Šiauliuose yra panašios kaip ir visoje šalyje - užimtumas, pajamos ir jų garantijos, sveikata ir socialinės paslaugos, visaverčio gyvenimo galimybės, į kurias įeina švietimas ir integracija į informacinę visuomenę, būstas ir aplinkos pritaikymas, kultūrinio gyvenimo prieinamumas, transportas, asmens saugumas.</w:t>
      </w:r>
    </w:p>
    <w:p w:rsidR="00995BE0" w:rsidRPr="00444211" w:rsidRDefault="00995BE0" w:rsidP="00851EF3">
      <w:pPr>
        <w:jc w:val="both"/>
        <w:rPr>
          <w:sz w:val="22"/>
          <w:szCs w:val="22"/>
        </w:rPr>
      </w:pPr>
      <w:r w:rsidRPr="00444211">
        <w:rPr>
          <w:sz w:val="22"/>
          <w:szCs w:val="22"/>
        </w:rPr>
        <w:t>Ketvirtasis prioritetas: lėtinių neinfekcinių ligų prevencija.</w:t>
      </w:r>
      <w:r w:rsidRPr="00444211">
        <w:rPr>
          <w:rFonts w:ascii="TimesNewRomanPSMT" w:hAnsi="TimesNewRomanPSMT" w:cs="TimesNewRomanPSMT"/>
          <w:sz w:val="22"/>
          <w:szCs w:val="22"/>
        </w:rPr>
        <w:t xml:space="preserve"> Vienu iš aktualiausi</w:t>
      </w:r>
      <w:r w:rsidRPr="00444211">
        <w:rPr>
          <w:rFonts w:ascii="TimesNewRomanPSMT Baltic" w:hAnsi="TimesNewRomanPSMT Baltic" w:cs="TimesNewRomanPSMT Baltic"/>
          <w:sz w:val="22"/>
          <w:szCs w:val="22"/>
        </w:rPr>
        <w:t>ų</w:t>
      </w:r>
      <w:r w:rsidRPr="00444211">
        <w:rPr>
          <w:rFonts w:ascii="TimesNewRomanPSMT" w:hAnsi="TimesNewRomanPSMT" w:cs="TimesNewRomanPSMT"/>
          <w:sz w:val="22"/>
          <w:szCs w:val="22"/>
        </w:rPr>
        <w:t xml:space="preserve"> Lietuvos sveikatos apsaugos sistemos uždavini</w:t>
      </w:r>
      <w:r w:rsidRPr="00444211">
        <w:rPr>
          <w:rFonts w:ascii="TimesNewRomanPSMT Baltic" w:hAnsi="TimesNewRomanPSMT Baltic" w:cs="TimesNewRomanPSMT Baltic"/>
          <w:sz w:val="22"/>
          <w:szCs w:val="22"/>
        </w:rPr>
        <w:t>ų</w:t>
      </w:r>
      <w:r w:rsidRPr="00444211">
        <w:rPr>
          <w:rFonts w:ascii="TimesNewRomanPSMT" w:hAnsi="TimesNewRomanPSMT" w:cs="TimesNewRomanPSMT"/>
          <w:sz w:val="22"/>
          <w:szCs w:val="22"/>
        </w:rPr>
        <w:t xml:space="preserve"> yra l</w:t>
      </w:r>
      <w:r w:rsidRPr="00444211">
        <w:rPr>
          <w:rFonts w:ascii="TimesNewRomanPSMT Baltic" w:hAnsi="TimesNewRomanPSMT Baltic" w:cs="TimesNewRomanPSMT Baltic"/>
          <w:sz w:val="22"/>
          <w:szCs w:val="22"/>
        </w:rPr>
        <w:t>ė</w:t>
      </w:r>
      <w:r w:rsidRPr="00444211">
        <w:rPr>
          <w:rFonts w:ascii="TimesNewRomanPSMT" w:hAnsi="TimesNewRomanPSMT" w:cs="TimesNewRomanPSMT"/>
          <w:sz w:val="22"/>
          <w:szCs w:val="22"/>
        </w:rPr>
        <w:t>tin</w:t>
      </w:r>
      <w:r w:rsidRPr="00444211">
        <w:rPr>
          <w:rFonts w:ascii="TimesNewRomanPSMT Baltic" w:hAnsi="TimesNewRomanPSMT Baltic" w:cs="TimesNewRomanPSMT Baltic"/>
          <w:sz w:val="22"/>
          <w:szCs w:val="22"/>
        </w:rPr>
        <w:t>ė</w:t>
      </w:r>
      <w:r w:rsidRPr="00444211">
        <w:rPr>
          <w:rFonts w:ascii="TimesNewRomanPSMT" w:hAnsi="TimesNewRomanPSMT" w:cs="TimesNewRomanPSMT"/>
          <w:sz w:val="22"/>
          <w:szCs w:val="22"/>
        </w:rPr>
        <w:t>s neinfekcin</w:t>
      </w:r>
      <w:r w:rsidRPr="00444211">
        <w:rPr>
          <w:rFonts w:ascii="TimesNewRomanPSMT Baltic" w:hAnsi="TimesNewRomanPSMT Baltic" w:cs="TimesNewRomanPSMT Baltic"/>
          <w:sz w:val="22"/>
          <w:szCs w:val="22"/>
        </w:rPr>
        <w:t>ė</w:t>
      </w:r>
      <w:r w:rsidRPr="00444211">
        <w:rPr>
          <w:rFonts w:ascii="TimesNewRomanPSMT" w:hAnsi="TimesNewRomanPSMT" w:cs="TimesNewRomanPSMT"/>
          <w:sz w:val="22"/>
          <w:szCs w:val="22"/>
        </w:rPr>
        <w:t xml:space="preserve">s ligos. Tai iliustruoja </w:t>
      </w:r>
      <w:r w:rsidRPr="00444211">
        <w:rPr>
          <w:rFonts w:ascii="TimesNewRomanPSMT Baltic" w:hAnsi="TimesNewRomanPSMT Baltic" w:cs="TimesNewRomanPSMT Baltic"/>
          <w:sz w:val="22"/>
          <w:szCs w:val="22"/>
        </w:rPr>
        <w:t xml:space="preserve">jau anksčiau aptarta </w:t>
      </w:r>
      <w:r w:rsidRPr="00444211">
        <w:rPr>
          <w:rFonts w:ascii="TimesNewRomanPSMT" w:hAnsi="TimesNewRomanPSMT" w:cs="TimesNewRomanPSMT"/>
          <w:sz w:val="22"/>
          <w:szCs w:val="22"/>
        </w:rPr>
        <w:t>Lietuvos gyventoj</w:t>
      </w:r>
      <w:r w:rsidRPr="00444211">
        <w:rPr>
          <w:rFonts w:ascii="TimesNewRomanPSMT Baltic" w:hAnsi="TimesNewRomanPSMT Baltic" w:cs="TimesNewRomanPSMT Baltic"/>
          <w:sz w:val="22"/>
          <w:szCs w:val="22"/>
        </w:rPr>
        <w:t>ų</w:t>
      </w:r>
      <w:r w:rsidRPr="00444211">
        <w:rPr>
          <w:rFonts w:ascii="TimesNewRomanPSMT" w:hAnsi="TimesNewRomanPSMT" w:cs="TimesNewRomanPSMT"/>
          <w:sz w:val="22"/>
          <w:szCs w:val="22"/>
        </w:rPr>
        <w:t xml:space="preserve"> mirtingumo strukt</w:t>
      </w:r>
      <w:r w:rsidRPr="00444211">
        <w:rPr>
          <w:rFonts w:ascii="TimesNewRomanPSMT Baltic" w:hAnsi="TimesNewRomanPSMT Baltic" w:cs="TimesNewRomanPSMT Baltic"/>
          <w:sz w:val="22"/>
          <w:szCs w:val="22"/>
        </w:rPr>
        <w:t>ū</w:t>
      </w:r>
      <w:r w:rsidRPr="00444211">
        <w:rPr>
          <w:rFonts w:ascii="TimesNewRomanPSMT" w:hAnsi="TimesNewRomanPSMT" w:cs="TimesNewRomanPSMT"/>
          <w:sz w:val="22"/>
          <w:szCs w:val="22"/>
        </w:rPr>
        <w:t>ra, kai vyrauja širdies ir kraujagysli</w:t>
      </w:r>
      <w:r w:rsidRPr="00444211">
        <w:rPr>
          <w:rFonts w:ascii="TimesNewRomanPSMT Baltic" w:hAnsi="TimesNewRomanPSMT Baltic" w:cs="TimesNewRomanPSMT Baltic"/>
          <w:sz w:val="22"/>
          <w:szCs w:val="22"/>
        </w:rPr>
        <w:t>ų ligos, piktybiniai navikai bei išorinės mirties priežastys. Šios problemos aktualumą</w:t>
      </w:r>
      <w:r w:rsidRPr="00444211">
        <w:rPr>
          <w:rFonts w:ascii="TimesNewRomanPSMT" w:hAnsi="TimesNewRomanPSMT" w:cs="TimesNewRomanPSMT"/>
          <w:sz w:val="22"/>
          <w:szCs w:val="22"/>
        </w:rPr>
        <w:t xml:space="preserve"> Lietuvoje atskleidžia ir daug didesni mirtingumo nuo ši</w:t>
      </w:r>
      <w:r w:rsidRPr="00444211">
        <w:rPr>
          <w:rFonts w:ascii="TimesNewRomanPSMT Baltic" w:hAnsi="TimesNewRomanPSMT Baltic" w:cs="TimesNewRomanPSMT Baltic"/>
          <w:sz w:val="22"/>
          <w:szCs w:val="22"/>
        </w:rPr>
        <w:t>ų</w:t>
      </w:r>
      <w:r w:rsidRPr="00444211">
        <w:rPr>
          <w:rFonts w:ascii="TimesNewRomanPSMT" w:hAnsi="TimesNewRomanPSMT" w:cs="TimesNewRomanPSMT"/>
          <w:sz w:val="22"/>
          <w:szCs w:val="22"/>
        </w:rPr>
        <w:t xml:space="preserve"> lig</w:t>
      </w:r>
      <w:r w:rsidRPr="00444211">
        <w:rPr>
          <w:rFonts w:ascii="TimesNewRomanPSMT Baltic" w:hAnsi="TimesNewRomanPSMT Baltic" w:cs="TimesNewRomanPSMT Baltic"/>
          <w:sz w:val="22"/>
          <w:szCs w:val="22"/>
        </w:rPr>
        <w:t>ų</w:t>
      </w:r>
      <w:r w:rsidRPr="00444211">
        <w:rPr>
          <w:rFonts w:ascii="TimesNewRomanPSMT" w:hAnsi="TimesNewRomanPSMT" w:cs="TimesNewRomanPSMT"/>
          <w:sz w:val="22"/>
          <w:szCs w:val="22"/>
        </w:rPr>
        <w:t xml:space="preserve"> rodikliai palyginimai su Europos S</w:t>
      </w:r>
      <w:r w:rsidRPr="00444211">
        <w:rPr>
          <w:rFonts w:ascii="TimesNewRomanPSMT Baltic" w:hAnsi="TimesNewRomanPSMT Baltic" w:cs="TimesNewRomanPSMT Baltic"/>
          <w:sz w:val="22"/>
          <w:szCs w:val="22"/>
        </w:rPr>
        <w:t>ą</w:t>
      </w:r>
      <w:r w:rsidRPr="00444211">
        <w:rPr>
          <w:rFonts w:ascii="TimesNewRomanPSMT" w:hAnsi="TimesNewRomanPSMT" w:cs="TimesNewRomanPSMT"/>
          <w:sz w:val="22"/>
          <w:szCs w:val="22"/>
        </w:rPr>
        <w:t>jungos šalimis senbuv</w:t>
      </w:r>
      <w:r w:rsidRPr="00444211">
        <w:rPr>
          <w:rFonts w:ascii="TimesNewRomanPSMT Baltic" w:hAnsi="TimesNewRomanPSMT Baltic" w:cs="TimesNewRomanPSMT Baltic"/>
          <w:sz w:val="22"/>
          <w:szCs w:val="22"/>
        </w:rPr>
        <w:t>ė</w:t>
      </w:r>
      <w:r w:rsidRPr="00444211">
        <w:rPr>
          <w:rFonts w:ascii="TimesNewRomanPSMT" w:hAnsi="TimesNewRomanPSMT" w:cs="TimesNewRomanPSMT"/>
          <w:sz w:val="22"/>
          <w:szCs w:val="22"/>
        </w:rPr>
        <w:t xml:space="preserve">mis. </w:t>
      </w:r>
      <w:r w:rsidRPr="00444211">
        <w:rPr>
          <w:sz w:val="22"/>
          <w:szCs w:val="22"/>
        </w:rPr>
        <w:t>Lietuvoje nuo ŠKL miršta beveik dvigubai daugiau gyventojų negu vidutiniškai ES šalyse senbuvėse. Šis rodiklis yra ypač didelis vyresnių nei 64 m. asmenų amžiaus grupėje, kurioje net pusė jų mirties priežastimi yra ŠKL.</w:t>
      </w:r>
    </w:p>
    <w:p w:rsidR="00995BE0" w:rsidRPr="00444211" w:rsidRDefault="00995BE0" w:rsidP="00851EF3">
      <w:pPr>
        <w:jc w:val="both"/>
        <w:rPr>
          <w:color w:val="000000"/>
          <w:sz w:val="22"/>
          <w:szCs w:val="22"/>
        </w:rPr>
      </w:pPr>
      <w:r w:rsidRPr="00444211">
        <w:rPr>
          <w:sz w:val="22"/>
          <w:szCs w:val="22"/>
        </w:rPr>
        <w:t>Priežastis, dėl kurios, svarstant Lietuvos sveikatos politikos perspektyvą, būtina ypatingą dėmesį skirti lėtinių neinfekcinių ligų (LNL) prevencijai yra labai paprasta. Neinvestuojant į LNL prevenciją, t.y. nesiekiant sumažinti rizikos sirgti šiomis ligomis, jau ir taip didelė ekonominė žala, kurią patiria valstybė dėl brangiai kainuojančių diagnostikos bei gydymo priemonių, dėl prarastų gyvenimo metų nepagaminto nacionalinio produkto, dėl vykstančių demografinių procesų toliau neišvengiamai augs (Chronic disease: an economic perspective, 2006). Pasaulio Sveikatos Organizacijos (PSO) duomenimis, pagrindinių LNL, tokių kaip kraujotakos sistemos, vėžio, cukrinio diabeto, lėtinių plaučių ligų išsivystymą iš esmės nulemia gyvensenos sąlygoti 7 rizikos veiksniai: tabakas, hipertenzija, hipercholesterolemija, alkoholis, antsvoris, nepakankamas vaisių ir daržovių vartojimas, fizinės veiklos stoka (World Health Report, 2003). Šiaulių visuomenės sveikatos biuras, ir bet kurios kitos savivaldybės biuras atlieka labai svarbų vaidmenį dėdamas visas įmanomas pastangas mažinant šių rizikos veiksnių paplitimą.</w:t>
      </w:r>
    </w:p>
    <w:p w:rsidR="00995BE0" w:rsidRDefault="00995BE0" w:rsidP="00851EF3">
      <w:pPr>
        <w:tabs>
          <w:tab w:val="left" w:pos="397"/>
        </w:tabs>
        <w:spacing w:line="360" w:lineRule="auto"/>
        <w:rPr>
          <w:b/>
          <w:sz w:val="22"/>
          <w:szCs w:val="22"/>
        </w:rPr>
      </w:pPr>
    </w:p>
    <w:p w:rsidR="00995BE0" w:rsidRPr="00DF1A7A" w:rsidRDefault="00995BE0" w:rsidP="00851EF3">
      <w:pPr>
        <w:tabs>
          <w:tab w:val="left" w:pos="397"/>
        </w:tabs>
        <w:spacing w:line="360" w:lineRule="auto"/>
        <w:rPr>
          <w:b/>
          <w:sz w:val="22"/>
          <w:szCs w:val="22"/>
        </w:rPr>
      </w:pPr>
      <w:r w:rsidRPr="00DF1A7A">
        <w:rPr>
          <w:b/>
          <w:sz w:val="22"/>
          <w:szCs w:val="22"/>
        </w:rPr>
        <w:t>I</w:t>
      </w:r>
      <w:r>
        <w:rPr>
          <w:b/>
          <w:sz w:val="22"/>
          <w:szCs w:val="22"/>
        </w:rPr>
        <w:t>švados</w:t>
      </w:r>
    </w:p>
    <w:p w:rsidR="00995BE0" w:rsidRDefault="00995BE0" w:rsidP="00851EF3">
      <w:pPr>
        <w:tabs>
          <w:tab w:val="left" w:pos="397"/>
        </w:tabs>
        <w:jc w:val="both"/>
        <w:rPr>
          <w:sz w:val="22"/>
          <w:szCs w:val="22"/>
        </w:rPr>
      </w:pPr>
      <w:r>
        <w:rPr>
          <w:sz w:val="22"/>
          <w:szCs w:val="22"/>
        </w:rPr>
        <w:t>1.</w:t>
      </w:r>
      <w:r w:rsidRPr="00F81B8E">
        <w:rPr>
          <w:sz w:val="22"/>
          <w:szCs w:val="22"/>
        </w:rPr>
        <w:t xml:space="preserve"> </w:t>
      </w:r>
      <w:r>
        <w:rPr>
          <w:sz w:val="22"/>
          <w:szCs w:val="22"/>
        </w:rPr>
        <w:t>Pagrindinė Lietuvos sveikatos apsaugos sistemos problema – vis dar nepakankamai skiriamas dėmesys pirminei sveikatos priežiūrai. Nors Lietuvoje yra pakankama teisinė bazė, reglamentuojanti sveikatos sistemą, tačiau realus jos vykdymas nekokybiškas, ne visos priemonės įgyvendinamos stingant finansavimui. Trūksta ir tarpsektorinio bendradarbiavimo su kitomis institucijomis siekiant bendrų tikslų.</w:t>
      </w:r>
    </w:p>
    <w:p w:rsidR="00995BE0" w:rsidRPr="0003552E" w:rsidRDefault="00995BE0" w:rsidP="00851EF3">
      <w:pPr>
        <w:tabs>
          <w:tab w:val="left" w:pos="397"/>
        </w:tabs>
        <w:jc w:val="both"/>
        <w:rPr>
          <w:sz w:val="22"/>
          <w:szCs w:val="22"/>
        </w:rPr>
      </w:pPr>
      <w:r w:rsidRPr="0003552E">
        <w:rPr>
          <w:sz w:val="22"/>
          <w:szCs w:val="22"/>
        </w:rPr>
        <w:t>2. Įgyvendinant šalyje visuomenės sveikatos priežiūros reformą, nuo 2006 m. pradėta steigti savivaldybių visuomenės sveikatos biurai. Pagrindinis šių įstaigų veiklos tikslas - rūpintis savivaldybės bendruomenėje visu</w:t>
      </w:r>
      <w:r>
        <w:rPr>
          <w:sz w:val="22"/>
          <w:szCs w:val="22"/>
        </w:rPr>
        <w:t xml:space="preserve">omenės sveikata ir ją stiprinti. Kadangi jos daugiausia žino apie konkrečios savivaldybės gyventojų </w:t>
      </w:r>
      <w:r>
        <w:rPr>
          <w:sz w:val="22"/>
          <w:szCs w:val="22"/>
        </w:rPr>
        <w:lastRenderedPageBreak/>
        <w:t>sveikatos būklę, gali inicijuoti vietinius politinius sprendimus, ir turi tapti pagrindiniu visuomenės sveikatos politikos sraigteliu. Apibendrinant šiandieninę situaciją – šito kol kas nėra.</w:t>
      </w:r>
    </w:p>
    <w:p w:rsidR="00995BE0" w:rsidRDefault="00995BE0" w:rsidP="00851EF3">
      <w:pPr>
        <w:tabs>
          <w:tab w:val="left" w:pos="397"/>
        </w:tabs>
        <w:jc w:val="both"/>
        <w:rPr>
          <w:sz w:val="22"/>
          <w:szCs w:val="22"/>
        </w:rPr>
      </w:pPr>
      <w:r>
        <w:rPr>
          <w:sz w:val="22"/>
          <w:szCs w:val="22"/>
        </w:rPr>
        <w:t>3. Šiaulių mieste gyventojų sveikatos būklė labai panaši į šalies. Pagrindinė mirtingumo priežastis yra širdies ir kraujagyslių ligos, piktybiniai navikai ir traumos ir nelaimingi atsitikimai. Visos šios priežastys yra valdomos ir išvengiamos. Dėl didėjančios migracijos ir didelio gyventojų mirtingumo didėja pagyvenusių ir senų žmonių dalis. Kasmet registruojamas  didelis vaikų sergamumas, didėja vaikų dalis, kurie turi kelis sveikatos sutrikimus. Vyrauja regioniniai, socialiai ekonominiai skirtumai, sveikatos nelygybė.</w:t>
      </w:r>
    </w:p>
    <w:p w:rsidR="00995BE0" w:rsidRDefault="00995BE0" w:rsidP="00851EF3">
      <w:pPr>
        <w:tabs>
          <w:tab w:val="left" w:pos="397"/>
        </w:tabs>
        <w:jc w:val="both"/>
        <w:rPr>
          <w:sz w:val="22"/>
          <w:szCs w:val="22"/>
        </w:rPr>
      </w:pPr>
      <w:r>
        <w:rPr>
          <w:sz w:val="22"/>
          <w:szCs w:val="22"/>
        </w:rPr>
        <w:t>4. Pagrindiniai išryškėję sveikatos prioritetai Šiaulių mieste, į kuriuos turėtų būti sutelktas didžiausias dėmesys, yra keturi</w:t>
      </w:r>
      <w:r w:rsidRPr="006814EA">
        <w:rPr>
          <w:sz w:val="22"/>
          <w:szCs w:val="22"/>
        </w:rPr>
        <w:t xml:space="preserve"> </w:t>
      </w:r>
      <w:r>
        <w:rPr>
          <w:sz w:val="22"/>
          <w:szCs w:val="22"/>
        </w:rPr>
        <w:t>–</w:t>
      </w:r>
      <w:r w:rsidRPr="006814EA">
        <w:rPr>
          <w:sz w:val="22"/>
          <w:szCs w:val="22"/>
        </w:rPr>
        <w:t xml:space="preserve"> </w:t>
      </w:r>
      <w:r>
        <w:rPr>
          <w:sz w:val="22"/>
          <w:szCs w:val="22"/>
        </w:rPr>
        <w:t xml:space="preserve">lėtinių neinfekcinių ligų prevencija, </w:t>
      </w:r>
      <w:r w:rsidRPr="001C3E02">
        <w:rPr>
          <w:sz w:val="22"/>
          <w:szCs w:val="22"/>
        </w:rPr>
        <w:t>socialinių – ekonominių sveikatos netolygum</w:t>
      </w:r>
      <w:r>
        <w:rPr>
          <w:sz w:val="22"/>
          <w:szCs w:val="22"/>
        </w:rPr>
        <w:t>ų mažinimas, vaikų sveikata bei sveikas senėjimas.</w:t>
      </w:r>
    </w:p>
    <w:p w:rsidR="00995BE0" w:rsidRPr="006814EA" w:rsidRDefault="00995BE0" w:rsidP="00851EF3">
      <w:pPr>
        <w:tabs>
          <w:tab w:val="left" w:pos="397"/>
        </w:tabs>
        <w:jc w:val="both"/>
        <w:rPr>
          <w:sz w:val="22"/>
          <w:szCs w:val="22"/>
        </w:rPr>
      </w:pPr>
      <w:r>
        <w:rPr>
          <w:sz w:val="22"/>
          <w:szCs w:val="22"/>
        </w:rPr>
        <w:t>5. Esant nepakankamam politikų požiūriui į Šiaulių miesto ar bet kurios kitos savivaldybės visuomenės sveikatos biurą, stringa jų finansavimas, nesukurta pakankamai metodinės medžiagos pagal kurią įstaigos galėtų vykdyti savo veiklą. Nesutvarkius šių pagrindinių dalykų – atsiranda eilė kitų spręstinų problemų.</w:t>
      </w:r>
    </w:p>
    <w:p w:rsidR="00995BE0" w:rsidRDefault="00995BE0" w:rsidP="00851EF3">
      <w:pPr>
        <w:tabs>
          <w:tab w:val="left" w:pos="397"/>
        </w:tabs>
        <w:rPr>
          <w:b/>
          <w:sz w:val="22"/>
          <w:szCs w:val="22"/>
        </w:rPr>
      </w:pPr>
    </w:p>
    <w:p w:rsidR="00995BE0" w:rsidRDefault="00995BE0" w:rsidP="00851EF3">
      <w:pPr>
        <w:tabs>
          <w:tab w:val="left" w:pos="397"/>
        </w:tabs>
        <w:rPr>
          <w:b/>
          <w:sz w:val="22"/>
          <w:szCs w:val="22"/>
        </w:rPr>
      </w:pPr>
      <w:r>
        <w:rPr>
          <w:b/>
          <w:sz w:val="22"/>
          <w:szCs w:val="22"/>
        </w:rPr>
        <w:t>Literatūra</w:t>
      </w:r>
      <w:r w:rsidRPr="00DF1A7A">
        <w:rPr>
          <w:b/>
          <w:sz w:val="22"/>
          <w:szCs w:val="22"/>
        </w:rPr>
        <w:t xml:space="preserve"> </w:t>
      </w:r>
    </w:p>
    <w:p w:rsidR="00995BE0" w:rsidRPr="00DF1A7A" w:rsidRDefault="00995BE0" w:rsidP="00851EF3">
      <w:pPr>
        <w:tabs>
          <w:tab w:val="left" w:pos="397"/>
        </w:tabs>
        <w:rPr>
          <w:b/>
          <w:sz w:val="22"/>
          <w:szCs w:val="22"/>
        </w:rPr>
      </w:pPr>
    </w:p>
    <w:p w:rsidR="00995BE0" w:rsidRPr="00502FA5" w:rsidRDefault="00995BE0" w:rsidP="00851EF3">
      <w:pPr>
        <w:numPr>
          <w:ilvl w:val="0"/>
          <w:numId w:val="22"/>
        </w:numPr>
        <w:autoSpaceDE w:val="0"/>
        <w:autoSpaceDN w:val="0"/>
        <w:adjustRightInd w:val="0"/>
        <w:jc w:val="both"/>
        <w:rPr>
          <w:sz w:val="22"/>
          <w:szCs w:val="22"/>
        </w:rPr>
      </w:pPr>
      <w:r w:rsidRPr="00502FA5">
        <w:rPr>
          <w:sz w:val="22"/>
          <w:szCs w:val="22"/>
        </w:rPr>
        <w:t xml:space="preserve">Ackoff, R. L. (1981). </w:t>
      </w:r>
      <w:r w:rsidRPr="00502FA5">
        <w:rPr>
          <w:i/>
          <w:iCs/>
          <w:sz w:val="22"/>
          <w:szCs w:val="22"/>
        </w:rPr>
        <w:t>Creating the Corporate Future</w:t>
      </w:r>
      <w:r w:rsidRPr="00502FA5">
        <w:rPr>
          <w:sz w:val="22"/>
          <w:szCs w:val="22"/>
        </w:rPr>
        <w:t>. New York: John Wiley &amp; Sons, Inc.</w:t>
      </w:r>
    </w:p>
    <w:p w:rsidR="00995BE0" w:rsidRPr="00543127" w:rsidRDefault="00995BE0" w:rsidP="00851EF3">
      <w:pPr>
        <w:numPr>
          <w:ilvl w:val="0"/>
          <w:numId w:val="22"/>
        </w:numPr>
        <w:autoSpaceDE w:val="0"/>
        <w:autoSpaceDN w:val="0"/>
        <w:adjustRightInd w:val="0"/>
        <w:jc w:val="both"/>
        <w:rPr>
          <w:rFonts w:ascii="MinionPro-Regular" w:hAnsi="MinionPro-Regular" w:cs="MinionPro-Regular"/>
          <w:sz w:val="22"/>
          <w:szCs w:val="22"/>
        </w:rPr>
      </w:pPr>
      <w:r w:rsidRPr="00543127">
        <w:rPr>
          <w:sz w:val="22"/>
          <w:szCs w:val="22"/>
        </w:rPr>
        <w:t xml:space="preserve">Аnsoff, H. I. (1988). </w:t>
      </w:r>
      <w:r w:rsidRPr="00543127">
        <w:rPr>
          <w:i/>
          <w:iCs/>
          <w:sz w:val="22"/>
          <w:szCs w:val="22"/>
        </w:rPr>
        <w:t>The new corporate strategy</w:t>
      </w:r>
      <w:r w:rsidRPr="00543127">
        <w:rPr>
          <w:sz w:val="22"/>
          <w:szCs w:val="22"/>
        </w:rPr>
        <w:t>. New York: John Wiley &amp; Sons, Inc.</w:t>
      </w:r>
    </w:p>
    <w:p w:rsidR="00995BE0" w:rsidRPr="00543127" w:rsidRDefault="00995BE0" w:rsidP="00851EF3">
      <w:pPr>
        <w:numPr>
          <w:ilvl w:val="0"/>
          <w:numId w:val="22"/>
        </w:numPr>
        <w:autoSpaceDE w:val="0"/>
        <w:autoSpaceDN w:val="0"/>
        <w:adjustRightInd w:val="0"/>
        <w:jc w:val="both"/>
        <w:rPr>
          <w:sz w:val="22"/>
          <w:szCs w:val="22"/>
        </w:rPr>
      </w:pPr>
      <w:r w:rsidRPr="00543127">
        <w:rPr>
          <w:sz w:val="22"/>
          <w:szCs w:val="22"/>
        </w:rPr>
        <w:t>Bagdonas, G., Samulevičienė, G., Lesauskaitė, V., Macijauskienė, J., Valius, L., Venskutonis, D., Visokinskas, A. (2009). Pagyvenusių žmonių sveikatos priežiūra. Kaunas.</w:t>
      </w:r>
    </w:p>
    <w:p w:rsidR="00995BE0" w:rsidRPr="00543127" w:rsidRDefault="00995BE0" w:rsidP="00851EF3">
      <w:pPr>
        <w:pStyle w:val="ListParagraph1"/>
        <w:numPr>
          <w:ilvl w:val="0"/>
          <w:numId w:val="22"/>
        </w:numPr>
        <w:contextualSpacing w:val="0"/>
        <w:jc w:val="both"/>
        <w:rPr>
          <w:sz w:val="22"/>
          <w:szCs w:val="22"/>
          <w:lang w:val="en-GB"/>
        </w:rPr>
      </w:pPr>
      <w:r w:rsidRPr="00543127">
        <w:rPr>
          <w:sz w:val="22"/>
          <w:szCs w:val="22"/>
        </w:rPr>
        <w:t xml:space="preserve">Chronic disease: an economic perspective. (2006). The Oxford Health Alliance. </w:t>
      </w:r>
    </w:p>
    <w:p w:rsidR="00995BE0" w:rsidRPr="00543127" w:rsidRDefault="00995BE0" w:rsidP="00851EF3">
      <w:pPr>
        <w:numPr>
          <w:ilvl w:val="0"/>
          <w:numId w:val="22"/>
        </w:numPr>
        <w:jc w:val="both"/>
        <w:rPr>
          <w:noProof/>
          <w:sz w:val="22"/>
          <w:szCs w:val="22"/>
        </w:rPr>
      </w:pPr>
      <w:r w:rsidRPr="00543127">
        <w:rPr>
          <w:sz w:val="22"/>
          <w:szCs w:val="22"/>
        </w:rPr>
        <w:t xml:space="preserve">Drucker, P. E. (1995). </w:t>
      </w:r>
      <w:r w:rsidRPr="00543127">
        <w:rPr>
          <w:i/>
          <w:iCs/>
          <w:sz w:val="22"/>
          <w:szCs w:val="22"/>
        </w:rPr>
        <w:t>Managing in a time great change</w:t>
      </w:r>
      <w:r w:rsidRPr="00543127">
        <w:rPr>
          <w:sz w:val="22"/>
          <w:szCs w:val="22"/>
        </w:rPr>
        <w:t>. New York: Truman Talley books.</w:t>
      </w:r>
    </w:p>
    <w:p w:rsidR="00995BE0" w:rsidRPr="00543127" w:rsidRDefault="00995BE0" w:rsidP="00851EF3">
      <w:pPr>
        <w:numPr>
          <w:ilvl w:val="0"/>
          <w:numId w:val="22"/>
        </w:numPr>
        <w:jc w:val="both"/>
        <w:rPr>
          <w:sz w:val="22"/>
          <w:szCs w:val="22"/>
        </w:rPr>
      </w:pPr>
      <w:r w:rsidRPr="00543127">
        <w:rPr>
          <w:sz w:val="22"/>
          <w:szCs w:val="22"/>
        </w:rPr>
        <w:t xml:space="preserve">Eurostat regional yearbook (2010). Eurostat Statistical books [žiūrėta 2010-11-25]. Prieiga per internetą: </w:t>
      </w:r>
      <w:hyperlink r:id="rId218" w:history="1">
        <w:r w:rsidRPr="00543127">
          <w:rPr>
            <w:rStyle w:val="Hipersaitas"/>
            <w:sz w:val="22"/>
            <w:szCs w:val="22"/>
          </w:rPr>
          <w:t>http://epp.eurostat.ec.europa.eu/cache/ITY_OFFPUB/KS-HA-10-001/EN/KS-HA-10-001-EN.PDF</w:t>
        </w:r>
      </w:hyperlink>
      <w:r w:rsidRPr="00543127">
        <w:rPr>
          <w:sz w:val="22"/>
          <w:szCs w:val="22"/>
        </w:rPr>
        <w:t>.</w:t>
      </w:r>
    </w:p>
    <w:p w:rsidR="00995BE0" w:rsidRPr="00543127" w:rsidRDefault="00995BE0" w:rsidP="00851EF3">
      <w:pPr>
        <w:pStyle w:val="ListParagraph1"/>
        <w:numPr>
          <w:ilvl w:val="0"/>
          <w:numId w:val="22"/>
        </w:numPr>
        <w:contextualSpacing w:val="0"/>
        <w:jc w:val="both"/>
        <w:rPr>
          <w:sz w:val="22"/>
          <w:szCs w:val="22"/>
        </w:rPr>
      </w:pPr>
      <w:r w:rsidRPr="000B0034">
        <w:rPr>
          <w:sz w:val="22"/>
          <w:szCs w:val="22"/>
        </w:rPr>
        <w:t>Gedvilaitė – Moan, A., Zakarevičius, P. (2010). Strateginio planavimo ypatumų viešajame sektoriuje teoriniai asp</w:t>
      </w:r>
      <w:r w:rsidRPr="00543127">
        <w:rPr>
          <w:sz w:val="22"/>
          <w:szCs w:val="22"/>
        </w:rPr>
        <w:t>ektai. Organizacijų vadyba: sisteminiai tyrimai 54.</w:t>
      </w:r>
    </w:p>
    <w:p w:rsidR="00995BE0" w:rsidRDefault="00995BE0" w:rsidP="00851EF3">
      <w:pPr>
        <w:numPr>
          <w:ilvl w:val="0"/>
          <w:numId w:val="22"/>
        </w:numPr>
        <w:autoSpaceDE w:val="0"/>
        <w:autoSpaceDN w:val="0"/>
        <w:adjustRightInd w:val="0"/>
        <w:jc w:val="both"/>
        <w:rPr>
          <w:sz w:val="22"/>
          <w:szCs w:val="22"/>
        </w:rPr>
      </w:pPr>
      <w:r w:rsidRPr="00414B5D">
        <w:rPr>
          <w:sz w:val="22"/>
          <w:szCs w:val="22"/>
        </w:rPr>
        <w:t xml:space="preserve">Grabauskas, V., Kalėdienė, R., Valius, L. (2004). </w:t>
      </w:r>
      <w:r w:rsidRPr="00414B5D">
        <w:rPr>
          <w:i/>
          <w:iCs/>
          <w:sz w:val="22"/>
          <w:szCs w:val="22"/>
        </w:rPr>
        <w:t>Visuomenės sveikatos mokslas ir studijos: atsakas į laikmečio iššūkius.</w:t>
      </w:r>
      <w:r w:rsidRPr="00414B5D">
        <w:rPr>
          <w:sz w:val="22"/>
          <w:szCs w:val="22"/>
        </w:rPr>
        <w:t xml:space="preserve"> Mokslinė monografija. Kaunas: KMU leidykla ISBN 9986-451-94-9.</w:t>
      </w:r>
    </w:p>
    <w:p w:rsidR="00995BE0" w:rsidRPr="007E71AE" w:rsidRDefault="00995BE0" w:rsidP="00851EF3">
      <w:pPr>
        <w:numPr>
          <w:ilvl w:val="0"/>
          <w:numId w:val="22"/>
        </w:numPr>
        <w:autoSpaceDE w:val="0"/>
        <w:autoSpaceDN w:val="0"/>
        <w:adjustRightInd w:val="0"/>
        <w:jc w:val="both"/>
        <w:rPr>
          <w:sz w:val="22"/>
          <w:szCs w:val="22"/>
          <w:lang w:val="en-GB"/>
        </w:rPr>
      </w:pPr>
      <w:r w:rsidRPr="007E71AE">
        <w:rPr>
          <w:sz w:val="22"/>
          <w:szCs w:val="22"/>
          <w:lang w:val="pt-BR"/>
        </w:rPr>
        <w:t xml:space="preserve">Gustainienė, L. (2003). </w:t>
      </w:r>
      <w:r w:rsidRPr="007E71AE">
        <w:rPr>
          <w:i/>
          <w:iCs/>
          <w:sz w:val="22"/>
          <w:szCs w:val="22"/>
          <w:lang w:val="pt-BR"/>
        </w:rPr>
        <w:t>Sveikatos priežiūros politika ir organizacija.</w:t>
      </w:r>
      <w:r w:rsidRPr="007E71AE">
        <w:rPr>
          <w:sz w:val="22"/>
          <w:szCs w:val="22"/>
          <w:lang w:val="pt-BR"/>
        </w:rPr>
        <w:t xml:space="preserve"> </w:t>
      </w:r>
      <w:r w:rsidRPr="007E71AE">
        <w:rPr>
          <w:sz w:val="22"/>
          <w:szCs w:val="22"/>
          <w:lang w:val="en-GB"/>
        </w:rPr>
        <w:t>Kaunas: Vytauto Didžiojo universiteto leidykla. ISBN 9955-530-48-0.</w:t>
      </w:r>
    </w:p>
    <w:p w:rsidR="00995BE0" w:rsidRDefault="00995BE0" w:rsidP="00851EF3">
      <w:pPr>
        <w:numPr>
          <w:ilvl w:val="0"/>
          <w:numId w:val="22"/>
        </w:numPr>
        <w:jc w:val="both"/>
        <w:rPr>
          <w:sz w:val="22"/>
          <w:szCs w:val="22"/>
        </w:rPr>
      </w:pPr>
      <w:r w:rsidRPr="00543127">
        <w:rPr>
          <w:sz w:val="22"/>
          <w:szCs w:val="22"/>
        </w:rPr>
        <w:t xml:space="preserve">Higienos instituto Sveikatos informacijos centras. (2010) [interaktyvus] [žiūrėta 2010-12-16]. </w:t>
      </w:r>
      <w:r w:rsidRPr="00130810">
        <w:rPr>
          <w:sz w:val="22"/>
          <w:szCs w:val="22"/>
          <w:lang w:val="sv-SE"/>
        </w:rPr>
        <w:t xml:space="preserve">Prieiga per internetą: </w:t>
      </w:r>
      <w:hyperlink r:id="rId219" w:history="1">
        <w:r w:rsidRPr="00130810">
          <w:rPr>
            <w:rStyle w:val="Hipersaitas"/>
            <w:sz w:val="22"/>
            <w:szCs w:val="22"/>
            <w:lang w:val="sv-SE"/>
          </w:rPr>
          <w:t>http://www.lsic.lt/</w:t>
        </w:r>
      </w:hyperlink>
      <w:r w:rsidRPr="00543127">
        <w:rPr>
          <w:sz w:val="22"/>
          <w:szCs w:val="22"/>
        </w:rPr>
        <w:t>.</w:t>
      </w:r>
    </w:p>
    <w:p w:rsidR="00995BE0" w:rsidRPr="00D51E50" w:rsidRDefault="00995BE0" w:rsidP="00851EF3">
      <w:pPr>
        <w:numPr>
          <w:ilvl w:val="0"/>
          <w:numId w:val="22"/>
        </w:numPr>
        <w:autoSpaceDE w:val="0"/>
        <w:autoSpaceDN w:val="0"/>
        <w:adjustRightInd w:val="0"/>
        <w:jc w:val="both"/>
        <w:rPr>
          <w:sz w:val="22"/>
          <w:szCs w:val="22"/>
        </w:rPr>
      </w:pPr>
      <w:r w:rsidRPr="00D51E50">
        <w:rPr>
          <w:sz w:val="22"/>
          <w:szCs w:val="22"/>
        </w:rPr>
        <w:t xml:space="preserve">Janušonis, V. (2000). </w:t>
      </w:r>
      <w:r w:rsidRPr="00D51E50">
        <w:rPr>
          <w:i/>
          <w:iCs/>
          <w:sz w:val="22"/>
          <w:szCs w:val="22"/>
        </w:rPr>
        <w:t>Sveikatos apsaugos sistemos organizacijų valdymas: XXI amžių pasitinkant</w:t>
      </w:r>
      <w:r w:rsidRPr="00D51E50">
        <w:rPr>
          <w:sz w:val="22"/>
          <w:szCs w:val="22"/>
        </w:rPr>
        <w:t>. Klaipėda: Klaipėdos rytas.</w:t>
      </w:r>
    </w:p>
    <w:p w:rsidR="00995BE0" w:rsidRPr="00427748" w:rsidRDefault="00995BE0" w:rsidP="00851EF3">
      <w:pPr>
        <w:numPr>
          <w:ilvl w:val="0"/>
          <w:numId w:val="22"/>
        </w:numPr>
        <w:jc w:val="both"/>
        <w:rPr>
          <w:sz w:val="22"/>
          <w:szCs w:val="22"/>
        </w:rPr>
      </w:pPr>
      <w:r w:rsidRPr="00427748">
        <w:rPr>
          <w:sz w:val="22"/>
          <w:szCs w:val="22"/>
        </w:rPr>
        <w:t>Jurgutis, A. (2009). Lėtinių ligų kontrolės moderni vadyba – sergamumo ir mirtingumo mažinimo rezervas. Nacionalinės sveikatos tarybos metinis pranešimas 2008. Vilnius.</w:t>
      </w:r>
    </w:p>
    <w:p w:rsidR="00995BE0" w:rsidRPr="00543127" w:rsidRDefault="00995BE0" w:rsidP="00851EF3">
      <w:pPr>
        <w:numPr>
          <w:ilvl w:val="0"/>
          <w:numId w:val="22"/>
        </w:numPr>
        <w:jc w:val="both"/>
        <w:rPr>
          <w:i/>
          <w:iCs/>
          <w:sz w:val="22"/>
          <w:szCs w:val="22"/>
        </w:rPr>
      </w:pPr>
      <w:r w:rsidRPr="00543127">
        <w:rPr>
          <w:sz w:val="22"/>
          <w:szCs w:val="22"/>
        </w:rPr>
        <w:t>Kalėdienė, R. (2010). Lietuvos gyventojų sveikatos raida. Sveikatos politika ir valdymas. Mokslo darbai. Vilnius: Mykolo Romerio universitetas.</w:t>
      </w:r>
    </w:p>
    <w:p w:rsidR="00995BE0" w:rsidRPr="00543127" w:rsidRDefault="00995BE0" w:rsidP="00851EF3">
      <w:pPr>
        <w:numPr>
          <w:ilvl w:val="0"/>
          <w:numId w:val="22"/>
        </w:numPr>
        <w:jc w:val="both"/>
        <w:rPr>
          <w:sz w:val="22"/>
          <w:szCs w:val="22"/>
        </w:rPr>
      </w:pPr>
      <w:r w:rsidRPr="00543127">
        <w:rPr>
          <w:sz w:val="22"/>
          <w:szCs w:val="22"/>
        </w:rPr>
        <w:t xml:space="preserve">Koteen, J. (1988). </w:t>
      </w:r>
      <w:r w:rsidRPr="00543127">
        <w:rPr>
          <w:i/>
          <w:iCs/>
          <w:sz w:val="22"/>
          <w:szCs w:val="22"/>
        </w:rPr>
        <w:t>Strategic management in public and nonprofit organizations</w:t>
      </w:r>
      <w:r w:rsidRPr="00543127">
        <w:rPr>
          <w:sz w:val="22"/>
          <w:szCs w:val="22"/>
        </w:rPr>
        <w:t>. New York: Praeger.</w:t>
      </w:r>
    </w:p>
    <w:p w:rsidR="00995BE0" w:rsidRPr="00262C1A" w:rsidRDefault="00995BE0" w:rsidP="00851EF3">
      <w:pPr>
        <w:pStyle w:val="Sraopastraipa0"/>
        <w:numPr>
          <w:ilvl w:val="0"/>
          <w:numId w:val="22"/>
        </w:numPr>
        <w:jc w:val="both"/>
        <w:rPr>
          <w:sz w:val="22"/>
          <w:szCs w:val="22"/>
        </w:rPr>
      </w:pPr>
      <w:r w:rsidRPr="00262C1A">
        <w:rPr>
          <w:sz w:val="22"/>
          <w:szCs w:val="22"/>
        </w:rPr>
        <w:t>Lietuvos nacionalinės visuomenės sveikatos priežiūros 2006 – 2013 metų strategija // Valstybės žinios. 2009, Nr. 22-854 [interaktyvus], [žiūrėta 2010-05-27]. Prieiga per internetą:</w:t>
      </w:r>
      <w:r w:rsidRPr="00262C1A">
        <w:rPr>
          <w:sz w:val="22"/>
          <w:szCs w:val="22"/>
        </w:rPr>
        <w:br/>
      </w:r>
      <w:hyperlink r:id="rId220" w:history="1">
        <w:r w:rsidRPr="00262C1A">
          <w:rPr>
            <w:rStyle w:val="Hipersaitas"/>
            <w:sz w:val="22"/>
            <w:szCs w:val="22"/>
          </w:rPr>
          <w:t>http://www3.lrs.lt/pls/inter3/dokpaieska.showdoc_l?p_id=337959&amp;p_query=&amp;p_tr2=</w:t>
        </w:r>
      </w:hyperlink>
      <w:r w:rsidRPr="00262C1A">
        <w:rPr>
          <w:sz w:val="22"/>
          <w:szCs w:val="22"/>
        </w:rPr>
        <w:t>.</w:t>
      </w:r>
    </w:p>
    <w:p w:rsidR="00995BE0" w:rsidRPr="00414B5D" w:rsidRDefault="00995BE0" w:rsidP="00851EF3">
      <w:pPr>
        <w:numPr>
          <w:ilvl w:val="0"/>
          <w:numId w:val="22"/>
        </w:numPr>
        <w:tabs>
          <w:tab w:val="left" w:pos="397"/>
          <w:tab w:val="left" w:leader="dot" w:pos="6237"/>
        </w:tabs>
        <w:jc w:val="both"/>
        <w:rPr>
          <w:sz w:val="22"/>
          <w:szCs w:val="22"/>
        </w:rPr>
      </w:pPr>
      <w:r w:rsidRPr="00414B5D">
        <w:rPr>
          <w:sz w:val="22"/>
          <w:szCs w:val="22"/>
        </w:rPr>
        <w:t xml:space="preserve">Lietuvos Respublikos Aukščiausiosios Tarybos nutarimas „Dėl Lietuvos nacionalinės sveikatos koncepcijos ir jos įgyvendinimo“//Valstybės žinios. 1991, Nr. 33-893 [Interaktyvus], [žiūrėta 2011-02-28]. </w:t>
      </w:r>
      <w:r w:rsidRPr="00414B5D">
        <w:rPr>
          <w:color w:val="000000"/>
          <w:sz w:val="22"/>
          <w:szCs w:val="22"/>
        </w:rPr>
        <w:t>Prieiga per internetą</w:t>
      </w:r>
      <w:r w:rsidRPr="00414B5D">
        <w:rPr>
          <w:sz w:val="22"/>
          <w:szCs w:val="22"/>
        </w:rPr>
        <w:t xml:space="preserve">: </w:t>
      </w:r>
      <w:hyperlink r:id="rId221" w:history="1">
        <w:r w:rsidRPr="00414B5D">
          <w:rPr>
            <w:rStyle w:val="Hipersaitas"/>
            <w:sz w:val="22"/>
            <w:szCs w:val="22"/>
          </w:rPr>
          <w:t>http://www3.lrs.lt/pls/inter3/dokpaieska.showdoc_l?p_id=3044&amp;p_query=&amp;p_tr2</w:t>
        </w:r>
      </w:hyperlink>
      <w:r w:rsidRPr="00414B5D">
        <w:rPr>
          <w:sz w:val="22"/>
          <w:szCs w:val="22"/>
        </w:rPr>
        <w:t>=</w:t>
      </w:r>
    </w:p>
    <w:p w:rsidR="00995BE0" w:rsidRDefault="00995BE0" w:rsidP="00851EF3">
      <w:pPr>
        <w:numPr>
          <w:ilvl w:val="0"/>
          <w:numId w:val="22"/>
        </w:numPr>
        <w:jc w:val="both"/>
        <w:rPr>
          <w:sz w:val="22"/>
          <w:szCs w:val="22"/>
        </w:rPr>
      </w:pPr>
      <w:r w:rsidRPr="00543127">
        <w:rPr>
          <w:sz w:val="22"/>
          <w:szCs w:val="22"/>
        </w:rPr>
        <w:t>Lietuvos sveikatos programa, 1997-2010 // Valstybės žinios. 1998, Nr. 64-1842.</w:t>
      </w:r>
    </w:p>
    <w:p w:rsidR="00995BE0" w:rsidRPr="00263C46" w:rsidRDefault="00995BE0" w:rsidP="00851EF3">
      <w:pPr>
        <w:numPr>
          <w:ilvl w:val="0"/>
          <w:numId w:val="22"/>
        </w:numPr>
        <w:jc w:val="both"/>
        <w:rPr>
          <w:sz w:val="22"/>
          <w:szCs w:val="22"/>
        </w:rPr>
      </w:pPr>
      <w:r w:rsidRPr="00263C46">
        <w:rPr>
          <w:sz w:val="22"/>
          <w:szCs w:val="22"/>
        </w:rPr>
        <w:t xml:space="preserve">Мintzberg, H., Lampel, J., Quinn, J. B., Ghoshal, S. (2002). </w:t>
      </w:r>
      <w:r w:rsidRPr="00263C46">
        <w:rPr>
          <w:i/>
          <w:iCs/>
          <w:sz w:val="22"/>
          <w:szCs w:val="22"/>
        </w:rPr>
        <w:t>The Stra-tegy Process</w:t>
      </w:r>
      <w:r w:rsidRPr="00263C46">
        <w:rPr>
          <w:sz w:val="22"/>
          <w:szCs w:val="22"/>
        </w:rPr>
        <w:t>. New York: Prentice Hall College Division.</w:t>
      </w:r>
    </w:p>
    <w:p w:rsidR="00995BE0" w:rsidRPr="00414B5D" w:rsidRDefault="00995BE0" w:rsidP="00851EF3">
      <w:pPr>
        <w:numPr>
          <w:ilvl w:val="0"/>
          <w:numId w:val="22"/>
        </w:numPr>
        <w:autoSpaceDE w:val="0"/>
        <w:autoSpaceDN w:val="0"/>
        <w:adjustRightInd w:val="0"/>
        <w:jc w:val="both"/>
        <w:rPr>
          <w:sz w:val="22"/>
          <w:szCs w:val="22"/>
        </w:rPr>
      </w:pPr>
      <w:r w:rsidRPr="00414B5D">
        <w:rPr>
          <w:sz w:val="22"/>
          <w:szCs w:val="22"/>
        </w:rPr>
        <w:t>Rainey, H. (2003). Understanding and Managing Public Organizations. 3rd ed. – San Francisco: Jossey-Bass.</w:t>
      </w:r>
    </w:p>
    <w:p w:rsidR="00995BE0" w:rsidRPr="00502FA5" w:rsidRDefault="00995BE0" w:rsidP="00851EF3">
      <w:pPr>
        <w:numPr>
          <w:ilvl w:val="0"/>
          <w:numId w:val="22"/>
        </w:numPr>
        <w:autoSpaceDE w:val="0"/>
        <w:autoSpaceDN w:val="0"/>
        <w:adjustRightInd w:val="0"/>
        <w:jc w:val="both"/>
        <w:rPr>
          <w:sz w:val="22"/>
          <w:szCs w:val="22"/>
        </w:rPr>
      </w:pPr>
      <w:r w:rsidRPr="00502FA5">
        <w:rPr>
          <w:sz w:val="22"/>
          <w:szCs w:val="22"/>
        </w:rPr>
        <w:t xml:space="preserve">Smilga, E. (1997). Strateginio valdymo galimybės: ar visiškai suvoktos ir panaudojamos. </w:t>
      </w:r>
      <w:r w:rsidRPr="00502FA5">
        <w:rPr>
          <w:i/>
          <w:iCs/>
          <w:sz w:val="22"/>
          <w:szCs w:val="22"/>
        </w:rPr>
        <w:t>(The facilities of strategic management: are they clean recognized and realized)</w:t>
      </w:r>
      <w:r w:rsidRPr="00502FA5">
        <w:rPr>
          <w:sz w:val="22"/>
          <w:szCs w:val="22"/>
        </w:rPr>
        <w:t xml:space="preserve">. </w:t>
      </w:r>
      <w:r w:rsidRPr="00502FA5">
        <w:rPr>
          <w:i/>
          <w:iCs/>
          <w:sz w:val="22"/>
          <w:szCs w:val="22"/>
        </w:rPr>
        <w:t>Lietuvos ūkis 10; 11</w:t>
      </w:r>
      <w:r w:rsidRPr="00502FA5">
        <w:rPr>
          <w:sz w:val="22"/>
          <w:szCs w:val="22"/>
        </w:rPr>
        <w:t>. Vilnius.</w:t>
      </w:r>
    </w:p>
    <w:p w:rsidR="00995BE0" w:rsidRPr="00503174" w:rsidRDefault="00995BE0" w:rsidP="00851EF3">
      <w:pPr>
        <w:numPr>
          <w:ilvl w:val="0"/>
          <w:numId w:val="22"/>
        </w:numPr>
        <w:autoSpaceDE w:val="0"/>
        <w:autoSpaceDN w:val="0"/>
        <w:adjustRightInd w:val="0"/>
        <w:jc w:val="both"/>
        <w:rPr>
          <w:sz w:val="22"/>
          <w:szCs w:val="22"/>
        </w:rPr>
      </w:pPr>
      <w:r w:rsidRPr="00503174">
        <w:rPr>
          <w:sz w:val="22"/>
          <w:szCs w:val="22"/>
        </w:rPr>
        <w:t xml:space="preserve">Smilga, E., Grebliauskas, A. (2000). Lietuvos ekonomikos konkurencingumas: strateginio valdymo aspektas. </w:t>
      </w:r>
      <w:r w:rsidRPr="00503174">
        <w:rPr>
          <w:i/>
          <w:iCs/>
          <w:sz w:val="22"/>
          <w:szCs w:val="22"/>
        </w:rPr>
        <w:t>Organizacijų vadyba: sisteminiai tyrimai</w:t>
      </w:r>
      <w:r w:rsidRPr="00503174">
        <w:rPr>
          <w:sz w:val="22"/>
          <w:szCs w:val="22"/>
        </w:rPr>
        <w:t>, t. 14. Kaunas.</w:t>
      </w:r>
    </w:p>
    <w:p w:rsidR="00995BE0" w:rsidRPr="00543127" w:rsidRDefault="00995BE0" w:rsidP="00851EF3">
      <w:pPr>
        <w:numPr>
          <w:ilvl w:val="0"/>
          <w:numId w:val="22"/>
        </w:numPr>
        <w:autoSpaceDE w:val="0"/>
        <w:autoSpaceDN w:val="0"/>
        <w:adjustRightInd w:val="0"/>
        <w:jc w:val="both"/>
        <w:rPr>
          <w:sz w:val="22"/>
          <w:szCs w:val="22"/>
        </w:rPr>
      </w:pPr>
      <w:r w:rsidRPr="00543127">
        <w:rPr>
          <w:sz w:val="22"/>
          <w:szCs w:val="22"/>
        </w:rPr>
        <w:lastRenderedPageBreak/>
        <w:t xml:space="preserve">Smilga, E., Janušonienė, K. (2005). </w:t>
      </w:r>
      <w:r w:rsidRPr="00543127">
        <w:rPr>
          <w:i/>
          <w:sz w:val="22"/>
          <w:szCs w:val="22"/>
        </w:rPr>
        <w:t>Sveikatingumo koncepcija ir jos taikymas strategiškai valdomoje sveikatos apsaugos sistemoje.</w:t>
      </w:r>
      <w:r w:rsidRPr="00543127">
        <w:rPr>
          <w:sz w:val="22"/>
          <w:szCs w:val="22"/>
        </w:rPr>
        <w:t xml:space="preserve"> Tiltai (1).</w:t>
      </w:r>
    </w:p>
    <w:p w:rsidR="00995BE0" w:rsidRPr="00543127" w:rsidRDefault="00995BE0" w:rsidP="00851EF3">
      <w:pPr>
        <w:numPr>
          <w:ilvl w:val="0"/>
          <w:numId w:val="22"/>
        </w:numPr>
        <w:autoSpaceDE w:val="0"/>
        <w:autoSpaceDN w:val="0"/>
        <w:adjustRightInd w:val="0"/>
        <w:jc w:val="both"/>
        <w:rPr>
          <w:rFonts w:ascii="MinionPro-Regular" w:hAnsi="MinionPro-Regular" w:cs="MinionPro-Regular"/>
          <w:sz w:val="22"/>
          <w:szCs w:val="22"/>
        </w:rPr>
      </w:pPr>
      <w:r w:rsidRPr="00543127">
        <w:rPr>
          <w:sz w:val="22"/>
          <w:szCs w:val="22"/>
        </w:rPr>
        <w:t xml:space="preserve">Smilga, E., Janušonienė, K. (2009). The Process of Strategic Management Model Formation and Application in The Lithuanian Health Care System. Ekonomika. [Interaktyvus] [žiūrėta 2011-02-14]. Prieiga per internetą: </w:t>
      </w:r>
      <w:hyperlink r:id="rId222" w:history="1">
        <w:r w:rsidRPr="00543127">
          <w:rPr>
            <w:rStyle w:val="Hipersaitas"/>
            <w:sz w:val="22"/>
            <w:szCs w:val="22"/>
          </w:rPr>
          <w:t>http://www.leidykla.vu.lt/fileadmin/Ekonomika/87/124-140.pdf</w:t>
        </w:r>
      </w:hyperlink>
    </w:p>
    <w:p w:rsidR="00995BE0" w:rsidRPr="00543127" w:rsidRDefault="00995BE0" w:rsidP="00851EF3">
      <w:pPr>
        <w:numPr>
          <w:ilvl w:val="0"/>
          <w:numId w:val="22"/>
        </w:numPr>
        <w:autoSpaceDE w:val="0"/>
        <w:autoSpaceDN w:val="0"/>
        <w:adjustRightInd w:val="0"/>
        <w:jc w:val="both"/>
        <w:rPr>
          <w:sz w:val="22"/>
          <w:szCs w:val="22"/>
        </w:rPr>
      </w:pPr>
      <w:r w:rsidRPr="00543127">
        <w:rPr>
          <w:sz w:val="22"/>
          <w:szCs w:val="22"/>
        </w:rPr>
        <w:t xml:space="preserve">Syme, S. L. (1996). To Prevent Disease: The Need For A New Appro-ach. In: D. Blane, E. Brunner, R. Wilkinson. </w:t>
      </w:r>
      <w:r w:rsidRPr="00543127">
        <w:rPr>
          <w:i/>
          <w:iCs/>
          <w:sz w:val="22"/>
          <w:szCs w:val="22"/>
        </w:rPr>
        <w:t>Health and Social Organization: Towards a Health policy for the 21st Century</w:t>
      </w:r>
      <w:r w:rsidRPr="00543127">
        <w:rPr>
          <w:sz w:val="22"/>
          <w:szCs w:val="22"/>
        </w:rPr>
        <w:t>. Lon-don: Routlage.</w:t>
      </w:r>
    </w:p>
    <w:p w:rsidR="00995BE0" w:rsidRPr="00414B5D" w:rsidRDefault="00995BE0" w:rsidP="00851EF3">
      <w:pPr>
        <w:numPr>
          <w:ilvl w:val="0"/>
          <w:numId w:val="22"/>
        </w:numPr>
        <w:jc w:val="both"/>
        <w:rPr>
          <w:sz w:val="22"/>
          <w:szCs w:val="22"/>
        </w:rPr>
      </w:pPr>
      <w:r w:rsidRPr="00414B5D">
        <w:rPr>
          <w:sz w:val="22"/>
          <w:szCs w:val="22"/>
        </w:rPr>
        <w:t xml:space="preserve">Sveikatos apsaugos ministerijos 2010 – 2012 metų strateginis veiklos planas. Patvirtinta Lietuvos Respublikos sveikatos apsaugos ministro 2010 m. kovo 30 d. įsakymu Nr. V-231. [Interaktyvus], [žiūrėta 2011-02-28]. </w:t>
      </w:r>
      <w:r w:rsidRPr="00414B5D">
        <w:rPr>
          <w:color w:val="000000"/>
          <w:sz w:val="22"/>
          <w:szCs w:val="22"/>
        </w:rPr>
        <w:t>Prieiga per internetą</w:t>
      </w:r>
      <w:r w:rsidRPr="00414B5D">
        <w:rPr>
          <w:sz w:val="22"/>
          <w:szCs w:val="22"/>
        </w:rPr>
        <w:t xml:space="preserve">: </w:t>
      </w:r>
      <w:hyperlink r:id="rId223" w:history="1">
        <w:r w:rsidRPr="00414B5D">
          <w:rPr>
            <w:rStyle w:val="Hipersaitas"/>
            <w:sz w:val="22"/>
            <w:szCs w:val="22"/>
          </w:rPr>
          <w:t>http://www.sam.lt/go.php/Planavimo_dokumentai</w:t>
        </w:r>
      </w:hyperlink>
    </w:p>
    <w:p w:rsidR="00995BE0" w:rsidRPr="00543127" w:rsidRDefault="00995BE0" w:rsidP="00851EF3">
      <w:pPr>
        <w:numPr>
          <w:ilvl w:val="0"/>
          <w:numId w:val="22"/>
        </w:numPr>
        <w:jc w:val="both"/>
        <w:rPr>
          <w:sz w:val="22"/>
          <w:szCs w:val="22"/>
        </w:rPr>
      </w:pPr>
      <w:r w:rsidRPr="00543127">
        <w:rPr>
          <w:sz w:val="22"/>
          <w:szCs w:val="22"/>
        </w:rPr>
        <w:t xml:space="preserve">Swayne, L., E., Duncan, W., J., Ginter, P., M. (2006). </w:t>
      </w:r>
      <w:r w:rsidRPr="00543127">
        <w:rPr>
          <w:sz w:val="22"/>
          <w:szCs w:val="22"/>
          <w:lang w:val="en-US"/>
        </w:rPr>
        <w:t>Strategic</w:t>
      </w:r>
      <w:r w:rsidRPr="00543127">
        <w:rPr>
          <w:sz w:val="22"/>
          <w:szCs w:val="22"/>
        </w:rPr>
        <w:t xml:space="preserve"> Management of Health Care Organization. Fifth edition. Australia.</w:t>
      </w:r>
    </w:p>
    <w:p w:rsidR="00995BE0" w:rsidRPr="00543127" w:rsidRDefault="00995BE0" w:rsidP="00851EF3">
      <w:pPr>
        <w:numPr>
          <w:ilvl w:val="0"/>
          <w:numId w:val="22"/>
        </w:numPr>
        <w:jc w:val="both"/>
        <w:rPr>
          <w:sz w:val="22"/>
          <w:szCs w:val="22"/>
        </w:rPr>
      </w:pPr>
      <w:r w:rsidRPr="00543127">
        <w:rPr>
          <w:sz w:val="22"/>
          <w:szCs w:val="22"/>
        </w:rPr>
        <w:t xml:space="preserve">Statistikos departamentas prie LR Vyriausybės. (2010) [interaktyvus] [žiūrėta 2010-12-16]. Prieiga per internetą: </w:t>
      </w:r>
      <w:hyperlink r:id="rId224" w:history="1">
        <w:r w:rsidRPr="00543127">
          <w:rPr>
            <w:rStyle w:val="Hipersaitas"/>
            <w:sz w:val="22"/>
            <w:szCs w:val="22"/>
          </w:rPr>
          <w:t>http://www.stat.gov.lt/lt/</w:t>
        </w:r>
      </w:hyperlink>
      <w:r w:rsidRPr="00543127">
        <w:rPr>
          <w:sz w:val="22"/>
          <w:szCs w:val="22"/>
        </w:rPr>
        <w:t>.</w:t>
      </w:r>
    </w:p>
    <w:p w:rsidR="00995BE0" w:rsidRPr="00414B5D" w:rsidRDefault="00995BE0" w:rsidP="00851EF3">
      <w:pPr>
        <w:numPr>
          <w:ilvl w:val="0"/>
          <w:numId w:val="22"/>
        </w:numPr>
        <w:tabs>
          <w:tab w:val="left" w:pos="397"/>
          <w:tab w:val="left" w:leader="dot" w:pos="6237"/>
        </w:tabs>
        <w:jc w:val="both"/>
        <w:rPr>
          <w:sz w:val="22"/>
          <w:szCs w:val="22"/>
        </w:rPr>
      </w:pPr>
      <w:r w:rsidRPr="00414B5D">
        <w:rPr>
          <w:sz w:val="22"/>
          <w:szCs w:val="22"/>
        </w:rPr>
        <w:t>Staponkienė, J. (2004). Strateginis valdymas privataus ir viešojo sektoriaus organizacijose: pranašumai ir skirtumai.</w:t>
      </w:r>
      <w:r w:rsidRPr="00414B5D">
        <w:rPr>
          <w:i/>
          <w:iCs/>
          <w:sz w:val="22"/>
          <w:szCs w:val="22"/>
        </w:rPr>
        <w:t xml:space="preserve">  Socialiniai tyrimai</w:t>
      </w:r>
      <w:r w:rsidRPr="00414B5D">
        <w:rPr>
          <w:sz w:val="22"/>
          <w:szCs w:val="22"/>
        </w:rPr>
        <w:t xml:space="preserve"> 1 (4).</w:t>
      </w:r>
    </w:p>
    <w:p w:rsidR="00995BE0" w:rsidRPr="00543127" w:rsidRDefault="00995BE0" w:rsidP="00851EF3">
      <w:pPr>
        <w:numPr>
          <w:ilvl w:val="0"/>
          <w:numId w:val="22"/>
        </w:numPr>
        <w:jc w:val="both"/>
        <w:rPr>
          <w:sz w:val="22"/>
          <w:szCs w:val="22"/>
        </w:rPr>
      </w:pPr>
      <w:r w:rsidRPr="00543127">
        <w:rPr>
          <w:sz w:val="22"/>
          <w:szCs w:val="22"/>
        </w:rPr>
        <w:t xml:space="preserve">Sveikas senėjimas. Europos siekis. Sutrumpinta versija. (2007) [interaktyvus] [žiūrėta 2011-03-16]. Prieiga per internetą: </w:t>
      </w:r>
      <w:hyperlink r:id="rId225" w:history="1">
        <w:r w:rsidRPr="00543127">
          <w:rPr>
            <w:rStyle w:val="Hipersaitas"/>
            <w:sz w:val="22"/>
            <w:szCs w:val="22"/>
          </w:rPr>
          <w:t>http://sena.sam.lt/repository/dokumentai/Sveikatos%20patarimai/lithuanian_shortHA_web.pdf</w:t>
        </w:r>
      </w:hyperlink>
    </w:p>
    <w:p w:rsidR="00995BE0" w:rsidRPr="00503174" w:rsidRDefault="00995BE0" w:rsidP="00851EF3">
      <w:pPr>
        <w:numPr>
          <w:ilvl w:val="0"/>
          <w:numId w:val="22"/>
        </w:numPr>
        <w:jc w:val="both"/>
        <w:rPr>
          <w:sz w:val="22"/>
          <w:szCs w:val="22"/>
        </w:rPr>
      </w:pPr>
      <w:r w:rsidRPr="00503174">
        <w:rPr>
          <w:sz w:val="22"/>
          <w:szCs w:val="22"/>
        </w:rPr>
        <w:t>Sveikatos sistemos plėtros pagrindinės nuostatos, 201</w:t>
      </w:r>
      <w:r>
        <w:rPr>
          <w:sz w:val="22"/>
          <w:szCs w:val="22"/>
        </w:rPr>
        <w:t>1</w:t>
      </w:r>
      <w:r w:rsidRPr="00503174">
        <w:rPr>
          <w:sz w:val="22"/>
          <w:szCs w:val="22"/>
        </w:rPr>
        <w:t xml:space="preserve"> [interaktyvus] [žiūrėta 201</w:t>
      </w:r>
      <w:r>
        <w:rPr>
          <w:sz w:val="22"/>
          <w:szCs w:val="22"/>
        </w:rPr>
        <w:t>1-02</w:t>
      </w:r>
      <w:r w:rsidRPr="00503174">
        <w:rPr>
          <w:sz w:val="22"/>
          <w:szCs w:val="22"/>
        </w:rPr>
        <w:t xml:space="preserve">-15]. Prieiga per internetą: </w:t>
      </w:r>
      <w:hyperlink r:id="rId226" w:history="1">
        <w:r w:rsidRPr="00503174">
          <w:rPr>
            <w:rStyle w:val="Hipersaitas"/>
            <w:sz w:val="22"/>
            <w:szCs w:val="22"/>
          </w:rPr>
          <w:t>http://www.tsajunga.lt/uploads/files/dir33/dir1/19_0.php</w:t>
        </w:r>
      </w:hyperlink>
    </w:p>
    <w:p w:rsidR="00995BE0" w:rsidRPr="00543127" w:rsidRDefault="00995BE0" w:rsidP="00851EF3">
      <w:pPr>
        <w:numPr>
          <w:ilvl w:val="0"/>
          <w:numId w:val="22"/>
        </w:numPr>
        <w:jc w:val="both"/>
        <w:rPr>
          <w:sz w:val="22"/>
          <w:szCs w:val="22"/>
        </w:rPr>
      </w:pPr>
      <w:r w:rsidRPr="00543127">
        <w:rPr>
          <w:sz w:val="22"/>
          <w:szCs w:val="22"/>
        </w:rPr>
        <w:t>Šiaulių miesto savivaldybės visuomenės sveikatos biuro nuostatai. Šiaulių miesto savivaldybės tarybos 2008 m. vasario 28 d. sprendimas Nr. T-55.</w:t>
      </w:r>
    </w:p>
    <w:p w:rsidR="00995BE0" w:rsidRPr="00E17EDA" w:rsidRDefault="00995BE0" w:rsidP="00851EF3">
      <w:pPr>
        <w:numPr>
          <w:ilvl w:val="0"/>
          <w:numId w:val="22"/>
        </w:numPr>
        <w:tabs>
          <w:tab w:val="left" w:pos="900"/>
        </w:tabs>
        <w:autoSpaceDE w:val="0"/>
        <w:autoSpaceDN w:val="0"/>
        <w:adjustRightInd w:val="0"/>
        <w:jc w:val="both"/>
        <w:rPr>
          <w:i/>
          <w:iCs/>
          <w:sz w:val="22"/>
          <w:szCs w:val="22"/>
        </w:rPr>
      </w:pPr>
      <w:r w:rsidRPr="00543127">
        <w:rPr>
          <w:sz w:val="22"/>
          <w:szCs w:val="22"/>
        </w:rPr>
        <w:t>World Health Report. (2003). Reducing risk – promoting healthy life, 2002, WHO, Ženeva.</w:t>
      </w:r>
    </w:p>
    <w:p w:rsidR="00995BE0" w:rsidRPr="00543127" w:rsidRDefault="00995BE0" w:rsidP="00851EF3">
      <w:pPr>
        <w:numPr>
          <w:ilvl w:val="0"/>
          <w:numId w:val="22"/>
        </w:numPr>
        <w:tabs>
          <w:tab w:val="left" w:pos="900"/>
        </w:tabs>
        <w:autoSpaceDE w:val="0"/>
        <w:autoSpaceDN w:val="0"/>
        <w:adjustRightInd w:val="0"/>
        <w:jc w:val="both"/>
        <w:rPr>
          <w:i/>
          <w:iCs/>
          <w:sz w:val="22"/>
          <w:szCs w:val="22"/>
        </w:rPr>
      </w:pPr>
      <w:r>
        <w:rPr>
          <w:sz w:val="22"/>
          <w:szCs w:val="22"/>
        </w:rPr>
        <w:t>2007 – 2013 metų Šiaulių miesto visuomenės sveikatos priežiūros strategija, patvirtinta Šiaulių miesto savivaldybės tarybos 2007 m. rugpjūčio 23 d. sprendimu Nr. T-295.</w:t>
      </w:r>
    </w:p>
    <w:p w:rsidR="00995BE0" w:rsidRDefault="00995BE0" w:rsidP="00851EF3">
      <w:pPr>
        <w:autoSpaceDE w:val="0"/>
        <w:autoSpaceDN w:val="0"/>
        <w:adjustRightInd w:val="0"/>
        <w:jc w:val="both"/>
        <w:rPr>
          <w:sz w:val="20"/>
          <w:szCs w:val="20"/>
        </w:rPr>
      </w:pPr>
    </w:p>
    <w:p w:rsidR="00995BE0" w:rsidRDefault="00995BE0" w:rsidP="00851EF3">
      <w:pPr>
        <w:tabs>
          <w:tab w:val="left" w:pos="397"/>
          <w:tab w:val="left" w:leader="dot" w:pos="6237"/>
        </w:tabs>
        <w:jc w:val="both"/>
        <w:rPr>
          <w:sz w:val="20"/>
          <w:szCs w:val="20"/>
        </w:rPr>
      </w:pPr>
    </w:p>
    <w:p w:rsidR="00995BE0" w:rsidRPr="00C551BE" w:rsidRDefault="00995BE0" w:rsidP="00851EF3">
      <w:pPr>
        <w:jc w:val="center"/>
        <w:rPr>
          <w:b/>
          <w:sz w:val="22"/>
          <w:szCs w:val="22"/>
        </w:rPr>
      </w:pPr>
      <w:r w:rsidRPr="00A877C3">
        <w:rPr>
          <w:b/>
          <w:sz w:val="22"/>
          <w:szCs w:val="22"/>
          <w:lang w:val="en-GB"/>
        </w:rPr>
        <w:t>STRATEGIC PRIORITIES OF PUBLIC</w:t>
      </w:r>
      <w:r w:rsidRPr="00C551BE">
        <w:rPr>
          <w:b/>
          <w:sz w:val="22"/>
          <w:szCs w:val="22"/>
        </w:rPr>
        <w:t xml:space="preserve"> HEALTH BUREAU: THE CASE OF SIAULIAI</w:t>
      </w:r>
      <w:r w:rsidRPr="00A877C3">
        <w:rPr>
          <w:b/>
          <w:sz w:val="22"/>
          <w:szCs w:val="22"/>
        </w:rPr>
        <w:t xml:space="preserve"> </w:t>
      </w:r>
      <w:r w:rsidRPr="00C551BE">
        <w:rPr>
          <w:b/>
          <w:sz w:val="22"/>
          <w:szCs w:val="22"/>
        </w:rPr>
        <w:t>CITY</w:t>
      </w:r>
    </w:p>
    <w:p w:rsidR="00995BE0" w:rsidRPr="002E4670" w:rsidRDefault="00995BE0" w:rsidP="00851EF3">
      <w:pPr>
        <w:rPr>
          <w:b/>
          <w:sz w:val="20"/>
          <w:szCs w:val="20"/>
        </w:rPr>
      </w:pPr>
    </w:p>
    <w:p w:rsidR="00995BE0" w:rsidRPr="00C551BE" w:rsidRDefault="00995BE0" w:rsidP="00851EF3">
      <w:pPr>
        <w:tabs>
          <w:tab w:val="left" w:pos="397"/>
          <w:tab w:val="left" w:leader="dot" w:pos="6237"/>
        </w:tabs>
        <w:jc w:val="center"/>
        <w:rPr>
          <w:b/>
          <w:i/>
          <w:sz w:val="20"/>
          <w:szCs w:val="20"/>
        </w:rPr>
      </w:pPr>
      <w:r w:rsidRPr="00C551BE">
        <w:rPr>
          <w:b/>
          <w:i/>
          <w:sz w:val="20"/>
          <w:szCs w:val="20"/>
        </w:rPr>
        <w:t>D. Širvinskaitė, T. Tamošiūnas</w:t>
      </w:r>
    </w:p>
    <w:p w:rsidR="00995BE0" w:rsidRDefault="00995BE0" w:rsidP="00851EF3">
      <w:pPr>
        <w:jc w:val="center"/>
        <w:rPr>
          <w:sz w:val="20"/>
          <w:szCs w:val="20"/>
        </w:rPr>
      </w:pPr>
      <w:r w:rsidRPr="002E4670">
        <w:rPr>
          <w:sz w:val="20"/>
          <w:szCs w:val="20"/>
        </w:rPr>
        <w:t>Summary</w:t>
      </w:r>
    </w:p>
    <w:p w:rsidR="00995BE0" w:rsidRDefault="00995BE0" w:rsidP="00851EF3">
      <w:pPr>
        <w:jc w:val="center"/>
        <w:rPr>
          <w:sz w:val="20"/>
          <w:szCs w:val="20"/>
        </w:rPr>
      </w:pPr>
    </w:p>
    <w:p w:rsidR="00995BE0" w:rsidRPr="004D3F26" w:rsidRDefault="00995BE0" w:rsidP="00851EF3">
      <w:pPr>
        <w:jc w:val="both"/>
        <w:rPr>
          <w:sz w:val="20"/>
          <w:szCs w:val="20"/>
          <w:lang w:val="en-US"/>
        </w:rPr>
      </w:pPr>
      <w:r w:rsidRPr="004D3F26">
        <w:rPr>
          <w:sz w:val="20"/>
          <w:szCs w:val="20"/>
          <w:lang w:val="en-GB"/>
        </w:rPr>
        <w:t xml:space="preserve">This </w:t>
      </w:r>
      <w:r w:rsidRPr="004D3F26">
        <w:rPr>
          <w:sz w:val="20"/>
          <w:szCs w:val="20"/>
          <w:lang w:val="en-US"/>
        </w:rPr>
        <w:t>article</w:t>
      </w:r>
      <w:r w:rsidRPr="004D3F26">
        <w:rPr>
          <w:lang w:val="en-US"/>
        </w:rPr>
        <w:t xml:space="preserve"> </w:t>
      </w:r>
      <w:r w:rsidRPr="004D3F26">
        <w:rPr>
          <w:sz w:val="20"/>
          <w:szCs w:val="20"/>
          <w:lang w:val="en-US"/>
        </w:rPr>
        <w:t>highlights the importance of primary health care in the whole health care system</w:t>
      </w:r>
      <w:r w:rsidRPr="004D3F26">
        <w:rPr>
          <w:sz w:val="20"/>
          <w:szCs w:val="20"/>
        </w:rPr>
        <w:t xml:space="preserve">. </w:t>
      </w:r>
      <w:r w:rsidRPr="004D3F26">
        <w:rPr>
          <w:sz w:val="20"/>
          <w:szCs w:val="20"/>
          <w:lang w:val="en-CA"/>
        </w:rPr>
        <w:t>Public health sector has a strong legal framework in Lithuania and Europe.</w:t>
      </w:r>
      <w:r w:rsidRPr="004D3F26">
        <w:rPr>
          <w:rStyle w:val="hps"/>
        </w:rPr>
        <w:t xml:space="preserve"> </w:t>
      </w:r>
      <w:r w:rsidRPr="004D3F26">
        <w:rPr>
          <w:rStyle w:val="hps"/>
          <w:sz w:val="20"/>
          <w:szCs w:val="20"/>
        </w:rPr>
        <w:t>Unfortunately delaying</w:t>
      </w:r>
      <w:r w:rsidRPr="004D3F26">
        <w:rPr>
          <w:sz w:val="20"/>
          <w:szCs w:val="20"/>
        </w:rPr>
        <w:t xml:space="preserve"> </w:t>
      </w:r>
      <w:r w:rsidRPr="004D3F26">
        <w:rPr>
          <w:rStyle w:val="hps"/>
          <w:sz w:val="20"/>
          <w:szCs w:val="20"/>
        </w:rPr>
        <w:t>the implementation of</w:t>
      </w:r>
      <w:r w:rsidRPr="004D3F26">
        <w:rPr>
          <w:sz w:val="20"/>
          <w:szCs w:val="20"/>
        </w:rPr>
        <w:t xml:space="preserve"> </w:t>
      </w:r>
      <w:r w:rsidRPr="004D3F26">
        <w:rPr>
          <w:rStyle w:val="hps"/>
          <w:sz w:val="20"/>
          <w:szCs w:val="20"/>
        </w:rPr>
        <w:t>various health programs in Lithuania</w:t>
      </w:r>
      <w:r w:rsidRPr="004D3F26">
        <w:rPr>
          <w:sz w:val="20"/>
          <w:szCs w:val="20"/>
        </w:rPr>
        <w:t xml:space="preserve">, </w:t>
      </w:r>
      <w:r w:rsidRPr="004D3F26">
        <w:rPr>
          <w:rStyle w:val="hps"/>
          <w:sz w:val="20"/>
          <w:szCs w:val="20"/>
        </w:rPr>
        <w:t>they are often</w:t>
      </w:r>
      <w:r w:rsidRPr="004D3F26">
        <w:rPr>
          <w:sz w:val="20"/>
          <w:szCs w:val="20"/>
        </w:rPr>
        <w:t xml:space="preserve"> </w:t>
      </w:r>
      <w:r w:rsidRPr="004D3F26">
        <w:rPr>
          <w:rStyle w:val="hps"/>
          <w:sz w:val="20"/>
          <w:szCs w:val="20"/>
        </w:rPr>
        <w:t>carried out</w:t>
      </w:r>
      <w:r w:rsidRPr="004D3F26">
        <w:rPr>
          <w:sz w:val="20"/>
          <w:szCs w:val="20"/>
        </w:rPr>
        <w:t xml:space="preserve"> </w:t>
      </w:r>
      <w:r w:rsidRPr="004D3F26">
        <w:rPr>
          <w:rStyle w:val="hps"/>
          <w:sz w:val="20"/>
          <w:szCs w:val="20"/>
        </w:rPr>
        <w:t>badly.</w:t>
      </w:r>
      <w:r w:rsidRPr="004D3F26">
        <w:rPr>
          <w:sz w:val="20"/>
          <w:szCs w:val="20"/>
          <w:lang w:val="en-GB"/>
        </w:rPr>
        <w:t xml:space="preserve"> </w:t>
      </w:r>
      <w:r w:rsidRPr="004D3F26">
        <w:rPr>
          <w:sz w:val="20"/>
          <w:szCs w:val="20"/>
          <w:lang w:val="en-CA"/>
        </w:rPr>
        <w:t>The new public health institutions – public health bureaus of municipalities started its activities in 2006. They are</w:t>
      </w:r>
      <w:r w:rsidRPr="004D3F26">
        <w:rPr>
          <w:sz w:val="20"/>
          <w:szCs w:val="20"/>
          <w:lang w:val="en-US"/>
        </w:rPr>
        <w:t xml:space="preserve"> the main element of the primary health care. The </w:t>
      </w:r>
      <w:r w:rsidRPr="004D3F26">
        <w:rPr>
          <w:sz w:val="20"/>
          <w:szCs w:val="20"/>
          <w:lang w:val="en-GB"/>
        </w:rPr>
        <w:t xml:space="preserve">aim of this study is to shape and to base the public health bureau’s priorities of Siauliai municipality. The analysis of the health status of the population of Siauliai city shows the main public health problems. </w:t>
      </w:r>
      <w:r w:rsidRPr="004D3F26">
        <w:rPr>
          <w:sz w:val="20"/>
          <w:szCs w:val="20"/>
          <w:lang w:val="en-US"/>
        </w:rPr>
        <w:t>Identified four health</w:t>
      </w:r>
      <w:r w:rsidRPr="004D3F26">
        <w:rPr>
          <w:sz w:val="20"/>
          <w:szCs w:val="20"/>
        </w:rPr>
        <w:t xml:space="preserve"> </w:t>
      </w:r>
      <w:r w:rsidRPr="004D3F26">
        <w:rPr>
          <w:sz w:val="20"/>
          <w:szCs w:val="20"/>
          <w:lang w:val="en-CA"/>
        </w:rPr>
        <w:t xml:space="preserve">priorities: children's health, healthy aging, socioeconomic health inequalities reduction and chronic diseases prevention. The public health bureau of Siauliai lacks of political support. As a result, delaying funding, methodology is not sufficient and results in a number of others problems. </w:t>
      </w:r>
      <w:r w:rsidRPr="004D3F26">
        <w:rPr>
          <w:sz w:val="20"/>
          <w:szCs w:val="20"/>
          <w:lang w:val="en-GB"/>
        </w:rPr>
        <w:t>According to survey findings reveal the main shortcomings of the Public Health Bureau of municipal Siauliai which affect their performance.</w:t>
      </w:r>
    </w:p>
    <w:p w:rsidR="00995BE0" w:rsidRPr="004D3F26" w:rsidRDefault="00995BE0" w:rsidP="00851EF3">
      <w:pPr>
        <w:jc w:val="both"/>
        <w:rPr>
          <w:sz w:val="20"/>
          <w:szCs w:val="20"/>
        </w:rPr>
      </w:pPr>
      <w:r w:rsidRPr="004D3F26">
        <w:rPr>
          <w:b/>
          <w:bCs/>
          <w:sz w:val="20"/>
          <w:szCs w:val="20"/>
          <w:lang w:val="en-GB"/>
        </w:rPr>
        <w:t xml:space="preserve">Key words: </w:t>
      </w:r>
      <w:r w:rsidRPr="004D3F26">
        <w:rPr>
          <w:bCs/>
          <w:sz w:val="20"/>
          <w:szCs w:val="20"/>
          <w:lang w:val="en-GB"/>
        </w:rPr>
        <w:t>strategy, strategic management, public</w:t>
      </w:r>
      <w:r w:rsidRPr="004D3F26">
        <w:rPr>
          <w:bCs/>
          <w:sz w:val="20"/>
          <w:szCs w:val="20"/>
        </w:rPr>
        <w:t xml:space="preserve"> health, </w:t>
      </w:r>
      <w:r w:rsidRPr="004D3F26">
        <w:rPr>
          <w:sz w:val="20"/>
          <w:szCs w:val="20"/>
          <w:lang w:val="en-CA"/>
        </w:rPr>
        <w:t>public health bureau</w:t>
      </w:r>
      <w:r w:rsidRPr="004D3F26">
        <w:rPr>
          <w:sz w:val="20"/>
          <w:szCs w:val="20"/>
          <w:lang w:val="en-US"/>
        </w:rPr>
        <w:t>.</w:t>
      </w:r>
    </w:p>
    <w:p w:rsidR="00995BE0" w:rsidRPr="004C07EF" w:rsidRDefault="00995BE0" w:rsidP="00851EF3">
      <w:pPr>
        <w:autoSpaceDE w:val="0"/>
        <w:autoSpaceDN w:val="0"/>
        <w:adjustRightInd w:val="0"/>
        <w:ind w:firstLine="567"/>
        <w:jc w:val="both"/>
        <w:rPr>
          <w:noProof/>
        </w:rPr>
      </w:pPr>
    </w:p>
    <w:p w:rsidR="00995BE0" w:rsidRPr="005E6B1C" w:rsidRDefault="00995BE0" w:rsidP="00851EF3"/>
    <w:p w:rsidR="00995BE0" w:rsidRPr="005E6B1C" w:rsidRDefault="00995BE0" w:rsidP="00851EF3">
      <w:pPr>
        <w:rPr>
          <w:rStyle w:val="Knygospavadinimas"/>
          <w:bCs w:val="0"/>
          <w:smallCaps w:val="0"/>
          <w:sz w:val="22"/>
          <w:szCs w:val="22"/>
        </w:rPr>
      </w:pPr>
    </w:p>
    <w:p w:rsidR="00995BE0" w:rsidRPr="006F0A1F" w:rsidRDefault="00995BE0" w:rsidP="00944F51">
      <w:pPr>
        <w:tabs>
          <w:tab w:val="left" w:pos="2850"/>
        </w:tabs>
      </w:pPr>
    </w:p>
    <w:p w:rsidR="00995BE0" w:rsidRPr="00981BA2" w:rsidRDefault="00995BE0" w:rsidP="008E467F">
      <w:pPr>
        <w:spacing w:line="360" w:lineRule="auto"/>
        <w:jc w:val="right"/>
        <w:rPr>
          <w:sz w:val="20"/>
          <w:szCs w:val="20"/>
        </w:rPr>
      </w:pPr>
    </w:p>
    <w:sectPr w:rsidR="00995BE0" w:rsidRPr="00981BA2" w:rsidSect="008E467F">
      <w:headerReference w:type="even" r:id="rId227"/>
      <w:headerReference w:type="default" r:id="rId228"/>
      <w:pgSz w:w="11906" w:h="16838"/>
      <w:pgMar w:top="1134"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BE0" w:rsidRDefault="00995BE0" w:rsidP="00DE32B2">
      <w:r>
        <w:separator/>
      </w:r>
    </w:p>
  </w:endnote>
  <w:endnote w:type="continuationSeparator" w:id="0">
    <w:p w:rsidR="00995BE0" w:rsidRDefault="00995BE0" w:rsidP="00DE32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19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NCBKPE+TimesNewRoman,Bold">
    <w:altName w:val="Times New Roman"/>
    <w:panose1 w:val="00000000000000000000"/>
    <w:charset w:val="00"/>
    <w:family w:val="roman"/>
    <w:notTrueType/>
    <w:pitch w:val="default"/>
    <w:sig w:usb0="00000003" w:usb1="00000000" w:usb2="00000000" w:usb3="00000000" w:csb0="00000001" w:csb1="00000000"/>
  </w:font>
  <w:font w:name="TimesNewRoman+1">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MyriadPro-Regular">
    <w:altName w:val="Times New Roman"/>
    <w:panose1 w:val="00000000000000000000"/>
    <w:charset w:val="BA"/>
    <w:family w:val="auto"/>
    <w:notTrueType/>
    <w:pitch w:val="default"/>
    <w:sig w:usb0="00000005" w:usb1="00000000" w:usb2="00000000" w:usb3="00000000" w:csb0="00000080"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Bold Baltic">
    <w:altName w:val="Times New Roman"/>
    <w:panose1 w:val="00000000000000000000"/>
    <w:charset w:val="BA"/>
    <w:family w:val="roman"/>
    <w:notTrueType/>
    <w:pitch w:val="default"/>
    <w:sig w:usb0="00000005" w:usb1="00000000" w:usb2="00000000" w:usb3="00000000" w:csb0="0000008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Baltic">
    <w:altName w:val="Times New Roman"/>
    <w:panose1 w:val="00000000000000000000"/>
    <w:charset w:val="BA"/>
    <w:family w:val="roman"/>
    <w:notTrueType/>
    <w:pitch w:val="default"/>
    <w:sig w:usb0="00000005" w:usb1="00000000" w:usb2="00000000" w:usb3="00000000" w:csb0="00000080"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TE1C646F0t00">
    <w:altName w:val="Times New Roman"/>
    <w:panose1 w:val="00000000000000000000"/>
    <w:charset w:val="BA"/>
    <w:family w:val="auto"/>
    <w:notTrueType/>
    <w:pitch w:val="default"/>
    <w:sig w:usb0="00000005" w:usb1="00000000" w:usb2="00000000" w:usb3="00000000" w:csb0="00000080" w:csb1="00000000"/>
  </w:font>
  <w:font w:name="TimesLT Baltic">
    <w:altName w:val="Times New Roman"/>
    <w:panose1 w:val="00000000000000000000"/>
    <w:charset w:val="BA"/>
    <w:family w:val="roman"/>
    <w:notTrueType/>
    <w:pitch w:val="variable"/>
    <w:sig w:usb0="00000005" w:usb1="00000000" w:usb2="00000000" w:usb3="00000000" w:csb0="00000080" w:csb1="00000000"/>
  </w:font>
  <w:font w:name="Batang">
    <w:altName w:val="바탕"/>
    <w:panose1 w:val="02030600000101010101"/>
    <w:charset w:val="81"/>
    <w:family w:val="roman"/>
    <w:pitch w:val="variable"/>
    <w:sig w:usb0="B00002AF" w:usb1="69D77CFB" w:usb2="00000030" w:usb3="00000000" w:csb0="0008009F" w:csb1="00000000"/>
  </w:font>
  <w:font w:name="Arial,Bold">
    <w:altName w:val="Arial"/>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BA"/>
    <w:family w:val="auto"/>
    <w:notTrueType/>
    <w:pitch w:val="default"/>
    <w:sig w:usb0="00000005" w:usb1="00000000" w:usb2="00000000" w:usb3="00000000" w:csb0="0000008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E0" w:rsidRDefault="00CB16CF" w:rsidP="0093230C">
    <w:pPr>
      <w:pStyle w:val="Porat"/>
      <w:framePr w:wrap="around" w:vAnchor="text" w:hAnchor="margin" w:xAlign="right" w:y="1"/>
      <w:rPr>
        <w:rStyle w:val="Puslapionumeris"/>
      </w:rPr>
    </w:pPr>
    <w:r>
      <w:rPr>
        <w:rStyle w:val="Puslapionumeris"/>
      </w:rPr>
      <w:fldChar w:fldCharType="begin"/>
    </w:r>
    <w:r w:rsidR="00995BE0">
      <w:rPr>
        <w:rStyle w:val="Puslapionumeris"/>
      </w:rPr>
      <w:instrText xml:space="preserve">PAGE  </w:instrText>
    </w:r>
    <w:r>
      <w:rPr>
        <w:rStyle w:val="Puslapionumeris"/>
      </w:rPr>
      <w:fldChar w:fldCharType="end"/>
    </w:r>
  </w:p>
  <w:p w:rsidR="00995BE0" w:rsidRDefault="00995BE0" w:rsidP="0093230C">
    <w:pPr>
      <w:pStyle w:val="Por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C" w:rsidRDefault="00A54FAC">
    <w:pPr>
      <w:pStyle w:val="Porat"/>
      <w:jc w:val="right"/>
    </w:pPr>
    <w:fldSimple w:instr=" PAGE   \* MERGEFORMAT ">
      <w:r w:rsidR="00884C83">
        <w:rPr>
          <w:noProof/>
        </w:rPr>
        <w:t>117</w:t>
      </w:r>
    </w:fldSimple>
  </w:p>
  <w:p w:rsidR="00995BE0" w:rsidRDefault="00995BE0" w:rsidP="0093230C">
    <w:pPr>
      <w:pStyle w:val="Por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BE0" w:rsidRDefault="00995BE0" w:rsidP="00DE32B2">
      <w:r>
        <w:separator/>
      </w:r>
    </w:p>
  </w:footnote>
  <w:footnote w:type="continuationSeparator" w:id="0">
    <w:p w:rsidR="00995BE0" w:rsidRDefault="00995BE0" w:rsidP="00DE32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E0" w:rsidRDefault="00CB16CF">
    <w:pPr>
      <w:pStyle w:val="Antrats"/>
      <w:framePr w:wrap="around" w:vAnchor="text" w:hAnchor="margin" w:xAlign="center" w:y="1"/>
      <w:rPr>
        <w:rStyle w:val="Puslapionumeris"/>
      </w:rPr>
    </w:pPr>
    <w:r>
      <w:rPr>
        <w:rStyle w:val="Puslapionumeris"/>
      </w:rPr>
      <w:fldChar w:fldCharType="begin"/>
    </w:r>
    <w:r w:rsidR="00995BE0">
      <w:rPr>
        <w:rStyle w:val="Puslapionumeris"/>
      </w:rPr>
      <w:instrText xml:space="preserve">PAGE  </w:instrText>
    </w:r>
    <w:r>
      <w:rPr>
        <w:rStyle w:val="Puslapionumeris"/>
      </w:rPr>
      <w:fldChar w:fldCharType="end"/>
    </w:r>
  </w:p>
  <w:p w:rsidR="00995BE0" w:rsidRDefault="00995BE0">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E0" w:rsidRDefault="00995BE0">
    <w:pPr>
      <w:pStyle w:val="Antrat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E0" w:rsidRDefault="00CB16CF">
    <w:pPr>
      <w:pStyle w:val="Antrats"/>
      <w:framePr w:wrap="around" w:vAnchor="text" w:hAnchor="margin" w:xAlign="center" w:y="1"/>
      <w:rPr>
        <w:rStyle w:val="Puslapionumeris"/>
      </w:rPr>
    </w:pPr>
    <w:r>
      <w:rPr>
        <w:rStyle w:val="Puslapionumeris"/>
      </w:rPr>
      <w:fldChar w:fldCharType="begin"/>
    </w:r>
    <w:r w:rsidR="00995BE0">
      <w:rPr>
        <w:rStyle w:val="Puslapionumeris"/>
      </w:rPr>
      <w:instrText xml:space="preserve">PAGE  </w:instrText>
    </w:r>
    <w:r>
      <w:rPr>
        <w:rStyle w:val="Puslapionumeris"/>
      </w:rPr>
      <w:fldChar w:fldCharType="end"/>
    </w:r>
  </w:p>
  <w:p w:rsidR="00995BE0" w:rsidRDefault="00995BE0">
    <w:pPr>
      <w:pStyle w:val="Antrat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BE0" w:rsidRDefault="00995BE0">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0000001"/>
    <w:multiLevelType w:val="multilevel"/>
    <w:tmpl w:val="A5065956"/>
    <w:lvl w:ilvl="0">
      <w:start w:val="1"/>
      <w:numFmt w:val="none"/>
      <w:pStyle w:val="Antrat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1A"/>
    <w:multiLevelType w:val="singleLevel"/>
    <w:tmpl w:val="0000001A"/>
    <w:name w:val="WW8Num38"/>
    <w:lvl w:ilvl="0">
      <w:start w:val="1"/>
      <w:numFmt w:val="bullet"/>
      <w:lvlText w:val=""/>
      <w:lvlJc w:val="left"/>
      <w:pPr>
        <w:tabs>
          <w:tab w:val="num" w:pos="720"/>
        </w:tabs>
        <w:ind w:left="720" w:hanging="360"/>
      </w:pPr>
      <w:rPr>
        <w:rFonts w:ascii="Symbol" w:hAnsi="Symbol"/>
        <w:b w:val="0"/>
        <w:i w:val="0"/>
        <w:sz w:val="24"/>
      </w:rPr>
    </w:lvl>
  </w:abstractNum>
  <w:abstractNum w:abstractNumId="2">
    <w:nsid w:val="029656F7"/>
    <w:multiLevelType w:val="hybridMultilevel"/>
    <w:tmpl w:val="F3B65606"/>
    <w:lvl w:ilvl="0" w:tplc="F78434F0">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
    <w:nsid w:val="07D654D6"/>
    <w:multiLevelType w:val="hybridMultilevel"/>
    <w:tmpl w:val="B940618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081A704F"/>
    <w:multiLevelType w:val="hybridMultilevel"/>
    <w:tmpl w:val="B7584BCC"/>
    <w:lvl w:ilvl="0" w:tplc="D8663F2A">
      <w:start w:val="1"/>
      <w:numFmt w:val="bullet"/>
      <w:lvlText w:val=""/>
      <w:lvlJc w:val="left"/>
      <w:pPr>
        <w:tabs>
          <w:tab w:val="num" w:pos="720"/>
        </w:tabs>
        <w:ind w:left="720" w:hanging="360"/>
      </w:pPr>
      <w:rPr>
        <w:rFonts w:ascii="Wingdings 2" w:hAnsi="Wingdings 2" w:hint="default"/>
        <w:color w:val="auto"/>
      </w:rPr>
    </w:lvl>
    <w:lvl w:ilvl="1" w:tplc="FFFFFFFF">
      <w:start w:val="1"/>
      <w:numFmt w:val="bullet"/>
      <w:lvlText w:val="o"/>
      <w:lvlJc w:val="left"/>
      <w:pPr>
        <w:tabs>
          <w:tab w:val="num" w:pos="1886"/>
        </w:tabs>
        <w:ind w:left="1886" w:hanging="360"/>
      </w:pPr>
      <w:rPr>
        <w:rFonts w:ascii="Courier New" w:hAnsi="Courier New" w:hint="default"/>
      </w:rPr>
    </w:lvl>
    <w:lvl w:ilvl="2" w:tplc="FFFFFFFF">
      <w:start w:val="1"/>
      <w:numFmt w:val="bullet"/>
      <w:lvlText w:val=""/>
      <w:lvlJc w:val="left"/>
      <w:pPr>
        <w:tabs>
          <w:tab w:val="num" w:pos="2606"/>
        </w:tabs>
        <w:ind w:left="2606" w:hanging="360"/>
      </w:pPr>
      <w:rPr>
        <w:rFonts w:ascii="Wingdings" w:hAnsi="Wingdings" w:hint="default"/>
      </w:rPr>
    </w:lvl>
    <w:lvl w:ilvl="3" w:tplc="FFFFFFFF">
      <w:start w:val="1"/>
      <w:numFmt w:val="bullet"/>
      <w:lvlText w:val=""/>
      <w:lvlJc w:val="left"/>
      <w:pPr>
        <w:tabs>
          <w:tab w:val="num" w:pos="3326"/>
        </w:tabs>
        <w:ind w:left="3326" w:hanging="360"/>
      </w:pPr>
      <w:rPr>
        <w:rFonts w:ascii="Symbol" w:hAnsi="Symbol" w:hint="default"/>
      </w:rPr>
    </w:lvl>
    <w:lvl w:ilvl="4" w:tplc="FFFFFFFF">
      <w:start w:val="1"/>
      <w:numFmt w:val="bullet"/>
      <w:lvlText w:val="o"/>
      <w:lvlJc w:val="left"/>
      <w:pPr>
        <w:tabs>
          <w:tab w:val="num" w:pos="4046"/>
        </w:tabs>
        <w:ind w:left="4046" w:hanging="360"/>
      </w:pPr>
      <w:rPr>
        <w:rFonts w:ascii="Courier New" w:hAnsi="Courier New" w:hint="default"/>
      </w:rPr>
    </w:lvl>
    <w:lvl w:ilvl="5" w:tplc="FFFFFFFF">
      <w:start w:val="1"/>
      <w:numFmt w:val="bullet"/>
      <w:lvlText w:val=""/>
      <w:lvlJc w:val="left"/>
      <w:pPr>
        <w:tabs>
          <w:tab w:val="num" w:pos="4766"/>
        </w:tabs>
        <w:ind w:left="4766" w:hanging="360"/>
      </w:pPr>
      <w:rPr>
        <w:rFonts w:ascii="Wingdings" w:hAnsi="Wingdings" w:hint="default"/>
      </w:rPr>
    </w:lvl>
    <w:lvl w:ilvl="6" w:tplc="FFFFFFFF">
      <w:start w:val="1"/>
      <w:numFmt w:val="bullet"/>
      <w:lvlText w:val=""/>
      <w:lvlJc w:val="left"/>
      <w:pPr>
        <w:tabs>
          <w:tab w:val="num" w:pos="5486"/>
        </w:tabs>
        <w:ind w:left="5486" w:hanging="360"/>
      </w:pPr>
      <w:rPr>
        <w:rFonts w:ascii="Symbol" w:hAnsi="Symbol" w:hint="default"/>
      </w:rPr>
    </w:lvl>
    <w:lvl w:ilvl="7" w:tplc="FFFFFFFF">
      <w:start w:val="1"/>
      <w:numFmt w:val="bullet"/>
      <w:lvlText w:val="o"/>
      <w:lvlJc w:val="left"/>
      <w:pPr>
        <w:tabs>
          <w:tab w:val="num" w:pos="6206"/>
        </w:tabs>
        <w:ind w:left="6206" w:hanging="360"/>
      </w:pPr>
      <w:rPr>
        <w:rFonts w:ascii="Courier New" w:hAnsi="Courier New" w:hint="default"/>
      </w:rPr>
    </w:lvl>
    <w:lvl w:ilvl="8" w:tplc="FFFFFFFF">
      <w:start w:val="1"/>
      <w:numFmt w:val="bullet"/>
      <w:lvlText w:val=""/>
      <w:lvlJc w:val="left"/>
      <w:pPr>
        <w:tabs>
          <w:tab w:val="num" w:pos="6926"/>
        </w:tabs>
        <w:ind w:left="6926" w:hanging="360"/>
      </w:pPr>
      <w:rPr>
        <w:rFonts w:ascii="Wingdings" w:hAnsi="Wingdings" w:hint="default"/>
      </w:rPr>
    </w:lvl>
  </w:abstractNum>
  <w:abstractNum w:abstractNumId="5">
    <w:nsid w:val="0F167BE4"/>
    <w:multiLevelType w:val="hybridMultilevel"/>
    <w:tmpl w:val="69D6C1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F6C62AC"/>
    <w:multiLevelType w:val="hybridMultilevel"/>
    <w:tmpl w:val="2CFE5D72"/>
    <w:lvl w:ilvl="0" w:tplc="5970A938">
      <w:start w:val="1"/>
      <w:numFmt w:val="decimal"/>
      <w:lvlText w:val="%1)"/>
      <w:lvlJc w:val="left"/>
      <w:pPr>
        <w:tabs>
          <w:tab w:val="num" w:pos="720"/>
        </w:tabs>
        <w:ind w:left="720" w:hanging="360"/>
      </w:pPr>
      <w:rPr>
        <w:rFonts w:cs="Times New Roman"/>
        <w:color w:val="auto"/>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07">
      <w:start w:val="1"/>
      <w:numFmt w:val="bullet"/>
      <w:lvlText w:val=""/>
      <w:lvlPicBulletId w:val="0"/>
      <w:lvlJc w:val="left"/>
      <w:pPr>
        <w:tabs>
          <w:tab w:val="num" w:pos="3600"/>
        </w:tabs>
        <w:ind w:left="3600" w:hanging="360"/>
      </w:pPr>
      <w:rPr>
        <w:rFonts w:ascii="Symbol" w:hAnsi="Symbol" w:hint="default"/>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7">
    <w:nsid w:val="11FE66BB"/>
    <w:multiLevelType w:val="hybridMultilevel"/>
    <w:tmpl w:val="D710FD56"/>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4E41CEA"/>
    <w:multiLevelType w:val="hybridMultilevel"/>
    <w:tmpl w:val="C366D508"/>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8204C32"/>
    <w:multiLevelType w:val="hybridMultilevel"/>
    <w:tmpl w:val="E0E094C8"/>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nsid w:val="1D8104A3"/>
    <w:multiLevelType w:val="hybridMultilevel"/>
    <w:tmpl w:val="1B3ABF6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nsid w:val="1EF4384D"/>
    <w:multiLevelType w:val="hybridMultilevel"/>
    <w:tmpl w:val="3C108F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1EF95E1E"/>
    <w:multiLevelType w:val="hybridMultilevel"/>
    <w:tmpl w:val="BAE6AAE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3E0737C"/>
    <w:multiLevelType w:val="hybridMultilevel"/>
    <w:tmpl w:val="7C321094"/>
    <w:lvl w:ilvl="0" w:tplc="ADAAF4AC">
      <w:start w:val="1"/>
      <w:numFmt w:val="decimal"/>
      <w:lvlText w:val="%1."/>
      <w:lvlJc w:val="left"/>
      <w:pPr>
        <w:tabs>
          <w:tab w:val="num" w:pos="720"/>
        </w:tabs>
        <w:ind w:left="720" w:hanging="360"/>
      </w:pPr>
      <w:rPr>
        <w:rFonts w:cs="Times New Roman" w:hint="default"/>
        <w:i w:val="0"/>
        <w:iCs w:val="0"/>
        <w:color w:val="auto"/>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14">
    <w:nsid w:val="2A3873E3"/>
    <w:multiLevelType w:val="hybridMultilevel"/>
    <w:tmpl w:val="20D4BFB8"/>
    <w:lvl w:ilvl="0" w:tplc="04270007">
      <w:start w:val="1"/>
      <w:numFmt w:val="bullet"/>
      <w:lvlText w:val=""/>
      <w:lvlPicBulletId w:val="0"/>
      <w:lvlJc w:val="left"/>
      <w:pPr>
        <w:tabs>
          <w:tab w:val="num" w:pos="1080"/>
        </w:tabs>
        <w:ind w:left="1080" w:hanging="360"/>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15">
    <w:nsid w:val="2DAB3D69"/>
    <w:multiLevelType w:val="hybridMultilevel"/>
    <w:tmpl w:val="3CD63DB2"/>
    <w:lvl w:ilvl="0" w:tplc="04270007">
      <w:start w:val="1"/>
      <w:numFmt w:val="bullet"/>
      <w:lvlText w:val=""/>
      <w:lvlPicBulletId w:val="0"/>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nsid w:val="328B46C6"/>
    <w:multiLevelType w:val="hybridMultilevel"/>
    <w:tmpl w:val="CD7A5B2E"/>
    <w:lvl w:ilvl="0" w:tplc="F78434F0">
      <w:start w:val="1"/>
      <w:numFmt w:val="decimal"/>
      <w:lvlText w:val="%1."/>
      <w:lvlJc w:val="left"/>
      <w:pPr>
        <w:tabs>
          <w:tab w:val="num" w:pos="1440"/>
        </w:tabs>
        <w:ind w:left="1440" w:hanging="360"/>
      </w:pPr>
      <w:rPr>
        <w:rFonts w:cs="Times New Roman" w:hint="default"/>
      </w:rPr>
    </w:lvl>
    <w:lvl w:ilvl="1" w:tplc="04270019" w:tentative="1">
      <w:start w:val="1"/>
      <w:numFmt w:val="lowerLetter"/>
      <w:lvlText w:val="%2."/>
      <w:lvlJc w:val="left"/>
      <w:pPr>
        <w:tabs>
          <w:tab w:val="num" w:pos="2160"/>
        </w:tabs>
        <w:ind w:left="2160" w:hanging="360"/>
      </w:pPr>
      <w:rPr>
        <w:rFonts w:cs="Times New Roman"/>
      </w:rPr>
    </w:lvl>
    <w:lvl w:ilvl="2" w:tplc="0427001B" w:tentative="1">
      <w:start w:val="1"/>
      <w:numFmt w:val="lowerRoman"/>
      <w:lvlText w:val="%3."/>
      <w:lvlJc w:val="right"/>
      <w:pPr>
        <w:tabs>
          <w:tab w:val="num" w:pos="2880"/>
        </w:tabs>
        <w:ind w:left="2880" w:hanging="180"/>
      </w:pPr>
      <w:rPr>
        <w:rFonts w:cs="Times New Roman"/>
      </w:rPr>
    </w:lvl>
    <w:lvl w:ilvl="3" w:tplc="0427000F" w:tentative="1">
      <w:start w:val="1"/>
      <w:numFmt w:val="decimal"/>
      <w:lvlText w:val="%4."/>
      <w:lvlJc w:val="left"/>
      <w:pPr>
        <w:tabs>
          <w:tab w:val="num" w:pos="3600"/>
        </w:tabs>
        <w:ind w:left="3600" w:hanging="360"/>
      </w:pPr>
      <w:rPr>
        <w:rFonts w:cs="Times New Roman"/>
      </w:rPr>
    </w:lvl>
    <w:lvl w:ilvl="4" w:tplc="04270019" w:tentative="1">
      <w:start w:val="1"/>
      <w:numFmt w:val="lowerLetter"/>
      <w:lvlText w:val="%5."/>
      <w:lvlJc w:val="left"/>
      <w:pPr>
        <w:tabs>
          <w:tab w:val="num" w:pos="4320"/>
        </w:tabs>
        <w:ind w:left="4320" w:hanging="360"/>
      </w:pPr>
      <w:rPr>
        <w:rFonts w:cs="Times New Roman"/>
      </w:rPr>
    </w:lvl>
    <w:lvl w:ilvl="5" w:tplc="0427001B" w:tentative="1">
      <w:start w:val="1"/>
      <w:numFmt w:val="lowerRoman"/>
      <w:lvlText w:val="%6."/>
      <w:lvlJc w:val="right"/>
      <w:pPr>
        <w:tabs>
          <w:tab w:val="num" w:pos="5040"/>
        </w:tabs>
        <w:ind w:left="5040" w:hanging="180"/>
      </w:pPr>
      <w:rPr>
        <w:rFonts w:cs="Times New Roman"/>
      </w:rPr>
    </w:lvl>
    <w:lvl w:ilvl="6" w:tplc="0427000F" w:tentative="1">
      <w:start w:val="1"/>
      <w:numFmt w:val="decimal"/>
      <w:lvlText w:val="%7."/>
      <w:lvlJc w:val="left"/>
      <w:pPr>
        <w:tabs>
          <w:tab w:val="num" w:pos="5760"/>
        </w:tabs>
        <w:ind w:left="5760" w:hanging="360"/>
      </w:pPr>
      <w:rPr>
        <w:rFonts w:cs="Times New Roman"/>
      </w:rPr>
    </w:lvl>
    <w:lvl w:ilvl="7" w:tplc="04270019" w:tentative="1">
      <w:start w:val="1"/>
      <w:numFmt w:val="lowerLetter"/>
      <w:lvlText w:val="%8."/>
      <w:lvlJc w:val="left"/>
      <w:pPr>
        <w:tabs>
          <w:tab w:val="num" w:pos="6480"/>
        </w:tabs>
        <w:ind w:left="6480" w:hanging="360"/>
      </w:pPr>
      <w:rPr>
        <w:rFonts w:cs="Times New Roman"/>
      </w:rPr>
    </w:lvl>
    <w:lvl w:ilvl="8" w:tplc="0427001B" w:tentative="1">
      <w:start w:val="1"/>
      <w:numFmt w:val="lowerRoman"/>
      <w:lvlText w:val="%9."/>
      <w:lvlJc w:val="right"/>
      <w:pPr>
        <w:tabs>
          <w:tab w:val="num" w:pos="7200"/>
        </w:tabs>
        <w:ind w:left="7200" w:hanging="180"/>
      </w:pPr>
      <w:rPr>
        <w:rFonts w:cs="Times New Roman"/>
      </w:rPr>
    </w:lvl>
  </w:abstractNum>
  <w:abstractNum w:abstractNumId="17">
    <w:nsid w:val="3BC06B56"/>
    <w:multiLevelType w:val="hybridMultilevel"/>
    <w:tmpl w:val="59381D2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nsid w:val="4382040F"/>
    <w:multiLevelType w:val="hybridMultilevel"/>
    <w:tmpl w:val="202C8102"/>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49423474"/>
    <w:multiLevelType w:val="hybridMultilevel"/>
    <w:tmpl w:val="E1B2ED3A"/>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4B4274C7"/>
    <w:multiLevelType w:val="hybridMultilevel"/>
    <w:tmpl w:val="3AE84B92"/>
    <w:lvl w:ilvl="0" w:tplc="04270007">
      <w:start w:val="1"/>
      <w:numFmt w:val="bullet"/>
      <w:lvlText w:val=""/>
      <w:lvlPicBulletId w:val="0"/>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nsid w:val="530D6705"/>
    <w:multiLevelType w:val="hybridMultilevel"/>
    <w:tmpl w:val="0A32761E"/>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81028AF"/>
    <w:multiLevelType w:val="hybridMultilevel"/>
    <w:tmpl w:val="172EA514"/>
    <w:lvl w:ilvl="0" w:tplc="6E0EAFD8">
      <w:start w:val="1"/>
      <w:numFmt w:val="decimal"/>
      <w:lvlText w:val="%1."/>
      <w:lvlJc w:val="left"/>
      <w:pPr>
        <w:tabs>
          <w:tab w:val="num" w:pos="720"/>
        </w:tabs>
        <w:ind w:left="720" w:hanging="360"/>
      </w:pPr>
      <w:rPr>
        <w:rFonts w:ascii="Times New Roman" w:hAnsi="Times New Roman" w:cs="Times New Roman" w:hint="default"/>
        <w:i w:val="0"/>
      </w:rPr>
    </w:lvl>
    <w:lvl w:ilvl="1" w:tplc="F78434F0">
      <w:start w:val="1"/>
      <w:numFmt w:val="decimal"/>
      <w:lvlText w:val="%2."/>
      <w:lvlJc w:val="left"/>
      <w:pPr>
        <w:tabs>
          <w:tab w:val="num" w:pos="1440"/>
        </w:tabs>
        <w:ind w:left="1440" w:hanging="360"/>
      </w:pPr>
      <w:rPr>
        <w:rFonts w:cs="Times New Roman" w:hint="default"/>
        <w:i w:val="0"/>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3">
    <w:nsid w:val="5F1443DA"/>
    <w:multiLevelType w:val="hybridMultilevel"/>
    <w:tmpl w:val="A282F14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4">
    <w:nsid w:val="649900FF"/>
    <w:multiLevelType w:val="hybridMultilevel"/>
    <w:tmpl w:val="BF20AD76"/>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5">
    <w:nsid w:val="680C5D3C"/>
    <w:multiLevelType w:val="hybridMultilevel"/>
    <w:tmpl w:val="6486031E"/>
    <w:lvl w:ilvl="0" w:tplc="0427000F">
      <w:start w:val="1"/>
      <w:numFmt w:val="decimal"/>
      <w:lvlText w:val="%1."/>
      <w:lvlJc w:val="left"/>
      <w:pPr>
        <w:ind w:left="720" w:hanging="360"/>
      </w:pPr>
      <w:rPr>
        <w:rFonts w:cs="Times New Roman"/>
        <w:i w:val="0"/>
        <w:iCs w:val="0"/>
        <w:color w:val="auto"/>
      </w:rPr>
    </w:lvl>
    <w:lvl w:ilvl="1" w:tplc="DA0CA5E2">
      <w:start w:val="1"/>
      <w:numFmt w:val="none"/>
      <w:lvlText w:val="44)"/>
      <w:lvlJc w:val="left"/>
      <w:pPr>
        <w:tabs>
          <w:tab w:val="num" w:pos="1440"/>
        </w:tabs>
        <w:ind w:left="1440" w:hanging="360"/>
      </w:pPr>
      <w:rPr>
        <w:rFonts w:cs="Times New Roman" w:hint="default"/>
        <w:i w:val="0"/>
        <w:iCs w:val="0"/>
        <w:color w:val="auto"/>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nsid w:val="68ED0B34"/>
    <w:multiLevelType w:val="hybridMultilevel"/>
    <w:tmpl w:val="E1C62654"/>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6CC6404E"/>
    <w:multiLevelType w:val="hybridMultilevel"/>
    <w:tmpl w:val="1A2A0D42"/>
    <w:lvl w:ilvl="0" w:tplc="04270009">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73E032A4"/>
    <w:multiLevelType w:val="hybridMultilevel"/>
    <w:tmpl w:val="DE20F0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754B039E"/>
    <w:multiLevelType w:val="multilevel"/>
    <w:tmpl w:val="7D8280EC"/>
    <w:lvl w:ilvl="0">
      <w:start w:val="1"/>
      <w:numFmt w:val="bullet"/>
      <w:lvlText w:val=""/>
      <w:lvlPicBulletId w:val="0"/>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683CC3"/>
    <w:multiLevelType w:val="multilevel"/>
    <w:tmpl w:val="9D9C1348"/>
    <w:lvl w:ilvl="0">
      <w:start w:val="1"/>
      <w:numFmt w:val="bullet"/>
      <w:lvlText w:val=""/>
      <w:lvlPicBulletId w:val="0"/>
      <w:lvlJc w:val="left"/>
      <w:pPr>
        <w:tabs>
          <w:tab w:val="num" w:pos="720"/>
        </w:tabs>
        <w:ind w:left="720" w:hanging="360"/>
      </w:pPr>
      <w:rPr>
        <w:rFonts w:ascii="Symbol" w:hAnsi="Symbol" w:hint="default"/>
        <w:sz w:val="24"/>
      </w:rPr>
    </w:lvl>
    <w:lvl w:ilvl="1">
      <w:start w:val="1"/>
      <w:numFmt w:val="upperLetter"/>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1D3B8B"/>
    <w:multiLevelType w:val="hybridMultilevel"/>
    <w:tmpl w:val="F61C14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7DEB7C4F"/>
    <w:multiLevelType w:val="hybridMultilevel"/>
    <w:tmpl w:val="834C5C2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7"/>
  </w:num>
  <w:num w:numId="4">
    <w:abstractNumId w:val="29"/>
  </w:num>
  <w:num w:numId="5">
    <w:abstractNumId w:val="30"/>
  </w:num>
  <w:num w:numId="6">
    <w:abstractNumId w:val="19"/>
  </w:num>
  <w:num w:numId="7">
    <w:abstractNumId w:val="10"/>
  </w:num>
  <w:num w:numId="8">
    <w:abstractNumId w:val="9"/>
  </w:num>
  <w:num w:numId="9">
    <w:abstractNumId w:val="24"/>
  </w:num>
  <w:num w:numId="10">
    <w:abstractNumId w:val="31"/>
  </w:num>
  <w:num w:numId="11">
    <w:abstractNumId w:val="18"/>
  </w:num>
  <w:num w:numId="12">
    <w:abstractNumId w:val="21"/>
  </w:num>
  <w:num w:numId="13">
    <w:abstractNumId w:val="8"/>
  </w:num>
  <w:num w:numId="14">
    <w:abstractNumId w:val="26"/>
  </w:num>
  <w:num w:numId="15">
    <w:abstractNumId w:val="15"/>
  </w:num>
  <w:num w:numId="16">
    <w:abstractNumId w:val="25"/>
  </w:num>
  <w:num w:numId="17">
    <w:abstractNumId w:val="13"/>
  </w:num>
  <w:num w:numId="18">
    <w:abstractNumId w:val="5"/>
  </w:num>
  <w:num w:numId="19">
    <w:abstractNumId w:val="11"/>
  </w:num>
  <w:num w:numId="20">
    <w:abstractNumId w:val="12"/>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4"/>
  </w:num>
  <w:num w:numId="24">
    <w:abstractNumId w:val="20"/>
  </w:num>
  <w:num w:numId="25">
    <w:abstractNumId w:val="7"/>
  </w:num>
  <w:num w:numId="26">
    <w:abstractNumId w:val="23"/>
  </w:num>
  <w:num w:numId="27">
    <w:abstractNumId w:val="3"/>
  </w:num>
  <w:num w:numId="28">
    <w:abstractNumId w:val="28"/>
  </w:num>
  <w:num w:numId="29">
    <w:abstractNumId w:val="16"/>
  </w:num>
  <w:num w:numId="30">
    <w:abstractNumId w:val="32"/>
  </w:num>
  <w:num w:numId="31">
    <w:abstractNumId w:val="4"/>
  </w:num>
  <w:num w:numId="32">
    <w:abstractNumId w:val="2"/>
  </w:num>
  <w:num w:numId="33">
    <w:abstractNumId w:val="1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567"/>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8121D6"/>
    <w:rsid w:val="00000B0B"/>
    <w:rsid w:val="00000B51"/>
    <w:rsid w:val="00000E55"/>
    <w:rsid w:val="000010AB"/>
    <w:rsid w:val="00001647"/>
    <w:rsid w:val="00001E66"/>
    <w:rsid w:val="000021FC"/>
    <w:rsid w:val="00002A75"/>
    <w:rsid w:val="00004850"/>
    <w:rsid w:val="00004DEC"/>
    <w:rsid w:val="00004F39"/>
    <w:rsid w:val="00004FB4"/>
    <w:rsid w:val="000056BA"/>
    <w:rsid w:val="00006363"/>
    <w:rsid w:val="00006DDD"/>
    <w:rsid w:val="00007643"/>
    <w:rsid w:val="000077F8"/>
    <w:rsid w:val="00010409"/>
    <w:rsid w:val="00010D4A"/>
    <w:rsid w:val="00010D87"/>
    <w:rsid w:val="000124F6"/>
    <w:rsid w:val="00014017"/>
    <w:rsid w:val="000148B5"/>
    <w:rsid w:val="0001521A"/>
    <w:rsid w:val="00015F65"/>
    <w:rsid w:val="00016E5B"/>
    <w:rsid w:val="00017001"/>
    <w:rsid w:val="00017290"/>
    <w:rsid w:val="00017F0C"/>
    <w:rsid w:val="00020255"/>
    <w:rsid w:val="00021F61"/>
    <w:rsid w:val="000223AE"/>
    <w:rsid w:val="00022B37"/>
    <w:rsid w:val="00023398"/>
    <w:rsid w:val="00023449"/>
    <w:rsid w:val="00023561"/>
    <w:rsid w:val="00025856"/>
    <w:rsid w:val="00025E9C"/>
    <w:rsid w:val="00026DAE"/>
    <w:rsid w:val="00027448"/>
    <w:rsid w:val="00027D33"/>
    <w:rsid w:val="00030643"/>
    <w:rsid w:val="00030DC2"/>
    <w:rsid w:val="00031267"/>
    <w:rsid w:val="0003198E"/>
    <w:rsid w:val="00032327"/>
    <w:rsid w:val="00032E2B"/>
    <w:rsid w:val="00032F42"/>
    <w:rsid w:val="00033F84"/>
    <w:rsid w:val="00034402"/>
    <w:rsid w:val="00034E9E"/>
    <w:rsid w:val="00035153"/>
    <w:rsid w:val="0003552E"/>
    <w:rsid w:val="00035E6B"/>
    <w:rsid w:val="000367A8"/>
    <w:rsid w:val="00036DF8"/>
    <w:rsid w:val="00037F6B"/>
    <w:rsid w:val="00040417"/>
    <w:rsid w:val="0004374C"/>
    <w:rsid w:val="00043BC0"/>
    <w:rsid w:val="00044E1B"/>
    <w:rsid w:val="00045403"/>
    <w:rsid w:val="00046BC2"/>
    <w:rsid w:val="0004720F"/>
    <w:rsid w:val="00047E8B"/>
    <w:rsid w:val="00050258"/>
    <w:rsid w:val="0005041A"/>
    <w:rsid w:val="00050707"/>
    <w:rsid w:val="00052A9D"/>
    <w:rsid w:val="00052E53"/>
    <w:rsid w:val="00053637"/>
    <w:rsid w:val="00053ADB"/>
    <w:rsid w:val="00053CE6"/>
    <w:rsid w:val="0005565A"/>
    <w:rsid w:val="00056354"/>
    <w:rsid w:val="000579BF"/>
    <w:rsid w:val="000611E7"/>
    <w:rsid w:val="00061883"/>
    <w:rsid w:val="00062A1C"/>
    <w:rsid w:val="00062FD8"/>
    <w:rsid w:val="00063027"/>
    <w:rsid w:val="000630C6"/>
    <w:rsid w:val="00063468"/>
    <w:rsid w:val="0006396A"/>
    <w:rsid w:val="0006465A"/>
    <w:rsid w:val="000646E0"/>
    <w:rsid w:val="00064BAD"/>
    <w:rsid w:val="00065324"/>
    <w:rsid w:val="00065325"/>
    <w:rsid w:val="00065BC6"/>
    <w:rsid w:val="000668E7"/>
    <w:rsid w:val="00066DF5"/>
    <w:rsid w:val="00066E8A"/>
    <w:rsid w:val="00067953"/>
    <w:rsid w:val="00070147"/>
    <w:rsid w:val="0007029B"/>
    <w:rsid w:val="000704A0"/>
    <w:rsid w:val="00070D8E"/>
    <w:rsid w:val="0007140D"/>
    <w:rsid w:val="0007220A"/>
    <w:rsid w:val="0007289A"/>
    <w:rsid w:val="00072CD4"/>
    <w:rsid w:val="00073604"/>
    <w:rsid w:val="000740F6"/>
    <w:rsid w:val="0007627B"/>
    <w:rsid w:val="00076781"/>
    <w:rsid w:val="000769D6"/>
    <w:rsid w:val="00076ED2"/>
    <w:rsid w:val="000774A5"/>
    <w:rsid w:val="00080AEC"/>
    <w:rsid w:val="00081057"/>
    <w:rsid w:val="00084234"/>
    <w:rsid w:val="0008461F"/>
    <w:rsid w:val="00084C01"/>
    <w:rsid w:val="00084F0B"/>
    <w:rsid w:val="00084F57"/>
    <w:rsid w:val="0008534C"/>
    <w:rsid w:val="00085435"/>
    <w:rsid w:val="000859AF"/>
    <w:rsid w:val="0008713E"/>
    <w:rsid w:val="0008786B"/>
    <w:rsid w:val="000907AD"/>
    <w:rsid w:val="00090948"/>
    <w:rsid w:val="00091C4C"/>
    <w:rsid w:val="00093350"/>
    <w:rsid w:val="00093822"/>
    <w:rsid w:val="00093F5F"/>
    <w:rsid w:val="000942F3"/>
    <w:rsid w:val="000952D9"/>
    <w:rsid w:val="00095349"/>
    <w:rsid w:val="00096506"/>
    <w:rsid w:val="0009699D"/>
    <w:rsid w:val="000975F7"/>
    <w:rsid w:val="00097695"/>
    <w:rsid w:val="000A000D"/>
    <w:rsid w:val="000A0120"/>
    <w:rsid w:val="000A0635"/>
    <w:rsid w:val="000A0A1D"/>
    <w:rsid w:val="000A0B5A"/>
    <w:rsid w:val="000A0E81"/>
    <w:rsid w:val="000A102C"/>
    <w:rsid w:val="000A165F"/>
    <w:rsid w:val="000A1D90"/>
    <w:rsid w:val="000A1DB6"/>
    <w:rsid w:val="000A24EE"/>
    <w:rsid w:val="000A2922"/>
    <w:rsid w:val="000A2A3C"/>
    <w:rsid w:val="000A4A22"/>
    <w:rsid w:val="000A585B"/>
    <w:rsid w:val="000A5BF8"/>
    <w:rsid w:val="000A6A55"/>
    <w:rsid w:val="000A7039"/>
    <w:rsid w:val="000A7C22"/>
    <w:rsid w:val="000B0034"/>
    <w:rsid w:val="000B07EB"/>
    <w:rsid w:val="000B1D0C"/>
    <w:rsid w:val="000B1EA6"/>
    <w:rsid w:val="000B2667"/>
    <w:rsid w:val="000B3DF1"/>
    <w:rsid w:val="000B3F36"/>
    <w:rsid w:val="000B7056"/>
    <w:rsid w:val="000B777E"/>
    <w:rsid w:val="000B7A03"/>
    <w:rsid w:val="000C02A2"/>
    <w:rsid w:val="000C0C4A"/>
    <w:rsid w:val="000C0D36"/>
    <w:rsid w:val="000C13BF"/>
    <w:rsid w:val="000C1FF4"/>
    <w:rsid w:val="000C2898"/>
    <w:rsid w:val="000C2A06"/>
    <w:rsid w:val="000C3FD0"/>
    <w:rsid w:val="000C5130"/>
    <w:rsid w:val="000C5152"/>
    <w:rsid w:val="000C595F"/>
    <w:rsid w:val="000C5C42"/>
    <w:rsid w:val="000C7E14"/>
    <w:rsid w:val="000D031E"/>
    <w:rsid w:val="000D2025"/>
    <w:rsid w:val="000D2959"/>
    <w:rsid w:val="000D2B83"/>
    <w:rsid w:val="000D2BF1"/>
    <w:rsid w:val="000D31BE"/>
    <w:rsid w:val="000D3222"/>
    <w:rsid w:val="000D36D8"/>
    <w:rsid w:val="000D482A"/>
    <w:rsid w:val="000D4D6A"/>
    <w:rsid w:val="000D5020"/>
    <w:rsid w:val="000D5DC9"/>
    <w:rsid w:val="000D6CC9"/>
    <w:rsid w:val="000E028F"/>
    <w:rsid w:val="000E0C79"/>
    <w:rsid w:val="000E1DDA"/>
    <w:rsid w:val="000E2DA6"/>
    <w:rsid w:val="000E3428"/>
    <w:rsid w:val="000E3B0E"/>
    <w:rsid w:val="000E423C"/>
    <w:rsid w:val="000E4615"/>
    <w:rsid w:val="000E4BEC"/>
    <w:rsid w:val="000E7569"/>
    <w:rsid w:val="000F07C9"/>
    <w:rsid w:val="000F10A8"/>
    <w:rsid w:val="000F1102"/>
    <w:rsid w:val="000F1B29"/>
    <w:rsid w:val="000F2A66"/>
    <w:rsid w:val="000F3368"/>
    <w:rsid w:val="000F4157"/>
    <w:rsid w:val="000F4351"/>
    <w:rsid w:val="000F4C1D"/>
    <w:rsid w:val="000F4CD6"/>
    <w:rsid w:val="000F50FA"/>
    <w:rsid w:val="000F5AD6"/>
    <w:rsid w:val="000F5D83"/>
    <w:rsid w:val="000F5ECD"/>
    <w:rsid w:val="000F5FA6"/>
    <w:rsid w:val="000F6E45"/>
    <w:rsid w:val="001003FC"/>
    <w:rsid w:val="00101DFE"/>
    <w:rsid w:val="00103510"/>
    <w:rsid w:val="00103B83"/>
    <w:rsid w:val="00103B8D"/>
    <w:rsid w:val="00104A00"/>
    <w:rsid w:val="00104A21"/>
    <w:rsid w:val="001057F5"/>
    <w:rsid w:val="00107178"/>
    <w:rsid w:val="001079A9"/>
    <w:rsid w:val="00107D2B"/>
    <w:rsid w:val="001100D6"/>
    <w:rsid w:val="00111997"/>
    <w:rsid w:val="001119DC"/>
    <w:rsid w:val="00112B65"/>
    <w:rsid w:val="00113968"/>
    <w:rsid w:val="00113B85"/>
    <w:rsid w:val="001144E8"/>
    <w:rsid w:val="00114CF8"/>
    <w:rsid w:val="00115397"/>
    <w:rsid w:val="001155AD"/>
    <w:rsid w:val="001155B5"/>
    <w:rsid w:val="001171D5"/>
    <w:rsid w:val="0011796F"/>
    <w:rsid w:val="00117CD0"/>
    <w:rsid w:val="0012015A"/>
    <w:rsid w:val="001222BB"/>
    <w:rsid w:val="00122CA1"/>
    <w:rsid w:val="00122D87"/>
    <w:rsid w:val="00122DEF"/>
    <w:rsid w:val="001262C3"/>
    <w:rsid w:val="00126406"/>
    <w:rsid w:val="001270E2"/>
    <w:rsid w:val="00127534"/>
    <w:rsid w:val="00127E52"/>
    <w:rsid w:val="0013002E"/>
    <w:rsid w:val="001305EA"/>
    <w:rsid w:val="00130810"/>
    <w:rsid w:val="0013352E"/>
    <w:rsid w:val="00135099"/>
    <w:rsid w:val="0013549E"/>
    <w:rsid w:val="00135CBE"/>
    <w:rsid w:val="001360E9"/>
    <w:rsid w:val="00141175"/>
    <w:rsid w:val="00142820"/>
    <w:rsid w:val="00142A9A"/>
    <w:rsid w:val="00143BB4"/>
    <w:rsid w:val="001448D9"/>
    <w:rsid w:val="00144B2D"/>
    <w:rsid w:val="00144E2F"/>
    <w:rsid w:val="0014676D"/>
    <w:rsid w:val="0014687C"/>
    <w:rsid w:val="00147920"/>
    <w:rsid w:val="0015069A"/>
    <w:rsid w:val="00151893"/>
    <w:rsid w:val="00151B90"/>
    <w:rsid w:val="00153CE7"/>
    <w:rsid w:val="00154062"/>
    <w:rsid w:val="00154F3F"/>
    <w:rsid w:val="0015681D"/>
    <w:rsid w:val="00157B16"/>
    <w:rsid w:val="001613E8"/>
    <w:rsid w:val="00162610"/>
    <w:rsid w:val="00162B19"/>
    <w:rsid w:val="0016457F"/>
    <w:rsid w:val="0016649D"/>
    <w:rsid w:val="00166CEB"/>
    <w:rsid w:val="00167286"/>
    <w:rsid w:val="00167BA3"/>
    <w:rsid w:val="0017050F"/>
    <w:rsid w:val="0017125F"/>
    <w:rsid w:val="00171C40"/>
    <w:rsid w:val="00173278"/>
    <w:rsid w:val="001733DE"/>
    <w:rsid w:val="001736B7"/>
    <w:rsid w:val="00173727"/>
    <w:rsid w:val="00173D15"/>
    <w:rsid w:val="00173DA3"/>
    <w:rsid w:val="00174956"/>
    <w:rsid w:val="001749D4"/>
    <w:rsid w:val="0017671E"/>
    <w:rsid w:val="001773FC"/>
    <w:rsid w:val="0017770F"/>
    <w:rsid w:val="00177CBD"/>
    <w:rsid w:val="001803F3"/>
    <w:rsid w:val="001807A9"/>
    <w:rsid w:val="001821FA"/>
    <w:rsid w:val="001827FF"/>
    <w:rsid w:val="0018287B"/>
    <w:rsid w:val="001834A0"/>
    <w:rsid w:val="00184095"/>
    <w:rsid w:val="001847AC"/>
    <w:rsid w:val="001848A9"/>
    <w:rsid w:val="00185E7B"/>
    <w:rsid w:val="00186514"/>
    <w:rsid w:val="00190466"/>
    <w:rsid w:val="001906E1"/>
    <w:rsid w:val="001907D0"/>
    <w:rsid w:val="0019082B"/>
    <w:rsid w:val="001909DF"/>
    <w:rsid w:val="00192697"/>
    <w:rsid w:val="001927B9"/>
    <w:rsid w:val="00192B36"/>
    <w:rsid w:val="00194CA5"/>
    <w:rsid w:val="00194FC1"/>
    <w:rsid w:val="00195582"/>
    <w:rsid w:val="00195CDA"/>
    <w:rsid w:val="001962E7"/>
    <w:rsid w:val="00197291"/>
    <w:rsid w:val="00197738"/>
    <w:rsid w:val="001A047C"/>
    <w:rsid w:val="001A065A"/>
    <w:rsid w:val="001A0889"/>
    <w:rsid w:val="001A0F5C"/>
    <w:rsid w:val="001A3FF7"/>
    <w:rsid w:val="001A4C26"/>
    <w:rsid w:val="001A4D25"/>
    <w:rsid w:val="001A55B0"/>
    <w:rsid w:val="001A5CEC"/>
    <w:rsid w:val="001A6855"/>
    <w:rsid w:val="001A7563"/>
    <w:rsid w:val="001A7C5E"/>
    <w:rsid w:val="001B0420"/>
    <w:rsid w:val="001B048A"/>
    <w:rsid w:val="001B0EDD"/>
    <w:rsid w:val="001B13A1"/>
    <w:rsid w:val="001B203F"/>
    <w:rsid w:val="001B2ED5"/>
    <w:rsid w:val="001B37E7"/>
    <w:rsid w:val="001B5109"/>
    <w:rsid w:val="001B5E8F"/>
    <w:rsid w:val="001B61E6"/>
    <w:rsid w:val="001B67A0"/>
    <w:rsid w:val="001C0203"/>
    <w:rsid w:val="001C03CF"/>
    <w:rsid w:val="001C05A8"/>
    <w:rsid w:val="001C0D1B"/>
    <w:rsid w:val="001C23E8"/>
    <w:rsid w:val="001C29D6"/>
    <w:rsid w:val="001C3765"/>
    <w:rsid w:val="001C3DB3"/>
    <w:rsid w:val="001C3E02"/>
    <w:rsid w:val="001C4D4F"/>
    <w:rsid w:val="001C5456"/>
    <w:rsid w:val="001C67AE"/>
    <w:rsid w:val="001C7068"/>
    <w:rsid w:val="001C7C17"/>
    <w:rsid w:val="001D23DB"/>
    <w:rsid w:val="001D4415"/>
    <w:rsid w:val="001D4BC9"/>
    <w:rsid w:val="001D4C6A"/>
    <w:rsid w:val="001D4E23"/>
    <w:rsid w:val="001D4F64"/>
    <w:rsid w:val="001D575A"/>
    <w:rsid w:val="001D6032"/>
    <w:rsid w:val="001D61DB"/>
    <w:rsid w:val="001D63BC"/>
    <w:rsid w:val="001D657D"/>
    <w:rsid w:val="001D71BB"/>
    <w:rsid w:val="001D7A19"/>
    <w:rsid w:val="001E3161"/>
    <w:rsid w:val="001E34F7"/>
    <w:rsid w:val="001E3A18"/>
    <w:rsid w:val="001E3EC6"/>
    <w:rsid w:val="001E464B"/>
    <w:rsid w:val="001E4BC9"/>
    <w:rsid w:val="001E70C7"/>
    <w:rsid w:val="001E7657"/>
    <w:rsid w:val="001F001D"/>
    <w:rsid w:val="001F1341"/>
    <w:rsid w:val="001F2FED"/>
    <w:rsid w:val="001F4A25"/>
    <w:rsid w:val="001F4A9C"/>
    <w:rsid w:val="001F6FAE"/>
    <w:rsid w:val="001F75CA"/>
    <w:rsid w:val="00201739"/>
    <w:rsid w:val="00201FD6"/>
    <w:rsid w:val="00201FEA"/>
    <w:rsid w:val="002020EA"/>
    <w:rsid w:val="002034D5"/>
    <w:rsid w:val="00204488"/>
    <w:rsid w:val="002050DF"/>
    <w:rsid w:val="002053AE"/>
    <w:rsid w:val="0020611A"/>
    <w:rsid w:val="002063CB"/>
    <w:rsid w:val="00206C67"/>
    <w:rsid w:val="00207117"/>
    <w:rsid w:val="00207EFE"/>
    <w:rsid w:val="00210124"/>
    <w:rsid w:val="00210370"/>
    <w:rsid w:val="002114E3"/>
    <w:rsid w:val="002115FF"/>
    <w:rsid w:val="002117FF"/>
    <w:rsid w:val="00211F8A"/>
    <w:rsid w:val="00212097"/>
    <w:rsid w:val="0021402A"/>
    <w:rsid w:val="002147F6"/>
    <w:rsid w:val="00214B4F"/>
    <w:rsid w:val="00216233"/>
    <w:rsid w:val="0021774E"/>
    <w:rsid w:val="0021783E"/>
    <w:rsid w:val="0021792B"/>
    <w:rsid w:val="00217B2E"/>
    <w:rsid w:val="002200B9"/>
    <w:rsid w:val="00220737"/>
    <w:rsid w:val="00220A86"/>
    <w:rsid w:val="002217FA"/>
    <w:rsid w:val="002237EF"/>
    <w:rsid w:val="0022513D"/>
    <w:rsid w:val="00227B33"/>
    <w:rsid w:val="00227BEF"/>
    <w:rsid w:val="00230A59"/>
    <w:rsid w:val="00230DF1"/>
    <w:rsid w:val="00231700"/>
    <w:rsid w:val="00231B21"/>
    <w:rsid w:val="002324D9"/>
    <w:rsid w:val="00232726"/>
    <w:rsid w:val="00233035"/>
    <w:rsid w:val="0023310E"/>
    <w:rsid w:val="00235B7A"/>
    <w:rsid w:val="0023616D"/>
    <w:rsid w:val="002367C8"/>
    <w:rsid w:val="00236AF5"/>
    <w:rsid w:val="0023748B"/>
    <w:rsid w:val="0023749D"/>
    <w:rsid w:val="00237D7D"/>
    <w:rsid w:val="00240461"/>
    <w:rsid w:val="00240775"/>
    <w:rsid w:val="00240A23"/>
    <w:rsid w:val="00240DC0"/>
    <w:rsid w:val="00240DC4"/>
    <w:rsid w:val="0024126C"/>
    <w:rsid w:val="0024173E"/>
    <w:rsid w:val="00241AE2"/>
    <w:rsid w:val="00241FA4"/>
    <w:rsid w:val="002424EA"/>
    <w:rsid w:val="00243D9F"/>
    <w:rsid w:val="002443DE"/>
    <w:rsid w:val="00244721"/>
    <w:rsid w:val="002449BC"/>
    <w:rsid w:val="00244CD0"/>
    <w:rsid w:val="00247485"/>
    <w:rsid w:val="002505FC"/>
    <w:rsid w:val="0025134B"/>
    <w:rsid w:val="00251ADA"/>
    <w:rsid w:val="00252839"/>
    <w:rsid w:val="002539DD"/>
    <w:rsid w:val="00254E52"/>
    <w:rsid w:val="00255F51"/>
    <w:rsid w:val="00256122"/>
    <w:rsid w:val="00256CDC"/>
    <w:rsid w:val="00256E3C"/>
    <w:rsid w:val="00256E5E"/>
    <w:rsid w:val="00261421"/>
    <w:rsid w:val="0026240E"/>
    <w:rsid w:val="00262C1A"/>
    <w:rsid w:val="0026378C"/>
    <w:rsid w:val="00263C46"/>
    <w:rsid w:val="00263F5C"/>
    <w:rsid w:val="002661A7"/>
    <w:rsid w:val="00266F12"/>
    <w:rsid w:val="00270071"/>
    <w:rsid w:val="00270235"/>
    <w:rsid w:val="002702B6"/>
    <w:rsid w:val="00270BDD"/>
    <w:rsid w:val="002710D8"/>
    <w:rsid w:val="002775E6"/>
    <w:rsid w:val="00277E70"/>
    <w:rsid w:val="00280C47"/>
    <w:rsid w:val="00281C02"/>
    <w:rsid w:val="00281C89"/>
    <w:rsid w:val="00281F49"/>
    <w:rsid w:val="00281F66"/>
    <w:rsid w:val="0028238C"/>
    <w:rsid w:val="0028292D"/>
    <w:rsid w:val="00282DCF"/>
    <w:rsid w:val="002831FA"/>
    <w:rsid w:val="002837B8"/>
    <w:rsid w:val="0028417F"/>
    <w:rsid w:val="00285BF2"/>
    <w:rsid w:val="00286371"/>
    <w:rsid w:val="002878BF"/>
    <w:rsid w:val="00287C05"/>
    <w:rsid w:val="002917D2"/>
    <w:rsid w:val="0029195C"/>
    <w:rsid w:val="00291C48"/>
    <w:rsid w:val="00293E83"/>
    <w:rsid w:val="002942AE"/>
    <w:rsid w:val="00294A30"/>
    <w:rsid w:val="0029692B"/>
    <w:rsid w:val="002972BB"/>
    <w:rsid w:val="0029765D"/>
    <w:rsid w:val="002A0B3F"/>
    <w:rsid w:val="002A0FD3"/>
    <w:rsid w:val="002A1E0D"/>
    <w:rsid w:val="002A5BF0"/>
    <w:rsid w:val="002A608D"/>
    <w:rsid w:val="002A6206"/>
    <w:rsid w:val="002A775C"/>
    <w:rsid w:val="002B099C"/>
    <w:rsid w:val="002B0B89"/>
    <w:rsid w:val="002B13C1"/>
    <w:rsid w:val="002B1654"/>
    <w:rsid w:val="002B2381"/>
    <w:rsid w:val="002B26BF"/>
    <w:rsid w:val="002B36EE"/>
    <w:rsid w:val="002B3BE2"/>
    <w:rsid w:val="002B3D21"/>
    <w:rsid w:val="002B528A"/>
    <w:rsid w:val="002B5E67"/>
    <w:rsid w:val="002B6BE1"/>
    <w:rsid w:val="002B6C0C"/>
    <w:rsid w:val="002C04F2"/>
    <w:rsid w:val="002C0D96"/>
    <w:rsid w:val="002C1883"/>
    <w:rsid w:val="002C1E99"/>
    <w:rsid w:val="002C2754"/>
    <w:rsid w:val="002C3C2A"/>
    <w:rsid w:val="002C50BD"/>
    <w:rsid w:val="002C57C4"/>
    <w:rsid w:val="002C7DA4"/>
    <w:rsid w:val="002D110E"/>
    <w:rsid w:val="002D197B"/>
    <w:rsid w:val="002D2F3D"/>
    <w:rsid w:val="002D3DB8"/>
    <w:rsid w:val="002D52DB"/>
    <w:rsid w:val="002D5FB2"/>
    <w:rsid w:val="002D60DC"/>
    <w:rsid w:val="002D76BE"/>
    <w:rsid w:val="002E1FB9"/>
    <w:rsid w:val="002E2D21"/>
    <w:rsid w:val="002E31FB"/>
    <w:rsid w:val="002E3473"/>
    <w:rsid w:val="002E3512"/>
    <w:rsid w:val="002E4534"/>
    <w:rsid w:val="002E4670"/>
    <w:rsid w:val="002E4C22"/>
    <w:rsid w:val="002E5729"/>
    <w:rsid w:val="002E60E5"/>
    <w:rsid w:val="002E627E"/>
    <w:rsid w:val="002E63E3"/>
    <w:rsid w:val="002E6784"/>
    <w:rsid w:val="002E6AB1"/>
    <w:rsid w:val="002E6D16"/>
    <w:rsid w:val="002E75B9"/>
    <w:rsid w:val="002E7A44"/>
    <w:rsid w:val="002E7EFC"/>
    <w:rsid w:val="002F0BDE"/>
    <w:rsid w:val="002F1D92"/>
    <w:rsid w:val="002F2040"/>
    <w:rsid w:val="002F2F3F"/>
    <w:rsid w:val="002F32F8"/>
    <w:rsid w:val="002F3322"/>
    <w:rsid w:val="002F34A7"/>
    <w:rsid w:val="002F4C59"/>
    <w:rsid w:val="002F6750"/>
    <w:rsid w:val="002F6833"/>
    <w:rsid w:val="00301478"/>
    <w:rsid w:val="00303327"/>
    <w:rsid w:val="00303847"/>
    <w:rsid w:val="00303857"/>
    <w:rsid w:val="0030456A"/>
    <w:rsid w:val="00305217"/>
    <w:rsid w:val="00306111"/>
    <w:rsid w:val="00311A34"/>
    <w:rsid w:val="003122E1"/>
    <w:rsid w:val="00312926"/>
    <w:rsid w:val="00313DBB"/>
    <w:rsid w:val="003144D6"/>
    <w:rsid w:val="00314624"/>
    <w:rsid w:val="00314D6C"/>
    <w:rsid w:val="0031514E"/>
    <w:rsid w:val="003155F2"/>
    <w:rsid w:val="00315836"/>
    <w:rsid w:val="00317F9F"/>
    <w:rsid w:val="003204B0"/>
    <w:rsid w:val="00320646"/>
    <w:rsid w:val="00321FBE"/>
    <w:rsid w:val="003222A9"/>
    <w:rsid w:val="00323299"/>
    <w:rsid w:val="00323DB5"/>
    <w:rsid w:val="003240C9"/>
    <w:rsid w:val="0032473D"/>
    <w:rsid w:val="003258B2"/>
    <w:rsid w:val="0032609A"/>
    <w:rsid w:val="003262CF"/>
    <w:rsid w:val="00326B13"/>
    <w:rsid w:val="00326D52"/>
    <w:rsid w:val="00326E1B"/>
    <w:rsid w:val="00332044"/>
    <w:rsid w:val="0033342A"/>
    <w:rsid w:val="003335E0"/>
    <w:rsid w:val="00334AC9"/>
    <w:rsid w:val="00334DF0"/>
    <w:rsid w:val="003354F7"/>
    <w:rsid w:val="0033643D"/>
    <w:rsid w:val="003414DD"/>
    <w:rsid w:val="00342BBE"/>
    <w:rsid w:val="00342F83"/>
    <w:rsid w:val="00343669"/>
    <w:rsid w:val="00344997"/>
    <w:rsid w:val="00345525"/>
    <w:rsid w:val="003469E8"/>
    <w:rsid w:val="0035016C"/>
    <w:rsid w:val="00350594"/>
    <w:rsid w:val="003508FC"/>
    <w:rsid w:val="00350DDF"/>
    <w:rsid w:val="00350F21"/>
    <w:rsid w:val="00351372"/>
    <w:rsid w:val="00351C0B"/>
    <w:rsid w:val="0035282D"/>
    <w:rsid w:val="00352CEB"/>
    <w:rsid w:val="0035345A"/>
    <w:rsid w:val="0035407C"/>
    <w:rsid w:val="00355CE4"/>
    <w:rsid w:val="0035662B"/>
    <w:rsid w:val="00356C58"/>
    <w:rsid w:val="00360C0D"/>
    <w:rsid w:val="00360D67"/>
    <w:rsid w:val="00360DB4"/>
    <w:rsid w:val="0036353F"/>
    <w:rsid w:val="00364E2E"/>
    <w:rsid w:val="003651C4"/>
    <w:rsid w:val="0036552B"/>
    <w:rsid w:val="003673F6"/>
    <w:rsid w:val="003678A9"/>
    <w:rsid w:val="00370183"/>
    <w:rsid w:val="00370420"/>
    <w:rsid w:val="00370714"/>
    <w:rsid w:val="00371061"/>
    <w:rsid w:val="003711A5"/>
    <w:rsid w:val="003714F9"/>
    <w:rsid w:val="0037253B"/>
    <w:rsid w:val="0037271C"/>
    <w:rsid w:val="00374E5D"/>
    <w:rsid w:val="00374F80"/>
    <w:rsid w:val="003758D9"/>
    <w:rsid w:val="00376E59"/>
    <w:rsid w:val="003777C1"/>
    <w:rsid w:val="003814D6"/>
    <w:rsid w:val="00381998"/>
    <w:rsid w:val="00381D88"/>
    <w:rsid w:val="00381FCF"/>
    <w:rsid w:val="00381FE4"/>
    <w:rsid w:val="0038297E"/>
    <w:rsid w:val="00383187"/>
    <w:rsid w:val="00383A39"/>
    <w:rsid w:val="0038577C"/>
    <w:rsid w:val="00385D6B"/>
    <w:rsid w:val="00385DAA"/>
    <w:rsid w:val="00386DE0"/>
    <w:rsid w:val="0038726C"/>
    <w:rsid w:val="00387424"/>
    <w:rsid w:val="00387C22"/>
    <w:rsid w:val="0039052E"/>
    <w:rsid w:val="003921E6"/>
    <w:rsid w:val="003922D2"/>
    <w:rsid w:val="00392B4E"/>
    <w:rsid w:val="0039379E"/>
    <w:rsid w:val="00394B8B"/>
    <w:rsid w:val="00395430"/>
    <w:rsid w:val="00395530"/>
    <w:rsid w:val="0039558B"/>
    <w:rsid w:val="0039756D"/>
    <w:rsid w:val="003A002A"/>
    <w:rsid w:val="003A2667"/>
    <w:rsid w:val="003A32F6"/>
    <w:rsid w:val="003A50EC"/>
    <w:rsid w:val="003A5664"/>
    <w:rsid w:val="003A5C6F"/>
    <w:rsid w:val="003A64D1"/>
    <w:rsid w:val="003A6771"/>
    <w:rsid w:val="003A70B0"/>
    <w:rsid w:val="003A7D93"/>
    <w:rsid w:val="003B1446"/>
    <w:rsid w:val="003B1D06"/>
    <w:rsid w:val="003B1D6F"/>
    <w:rsid w:val="003B2063"/>
    <w:rsid w:val="003B257D"/>
    <w:rsid w:val="003B3869"/>
    <w:rsid w:val="003B3A1C"/>
    <w:rsid w:val="003B4A76"/>
    <w:rsid w:val="003B6822"/>
    <w:rsid w:val="003B74A5"/>
    <w:rsid w:val="003B7AE3"/>
    <w:rsid w:val="003C0BBD"/>
    <w:rsid w:val="003C21BF"/>
    <w:rsid w:val="003C2D36"/>
    <w:rsid w:val="003C36BE"/>
    <w:rsid w:val="003C4096"/>
    <w:rsid w:val="003C4FCA"/>
    <w:rsid w:val="003C67D2"/>
    <w:rsid w:val="003C708C"/>
    <w:rsid w:val="003C7344"/>
    <w:rsid w:val="003D03F4"/>
    <w:rsid w:val="003D1320"/>
    <w:rsid w:val="003D263E"/>
    <w:rsid w:val="003D5422"/>
    <w:rsid w:val="003D5631"/>
    <w:rsid w:val="003D5784"/>
    <w:rsid w:val="003D682E"/>
    <w:rsid w:val="003D6F0E"/>
    <w:rsid w:val="003D7C4F"/>
    <w:rsid w:val="003D7EE2"/>
    <w:rsid w:val="003E0066"/>
    <w:rsid w:val="003E0124"/>
    <w:rsid w:val="003E061D"/>
    <w:rsid w:val="003E13FC"/>
    <w:rsid w:val="003E2422"/>
    <w:rsid w:val="003E24E5"/>
    <w:rsid w:val="003E28CF"/>
    <w:rsid w:val="003E2962"/>
    <w:rsid w:val="003E2AB2"/>
    <w:rsid w:val="003E2B0D"/>
    <w:rsid w:val="003E381B"/>
    <w:rsid w:val="003E4E41"/>
    <w:rsid w:val="003E71AD"/>
    <w:rsid w:val="003E7B9F"/>
    <w:rsid w:val="003F122C"/>
    <w:rsid w:val="003F13F9"/>
    <w:rsid w:val="003F3CA0"/>
    <w:rsid w:val="003F4AEA"/>
    <w:rsid w:val="003F59F6"/>
    <w:rsid w:val="003F6648"/>
    <w:rsid w:val="003F6A9E"/>
    <w:rsid w:val="003F7365"/>
    <w:rsid w:val="00400AC4"/>
    <w:rsid w:val="00401520"/>
    <w:rsid w:val="004017A2"/>
    <w:rsid w:val="00401DC8"/>
    <w:rsid w:val="004021FD"/>
    <w:rsid w:val="0040242C"/>
    <w:rsid w:val="004031D3"/>
    <w:rsid w:val="00403671"/>
    <w:rsid w:val="00403B86"/>
    <w:rsid w:val="004041ED"/>
    <w:rsid w:val="0040591F"/>
    <w:rsid w:val="00406A84"/>
    <w:rsid w:val="00407466"/>
    <w:rsid w:val="00410A21"/>
    <w:rsid w:val="00410B07"/>
    <w:rsid w:val="0041159C"/>
    <w:rsid w:val="00411F3F"/>
    <w:rsid w:val="00412E3F"/>
    <w:rsid w:val="004138E6"/>
    <w:rsid w:val="00414616"/>
    <w:rsid w:val="004149AE"/>
    <w:rsid w:val="00414B5D"/>
    <w:rsid w:val="00415396"/>
    <w:rsid w:val="00415BE9"/>
    <w:rsid w:val="00416703"/>
    <w:rsid w:val="00416960"/>
    <w:rsid w:val="00417492"/>
    <w:rsid w:val="004206A9"/>
    <w:rsid w:val="004213E1"/>
    <w:rsid w:val="004216FA"/>
    <w:rsid w:val="0042355C"/>
    <w:rsid w:val="00423723"/>
    <w:rsid w:val="0042407B"/>
    <w:rsid w:val="0042469E"/>
    <w:rsid w:val="00424892"/>
    <w:rsid w:val="00424E7E"/>
    <w:rsid w:val="00425BB6"/>
    <w:rsid w:val="00426268"/>
    <w:rsid w:val="00426A02"/>
    <w:rsid w:val="004276AC"/>
    <w:rsid w:val="00427748"/>
    <w:rsid w:val="00427856"/>
    <w:rsid w:val="00427CF5"/>
    <w:rsid w:val="0043073E"/>
    <w:rsid w:val="004309AF"/>
    <w:rsid w:val="00431C6C"/>
    <w:rsid w:val="00433DF6"/>
    <w:rsid w:val="004344F0"/>
    <w:rsid w:val="004353C0"/>
    <w:rsid w:val="00436E35"/>
    <w:rsid w:val="0043728A"/>
    <w:rsid w:val="00437B7B"/>
    <w:rsid w:val="00440C3A"/>
    <w:rsid w:val="00440E7C"/>
    <w:rsid w:val="0044144F"/>
    <w:rsid w:val="004416A7"/>
    <w:rsid w:val="00441B99"/>
    <w:rsid w:val="0044369B"/>
    <w:rsid w:val="00443CE3"/>
    <w:rsid w:val="00444161"/>
    <w:rsid w:val="00444211"/>
    <w:rsid w:val="004443F4"/>
    <w:rsid w:val="00445104"/>
    <w:rsid w:val="00445946"/>
    <w:rsid w:val="00447732"/>
    <w:rsid w:val="00450C37"/>
    <w:rsid w:val="004521F6"/>
    <w:rsid w:val="00452F14"/>
    <w:rsid w:val="00453C0A"/>
    <w:rsid w:val="00453DC4"/>
    <w:rsid w:val="00453EDA"/>
    <w:rsid w:val="00454170"/>
    <w:rsid w:val="00454747"/>
    <w:rsid w:val="004551B3"/>
    <w:rsid w:val="0046002A"/>
    <w:rsid w:val="00461392"/>
    <w:rsid w:val="00461B28"/>
    <w:rsid w:val="00462392"/>
    <w:rsid w:val="0046346E"/>
    <w:rsid w:val="00465D68"/>
    <w:rsid w:val="00466160"/>
    <w:rsid w:val="00466B8C"/>
    <w:rsid w:val="00466E08"/>
    <w:rsid w:val="00467255"/>
    <w:rsid w:val="00467AFA"/>
    <w:rsid w:val="004713B0"/>
    <w:rsid w:val="0047299C"/>
    <w:rsid w:val="00474C16"/>
    <w:rsid w:val="00474DB8"/>
    <w:rsid w:val="00474FDC"/>
    <w:rsid w:val="00475765"/>
    <w:rsid w:val="004763DC"/>
    <w:rsid w:val="00480083"/>
    <w:rsid w:val="00480955"/>
    <w:rsid w:val="004837BE"/>
    <w:rsid w:val="00483946"/>
    <w:rsid w:val="00484B75"/>
    <w:rsid w:val="00484D92"/>
    <w:rsid w:val="00484ED7"/>
    <w:rsid w:val="00484F94"/>
    <w:rsid w:val="004854BB"/>
    <w:rsid w:val="00487E47"/>
    <w:rsid w:val="00490235"/>
    <w:rsid w:val="00491474"/>
    <w:rsid w:val="004914D5"/>
    <w:rsid w:val="004919DD"/>
    <w:rsid w:val="00491B40"/>
    <w:rsid w:val="00491CCF"/>
    <w:rsid w:val="00491D19"/>
    <w:rsid w:val="00492570"/>
    <w:rsid w:val="00493BC4"/>
    <w:rsid w:val="00495F7C"/>
    <w:rsid w:val="0049663C"/>
    <w:rsid w:val="00496768"/>
    <w:rsid w:val="004A0DBF"/>
    <w:rsid w:val="004A1CB1"/>
    <w:rsid w:val="004A1F03"/>
    <w:rsid w:val="004A2E09"/>
    <w:rsid w:val="004A35A7"/>
    <w:rsid w:val="004A3A4D"/>
    <w:rsid w:val="004A4E97"/>
    <w:rsid w:val="004A7AC5"/>
    <w:rsid w:val="004B0D28"/>
    <w:rsid w:val="004B1F5C"/>
    <w:rsid w:val="004B2141"/>
    <w:rsid w:val="004B3DB0"/>
    <w:rsid w:val="004B3DD3"/>
    <w:rsid w:val="004B4087"/>
    <w:rsid w:val="004B4476"/>
    <w:rsid w:val="004B48ED"/>
    <w:rsid w:val="004B5B9D"/>
    <w:rsid w:val="004B6BF6"/>
    <w:rsid w:val="004C07EF"/>
    <w:rsid w:val="004C33CA"/>
    <w:rsid w:val="004C39FE"/>
    <w:rsid w:val="004C3B55"/>
    <w:rsid w:val="004C3C42"/>
    <w:rsid w:val="004C5D91"/>
    <w:rsid w:val="004C6341"/>
    <w:rsid w:val="004C7E3A"/>
    <w:rsid w:val="004D15B6"/>
    <w:rsid w:val="004D1C50"/>
    <w:rsid w:val="004D1E2C"/>
    <w:rsid w:val="004D3F26"/>
    <w:rsid w:val="004D44E9"/>
    <w:rsid w:val="004D4886"/>
    <w:rsid w:val="004D4AC2"/>
    <w:rsid w:val="004D4AE4"/>
    <w:rsid w:val="004D4D5E"/>
    <w:rsid w:val="004D58C7"/>
    <w:rsid w:val="004D6E57"/>
    <w:rsid w:val="004D7D4E"/>
    <w:rsid w:val="004E08E8"/>
    <w:rsid w:val="004E0F10"/>
    <w:rsid w:val="004E1059"/>
    <w:rsid w:val="004E1567"/>
    <w:rsid w:val="004E20D7"/>
    <w:rsid w:val="004E327E"/>
    <w:rsid w:val="004E3D5D"/>
    <w:rsid w:val="004E3F1C"/>
    <w:rsid w:val="004E3F99"/>
    <w:rsid w:val="004E43FC"/>
    <w:rsid w:val="004E4D8B"/>
    <w:rsid w:val="004E53F8"/>
    <w:rsid w:val="004E58F6"/>
    <w:rsid w:val="004E5B98"/>
    <w:rsid w:val="004E5F7A"/>
    <w:rsid w:val="004E69F0"/>
    <w:rsid w:val="004E7018"/>
    <w:rsid w:val="004F03C8"/>
    <w:rsid w:val="004F1149"/>
    <w:rsid w:val="004F156A"/>
    <w:rsid w:val="004F23DA"/>
    <w:rsid w:val="004F2C25"/>
    <w:rsid w:val="004F3290"/>
    <w:rsid w:val="004F381C"/>
    <w:rsid w:val="004F494E"/>
    <w:rsid w:val="004F6855"/>
    <w:rsid w:val="004F6B95"/>
    <w:rsid w:val="004F6E9F"/>
    <w:rsid w:val="004F7602"/>
    <w:rsid w:val="004F7D3C"/>
    <w:rsid w:val="0050080B"/>
    <w:rsid w:val="00500C45"/>
    <w:rsid w:val="00500CFF"/>
    <w:rsid w:val="005011F0"/>
    <w:rsid w:val="00501877"/>
    <w:rsid w:val="00501907"/>
    <w:rsid w:val="00501FAE"/>
    <w:rsid w:val="0050230E"/>
    <w:rsid w:val="00502FA5"/>
    <w:rsid w:val="00503174"/>
    <w:rsid w:val="005031FE"/>
    <w:rsid w:val="005032A5"/>
    <w:rsid w:val="00503699"/>
    <w:rsid w:val="00503704"/>
    <w:rsid w:val="005042B9"/>
    <w:rsid w:val="0050635E"/>
    <w:rsid w:val="005065D3"/>
    <w:rsid w:val="00506CD0"/>
    <w:rsid w:val="00510CC4"/>
    <w:rsid w:val="00510DFB"/>
    <w:rsid w:val="00511C9B"/>
    <w:rsid w:val="00512090"/>
    <w:rsid w:val="005134E0"/>
    <w:rsid w:val="00514D32"/>
    <w:rsid w:val="00514E2B"/>
    <w:rsid w:val="00520569"/>
    <w:rsid w:val="0052077F"/>
    <w:rsid w:val="005208AD"/>
    <w:rsid w:val="00520D99"/>
    <w:rsid w:val="0052353E"/>
    <w:rsid w:val="005237EE"/>
    <w:rsid w:val="005239B3"/>
    <w:rsid w:val="00523CB1"/>
    <w:rsid w:val="00524B27"/>
    <w:rsid w:val="00524C32"/>
    <w:rsid w:val="00525232"/>
    <w:rsid w:val="00525C75"/>
    <w:rsid w:val="00525DD2"/>
    <w:rsid w:val="00526BD9"/>
    <w:rsid w:val="005304CC"/>
    <w:rsid w:val="00530CD2"/>
    <w:rsid w:val="00532E8B"/>
    <w:rsid w:val="005340AB"/>
    <w:rsid w:val="005349A3"/>
    <w:rsid w:val="00536BC5"/>
    <w:rsid w:val="00540223"/>
    <w:rsid w:val="005420C4"/>
    <w:rsid w:val="00543127"/>
    <w:rsid w:val="005437D8"/>
    <w:rsid w:val="00544224"/>
    <w:rsid w:val="005449FB"/>
    <w:rsid w:val="00544FD9"/>
    <w:rsid w:val="00545791"/>
    <w:rsid w:val="00545843"/>
    <w:rsid w:val="0054593B"/>
    <w:rsid w:val="00545AB0"/>
    <w:rsid w:val="00545E68"/>
    <w:rsid w:val="00547ED1"/>
    <w:rsid w:val="005506F8"/>
    <w:rsid w:val="00552E27"/>
    <w:rsid w:val="00555815"/>
    <w:rsid w:val="00555F8E"/>
    <w:rsid w:val="00556DDF"/>
    <w:rsid w:val="00556E06"/>
    <w:rsid w:val="00560DEC"/>
    <w:rsid w:val="00561773"/>
    <w:rsid w:val="005627B0"/>
    <w:rsid w:val="00563DAA"/>
    <w:rsid w:val="00563FA7"/>
    <w:rsid w:val="005640B5"/>
    <w:rsid w:val="00565947"/>
    <w:rsid w:val="005663AC"/>
    <w:rsid w:val="0056651B"/>
    <w:rsid w:val="00566675"/>
    <w:rsid w:val="005666D4"/>
    <w:rsid w:val="00566F08"/>
    <w:rsid w:val="00566FC7"/>
    <w:rsid w:val="005677CD"/>
    <w:rsid w:val="00567823"/>
    <w:rsid w:val="0056791C"/>
    <w:rsid w:val="0057080B"/>
    <w:rsid w:val="00570F40"/>
    <w:rsid w:val="0057141E"/>
    <w:rsid w:val="00571C7D"/>
    <w:rsid w:val="00571D84"/>
    <w:rsid w:val="00571F6F"/>
    <w:rsid w:val="005727B8"/>
    <w:rsid w:val="005729D8"/>
    <w:rsid w:val="00573785"/>
    <w:rsid w:val="00573E38"/>
    <w:rsid w:val="00574CA5"/>
    <w:rsid w:val="005750FE"/>
    <w:rsid w:val="00575323"/>
    <w:rsid w:val="00576C60"/>
    <w:rsid w:val="00580887"/>
    <w:rsid w:val="0058189A"/>
    <w:rsid w:val="00581E98"/>
    <w:rsid w:val="005821C8"/>
    <w:rsid w:val="0058266F"/>
    <w:rsid w:val="00582A8B"/>
    <w:rsid w:val="005856B0"/>
    <w:rsid w:val="00585DAF"/>
    <w:rsid w:val="005869EF"/>
    <w:rsid w:val="00587AC3"/>
    <w:rsid w:val="0059099C"/>
    <w:rsid w:val="0059114D"/>
    <w:rsid w:val="0059346C"/>
    <w:rsid w:val="00593AC3"/>
    <w:rsid w:val="00593E1E"/>
    <w:rsid w:val="00594F55"/>
    <w:rsid w:val="005966B2"/>
    <w:rsid w:val="0059750A"/>
    <w:rsid w:val="005A0E1A"/>
    <w:rsid w:val="005A106F"/>
    <w:rsid w:val="005A12D7"/>
    <w:rsid w:val="005A16CE"/>
    <w:rsid w:val="005A1AED"/>
    <w:rsid w:val="005A1D78"/>
    <w:rsid w:val="005A1E4A"/>
    <w:rsid w:val="005A342C"/>
    <w:rsid w:val="005A4471"/>
    <w:rsid w:val="005A447D"/>
    <w:rsid w:val="005A4EDE"/>
    <w:rsid w:val="005A5B91"/>
    <w:rsid w:val="005A7025"/>
    <w:rsid w:val="005A7987"/>
    <w:rsid w:val="005A7A86"/>
    <w:rsid w:val="005B0A8D"/>
    <w:rsid w:val="005B0FB4"/>
    <w:rsid w:val="005B38CA"/>
    <w:rsid w:val="005B44FC"/>
    <w:rsid w:val="005B518D"/>
    <w:rsid w:val="005B554F"/>
    <w:rsid w:val="005B6C50"/>
    <w:rsid w:val="005C063B"/>
    <w:rsid w:val="005C09FD"/>
    <w:rsid w:val="005C1CC1"/>
    <w:rsid w:val="005C229B"/>
    <w:rsid w:val="005C230B"/>
    <w:rsid w:val="005C3515"/>
    <w:rsid w:val="005C37C0"/>
    <w:rsid w:val="005C5326"/>
    <w:rsid w:val="005C5475"/>
    <w:rsid w:val="005C5FC9"/>
    <w:rsid w:val="005C6A83"/>
    <w:rsid w:val="005C7571"/>
    <w:rsid w:val="005C77FB"/>
    <w:rsid w:val="005C7AF8"/>
    <w:rsid w:val="005D07B7"/>
    <w:rsid w:val="005D154A"/>
    <w:rsid w:val="005D20DB"/>
    <w:rsid w:val="005D2C6A"/>
    <w:rsid w:val="005D5440"/>
    <w:rsid w:val="005D6747"/>
    <w:rsid w:val="005D715A"/>
    <w:rsid w:val="005D7363"/>
    <w:rsid w:val="005E01EC"/>
    <w:rsid w:val="005E12D1"/>
    <w:rsid w:val="005E132B"/>
    <w:rsid w:val="005E136B"/>
    <w:rsid w:val="005E2614"/>
    <w:rsid w:val="005E3D7B"/>
    <w:rsid w:val="005E6B1C"/>
    <w:rsid w:val="005E71F2"/>
    <w:rsid w:val="005F0192"/>
    <w:rsid w:val="005F0540"/>
    <w:rsid w:val="005F15A5"/>
    <w:rsid w:val="005F211D"/>
    <w:rsid w:val="005F22D0"/>
    <w:rsid w:val="005F28A9"/>
    <w:rsid w:val="005F2B97"/>
    <w:rsid w:val="005F2C45"/>
    <w:rsid w:val="005F337E"/>
    <w:rsid w:val="005F33B5"/>
    <w:rsid w:val="005F59CF"/>
    <w:rsid w:val="005F5B41"/>
    <w:rsid w:val="005F5D75"/>
    <w:rsid w:val="005F6195"/>
    <w:rsid w:val="005F6348"/>
    <w:rsid w:val="005F647C"/>
    <w:rsid w:val="005F69DD"/>
    <w:rsid w:val="005F6A1A"/>
    <w:rsid w:val="005F6BF1"/>
    <w:rsid w:val="005F6D0B"/>
    <w:rsid w:val="005F7C43"/>
    <w:rsid w:val="00600488"/>
    <w:rsid w:val="00601548"/>
    <w:rsid w:val="00603882"/>
    <w:rsid w:val="00604B3F"/>
    <w:rsid w:val="00606931"/>
    <w:rsid w:val="006072EA"/>
    <w:rsid w:val="00607D5B"/>
    <w:rsid w:val="00610639"/>
    <w:rsid w:val="00610E0D"/>
    <w:rsid w:val="00610F4A"/>
    <w:rsid w:val="0061297E"/>
    <w:rsid w:val="00612CE1"/>
    <w:rsid w:val="00613264"/>
    <w:rsid w:val="006137FE"/>
    <w:rsid w:val="00613AE2"/>
    <w:rsid w:val="00613ED5"/>
    <w:rsid w:val="00613FEE"/>
    <w:rsid w:val="00614018"/>
    <w:rsid w:val="00614A5F"/>
    <w:rsid w:val="0061660B"/>
    <w:rsid w:val="006166DA"/>
    <w:rsid w:val="00620611"/>
    <w:rsid w:val="0062061A"/>
    <w:rsid w:val="006223DB"/>
    <w:rsid w:val="006225F8"/>
    <w:rsid w:val="00623799"/>
    <w:rsid w:val="00623A7A"/>
    <w:rsid w:val="00623C65"/>
    <w:rsid w:val="00625013"/>
    <w:rsid w:val="0062550E"/>
    <w:rsid w:val="00625D98"/>
    <w:rsid w:val="00626892"/>
    <w:rsid w:val="00626928"/>
    <w:rsid w:val="00627E06"/>
    <w:rsid w:val="00627EB9"/>
    <w:rsid w:val="006314B7"/>
    <w:rsid w:val="00631C7F"/>
    <w:rsid w:val="00633E98"/>
    <w:rsid w:val="00635D47"/>
    <w:rsid w:val="00640727"/>
    <w:rsid w:val="006414AB"/>
    <w:rsid w:val="00642D60"/>
    <w:rsid w:val="00643933"/>
    <w:rsid w:val="00644474"/>
    <w:rsid w:val="0064454B"/>
    <w:rsid w:val="006451B1"/>
    <w:rsid w:val="00645EB5"/>
    <w:rsid w:val="00647347"/>
    <w:rsid w:val="00650257"/>
    <w:rsid w:val="00650F27"/>
    <w:rsid w:val="00652077"/>
    <w:rsid w:val="00653F60"/>
    <w:rsid w:val="00656044"/>
    <w:rsid w:val="006570C6"/>
    <w:rsid w:val="00657E12"/>
    <w:rsid w:val="00657FE4"/>
    <w:rsid w:val="00660321"/>
    <w:rsid w:val="00661419"/>
    <w:rsid w:val="00661B79"/>
    <w:rsid w:val="00662C05"/>
    <w:rsid w:val="00663171"/>
    <w:rsid w:val="00663819"/>
    <w:rsid w:val="00664703"/>
    <w:rsid w:val="0066512C"/>
    <w:rsid w:val="00665BFB"/>
    <w:rsid w:val="00665D03"/>
    <w:rsid w:val="00665E1C"/>
    <w:rsid w:val="0066665A"/>
    <w:rsid w:val="00667492"/>
    <w:rsid w:val="0066793F"/>
    <w:rsid w:val="00670269"/>
    <w:rsid w:val="00670D41"/>
    <w:rsid w:val="0067122D"/>
    <w:rsid w:val="0067129D"/>
    <w:rsid w:val="00671C8F"/>
    <w:rsid w:val="006734B3"/>
    <w:rsid w:val="00674FEA"/>
    <w:rsid w:val="00675022"/>
    <w:rsid w:val="006778F7"/>
    <w:rsid w:val="00677A8A"/>
    <w:rsid w:val="00680A72"/>
    <w:rsid w:val="00680E74"/>
    <w:rsid w:val="006814EA"/>
    <w:rsid w:val="00682294"/>
    <w:rsid w:val="006829E2"/>
    <w:rsid w:val="0068394F"/>
    <w:rsid w:val="00683A0E"/>
    <w:rsid w:val="00686C24"/>
    <w:rsid w:val="006876DC"/>
    <w:rsid w:val="00687A3E"/>
    <w:rsid w:val="006904EB"/>
    <w:rsid w:val="00690604"/>
    <w:rsid w:val="00691409"/>
    <w:rsid w:val="0069257D"/>
    <w:rsid w:val="0069313F"/>
    <w:rsid w:val="00693561"/>
    <w:rsid w:val="0069403D"/>
    <w:rsid w:val="00694759"/>
    <w:rsid w:val="00695B33"/>
    <w:rsid w:val="00696134"/>
    <w:rsid w:val="0069660C"/>
    <w:rsid w:val="00696915"/>
    <w:rsid w:val="006A0B52"/>
    <w:rsid w:val="006A29AD"/>
    <w:rsid w:val="006A3036"/>
    <w:rsid w:val="006A39E3"/>
    <w:rsid w:val="006A3A45"/>
    <w:rsid w:val="006A3ABA"/>
    <w:rsid w:val="006A3DB0"/>
    <w:rsid w:val="006A4879"/>
    <w:rsid w:val="006A49ED"/>
    <w:rsid w:val="006A52A3"/>
    <w:rsid w:val="006A59A2"/>
    <w:rsid w:val="006A62C3"/>
    <w:rsid w:val="006B056B"/>
    <w:rsid w:val="006B0961"/>
    <w:rsid w:val="006B32F5"/>
    <w:rsid w:val="006B32FE"/>
    <w:rsid w:val="006B4B05"/>
    <w:rsid w:val="006B5363"/>
    <w:rsid w:val="006B6A2A"/>
    <w:rsid w:val="006B6EC5"/>
    <w:rsid w:val="006B73A0"/>
    <w:rsid w:val="006B75C0"/>
    <w:rsid w:val="006B7644"/>
    <w:rsid w:val="006B7800"/>
    <w:rsid w:val="006B78CC"/>
    <w:rsid w:val="006C022D"/>
    <w:rsid w:val="006C0340"/>
    <w:rsid w:val="006C30B0"/>
    <w:rsid w:val="006C3383"/>
    <w:rsid w:val="006C33C2"/>
    <w:rsid w:val="006C3B42"/>
    <w:rsid w:val="006C3C06"/>
    <w:rsid w:val="006C3ED2"/>
    <w:rsid w:val="006C4405"/>
    <w:rsid w:val="006C56BC"/>
    <w:rsid w:val="006C5BCE"/>
    <w:rsid w:val="006C5F39"/>
    <w:rsid w:val="006D0663"/>
    <w:rsid w:val="006D0E20"/>
    <w:rsid w:val="006D224E"/>
    <w:rsid w:val="006D2D5E"/>
    <w:rsid w:val="006D3BEF"/>
    <w:rsid w:val="006D3EEE"/>
    <w:rsid w:val="006D4454"/>
    <w:rsid w:val="006D57DF"/>
    <w:rsid w:val="006D5DB4"/>
    <w:rsid w:val="006D687E"/>
    <w:rsid w:val="006D6DC7"/>
    <w:rsid w:val="006D6E20"/>
    <w:rsid w:val="006D73EE"/>
    <w:rsid w:val="006E02A2"/>
    <w:rsid w:val="006E053D"/>
    <w:rsid w:val="006E0742"/>
    <w:rsid w:val="006E0B69"/>
    <w:rsid w:val="006E16C1"/>
    <w:rsid w:val="006E1A06"/>
    <w:rsid w:val="006E21BC"/>
    <w:rsid w:val="006E278D"/>
    <w:rsid w:val="006E343A"/>
    <w:rsid w:val="006E3D6A"/>
    <w:rsid w:val="006E44DA"/>
    <w:rsid w:val="006E4FC1"/>
    <w:rsid w:val="006E7831"/>
    <w:rsid w:val="006F0A1F"/>
    <w:rsid w:val="006F1053"/>
    <w:rsid w:val="006F1923"/>
    <w:rsid w:val="006F19C1"/>
    <w:rsid w:val="006F2069"/>
    <w:rsid w:val="006F2106"/>
    <w:rsid w:val="006F22D3"/>
    <w:rsid w:val="006F3532"/>
    <w:rsid w:val="006F37DD"/>
    <w:rsid w:val="006F3AFA"/>
    <w:rsid w:val="006F401E"/>
    <w:rsid w:val="006F632B"/>
    <w:rsid w:val="006F6ADB"/>
    <w:rsid w:val="006F6C11"/>
    <w:rsid w:val="00700776"/>
    <w:rsid w:val="00700911"/>
    <w:rsid w:val="00701283"/>
    <w:rsid w:val="00701609"/>
    <w:rsid w:val="007025F4"/>
    <w:rsid w:val="007026AE"/>
    <w:rsid w:val="0070281B"/>
    <w:rsid w:val="0070446C"/>
    <w:rsid w:val="00704691"/>
    <w:rsid w:val="007047A8"/>
    <w:rsid w:val="007048EE"/>
    <w:rsid w:val="00706075"/>
    <w:rsid w:val="0070621D"/>
    <w:rsid w:val="00706A32"/>
    <w:rsid w:val="007102CD"/>
    <w:rsid w:val="00710DBE"/>
    <w:rsid w:val="007113CC"/>
    <w:rsid w:val="0071402A"/>
    <w:rsid w:val="00714ADE"/>
    <w:rsid w:val="00714C17"/>
    <w:rsid w:val="007153B4"/>
    <w:rsid w:val="00715E4D"/>
    <w:rsid w:val="007169B6"/>
    <w:rsid w:val="007202B1"/>
    <w:rsid w:val="00720860"/>
    <w:rsid w:val="00720D04"/>
    <w:rsid w:val="00720D4B"/>
    <w:rsid w:val="00720E12"/>
    <w:rsid w:val="00721972"/>
    <w:rsid w:val="00721B41"/>
    <w:rsid w:val="00721CE5"/>
    <w:rsid w:val="007243D1"/>
    <w:rsid w:val="00724448"/>
    <w:rsid w:val="00724932"/>
    <w:rsid w:val="00726BCA"/>
    <w:rsid w:val="00726F51"/>
    <w:rsid w:val="007307D5"/>
    <w:rsid w:val="00730F37"/>
    <w:rsid w:val="00731F55"/>
    <w:rsid w:val="00732D14"/>
    <w:rsid w:val="00734A88"/>
    <w:rsid w:val="00735581"/>
    <w:rsid w:val="007373D0"/>
    <w:rsid w:val="00737769"/>
    <w:rsid w:val="00737854"/>
    <w:rsid w:val="00737C15"/>
    <w:rsid w:val="0074298D"/>
    <w:rsid w:val="00742A50"/>
    <w:rsid w:val="007431F6"/>
    <w:rsid w:val="0074346F"/>
    <w:rsid w:val="00743BE6"/>
    <w:rsid w:val="00744083"/>
    <w:rsid w:val="0074487A"/>
    <w:rsid w:val="0074498E"/>
    <w:rsid w:val="00744D26"/>
    <w:rsid w:val="0074576A"/>
    <w:rsid w:val="0074599E"/>
    <w:rsid w:val="00745B70"/>
    <w:rsid w:val="00745D4C"/>
    <w:rsid w:val="00745F35"/>
    <w:rsid w:val="00747B7A"/>
    <w:rsid w:val="00747C83"/>
    <w:rsid w:val="00751108"/>
    <w:rsid w:val="00751212"/>
    <w:rsid w:val="0075150A"/>
    <w:rsid w:val="00751C14"/>
    <w:rsid w:val="00755BE9"/>
    <w:rsid w:val="00755DDD"/>
    <w:rsid w:val="00760340"/>
    <w:rsid w:val="007604EC"/>
    <w:rsid w:val="00760A3B"/>
    <w:rsid w:val="007614E9"/>
    <w:rsid w:val="00761778"/>
    <w:rsid w:val="00761A5B"/>
    <w:rsid w:val="00762043"/>
    <w:rsid w:val="00762EF3"/>
    <w:rsid w:val="0076396E"/>
    <w:rsid w:val="007639B1"/>
    <w:rsid w:val="00763BD5"/>
    <w:rsid w:val="0076447C"/>
    <w:rsid w:val="00765447"/>
    <w:rsid w:val="00766F48"/>
    <w:rsid w:val="007675B5"/>
    <w:rsid w:val="007678DB"/>
    <w:rsid w:val="00767A3B"/>
    <w:rsid w:val="00767ED3"/>
    <w:rsid w:val="00770060"/>
    <w:rsid w:val="007705D1"/>
    <w:rsid w:val="00771825"/>
    <w:rsid w:val="0077228E"/>
    <w:rsid w:val="00772567"/>
    <w:rsid w:val="00772CB5"/>
    <w:rsid w:val="00772EAA"/>
    <w:rsid w:val="0077415F"/>
    <w:rsid w:val="00774B9E"/>
    <w:rsid w:val="00775AE1"/>
    <w:rsid w:val="007764C6"/>
    <w:rsid w:val="007768B2"/>
    <w:rsid w:val="0077780C"/>
    <w:rsid w:val="00777C88"/>
    <w:rsid w:val="00777F15"/>
    <w:rsid w:val="00780889"/>
    <w:rsid w:val="0078143C"/>
    <w:rsid w:val="0078462A"/>
    <w:rsid w:val="0078627D"/>
    <w:rsid w:val="00787580"/>
    <w:rsid w:val="00787F03"/>
    <w:rsid w:val="00790B02"/>
    <w:rsid w:val="0079252C"/>
    <w:rsid w:val="00792698"/>
    <w:rsid w:val="00793AB8"/>
    <w:rsid w:val="007942DD"/>
    <w:rsid w:val="0079438C"/>
    <w:rsid w:val="00794BFC"/>
    <w:rsid w:val="00794FE3"/>
    <w:rsid w:val="00796864"/>
    <w:rsid w:val="007A157B"/>
    <w:rsid w:val="007A1A81"/>
    <w:rsid w:val="007A1BB4"/>
    <w:rsid w:val="007A1D6B"/>
    <w:rsid w:val="007A2699"/>
    <w:rsid w:val="007A2703"/>
    <w:rsid w:val="007A591B"/>
    <w:rsid w:val="007A6245"/>
    <w:rsid w:val="007A6FFB"/>
    <w:rsid w:val="007A7FBB"/>
    <w:rsid w:val="007B0792"/>
    <w:rsid w:val="007B0F90"/>
    <w:rsid w:val="007B1DE8"/>
    <w:rsid w:val="007B21AB"/>
    <w:rsid w:val="007B2713"/>
    <w:rsid w:val="007B327F"/>
    <w:rsid w:val="007B38AB"/>
    <w:rsid w:val="007B3D85"/>
    <w:rsid w:val="007B4158"/>
    <w:rsid w:val="007B48BA"/>
    <w:rsid w:val="007B4953"/>
    <w:rsid w:val="007B4A60"/>
    <w:rsid w:val="007B4AAB"/>
    <w:rsid w:val="007B50D8"/>
    <w:rsid w:val="007B5182"/>
    <w:rsid w:val="007B52BE"/>
    <w:rsid w:val="007B5367"/>
    <w:rsid w:val="007B59C9"/>
    <w:rsid w:val="007C058B"/>
    <w:rsid w:val="007C0856"/>
    <w:rsid w:val="007C0EB6"/>
    <w:rsid w:val="007C19EF"/>
    <w:rsid w:val="007C20E0"/>
    <w:rsid w:val="007C2976"/>
    <w:rsid w:val="007C2CB5"/>
    <w:rsid w:val="007C2E6E"/>
    <w:rsid w:val="007C3B39"/>
    <w:rsid w:val="007C3F68"/>
    <w:rsid w:val="007C4B41"/>
    <w:rsid w:val="007C4F6F"/>
    <w:rsid w:val="007C61DD"/>
    <w:rsid w:val="007C6466"/>
    <w:rsid w:val="007C6816"/>
    <w:rsid w:val="007C69B9"/>
    <w:rsid w:val="007C6E2F"/>
    <w:rsid w:val="007C7A51"/>
    <w:rsid w:val="007D2449"/>
    <w:rsid w:val="007D2876"/>
    <w:rsid w:val="007D6AFC"/>
    <w:rsid w:val="007D7C06"/>
    <w:rsid w:val="007E0B56"/>
    <w:rsid w:val="007E2A14"/>
    <w:rsid w:val="007E39DD"/>
    <w:rsid w:val="007E51EF"/>
    <w:rsid w:val="007E6AAB"/>
    <w:rsid w:val="007E6E19"/>
    <w:rsid w:val="007E71AE"/>
    <w:rsid w:val="007E7723"/>
    <w:rsid w:val="007E78E0"/>
    <w:rsid w:val="007F0563"/>
    <w:rsid w:val="007F3376"/>
    <w:rsid w:val="007F36C7"/>
    <w:rsid w:val="007F3AB2"/>
    <w:rsid w:val="007F5F8C"/>
    <w:rsid w:val="007F709F"/>
    <w:rsid w:val="007F7A11"/>
    <w:rsid w:val="0080085A"/>
    <w:rsid w:val="00801522"/>
    <w:rsid w:val="00801786"/>
    <w:rsid w:val="00802A3D"/>
    <w:rsid w:val="00802C2E"/>
    <w:rsid w:val="00802D59"/>
    <w:rsid w:val="008034AF"/>
    <w:rsid w:val="008035DE"/>
    <w:rsid w:val="00805744"/>
    <w:rsid w:val="00805E29"/>
    <w:rsid w:val="00806376"/>
    <w:rsid w:val="00810FE4"/>
    <w:rsid w:val="008111BC"/>
    <w:rsid w:val="00811C6B"/>
    <w:rsid w:val="008121D6"/>
    <w:rsid w:val="00812438"/>
    <w:rsid w:val="00812BE2"/>
    <w:rsid w:val="008130C0"/>
    <w:rsid w:val="00813CDE"/>
    <w:rsid w:val="0081412D"/>
    <w:rsid w:val="00817386"/>
    <w:rsid w:val="00817A28"/>
    <w:rsid w:val="0082035F"/>
    <w:rsid w:val="008219B8"/>
    <w:rsid w:val="00821D57"/>
    <w:rsid w:val="00822782"/>
    <w:rsid w:val="00824765"/>
    <w:rsid w:val="00825A5A"/>
    <w:rsid w:val="00827099"/>
    <w:rsid w:val="00827DFF"/>
    <w:rsid w:val="00827F5A"/>
    <w:rsid w:val="00831F47"/>
    <w:rsid w:val="0083217D"/>
    <w:rsid w:val="0083245E"/>
    <w:rsid w:val="00832857"/>
    <w:rsid w:val="008329D8"/>
    <w:rsid w:val="00833161"/>
    <w:rsid w:val="00834221"/>
    <w:rsid w:val="00835995"/>
    <w:rsid w:val="00835EDE"/>
    <w:rsid w:val="00836F58"/>
    <w:rsid w:val="0083735E"/>
    <w:rsid w:val="008377E7"/>
    <w:rsid w:val="00837976"/>
    <w:rsid w:val="008411E7"/>
    <w:rsid w:val="00841B60"/>
    <w:rsid w:val="0084301C"/>
    <w:rsid w:val="00846004"/>
    <w:rsid w:val="008464E9"/>
    <w:rsid w:val="00846523"/>
    <w:rsid w:val="00846F04"/>
    <w:rsid w:val="00850096"/>
    <w:rsid w:val="0085104A"/>
    <w:rsid w:val="00851C27"/>
    <w:rsid w:val="00851EF3"/>
    <w:rsid w:val="008527C5"/>
    <w:rsid w:val="00853079"/>
    <w:rsid w:val="008536DF"/>
    <w:rsid w:val="0085474F"/>
    <w:rsid w:val="00855F49"/>
    <w:rsid w:val="0085614F"/>
    <w:rsid w:val="00856F80"/>
    <w:rsid w:val="00856FB0"/>
    <w:rsid w:val="00857D63"/>
    <w:rsid w:val="00857E98"/>
    <w:rsid w:val="0086033C"/>
    <w:rsid w:val="00860FEA"/>
    <w:rsid w:val="0086103D"/>
    <w:rsid w:val="00861BF8"/>
    <w:rsid w:val="008626D5"/>
    <w:rsid w:val="0086349F"/>
    <w:rsid w:val="008634EF"/>
    <w:rsid w:val="0086359C"/>
    <w:rsid w:val="00865A1E"/>
    <w:rsid w:val="00865CC1"/>
    <w:rsid w:val="00866CA4"/>
    <w:rsid w:val="00866DF4"/>
    <w:rsid w:val="00867F0A"/>
    <w:rsid w:val="00870AE9"/>
    <w:rsid w:val="00871730"/>
    <w:rsid w:val="00872B72"/>
    <w:rsid w:val="00874409"/>
    <w:rsid w:val="008744D8"/>
    <w:rsid w:val="00875089"/>
    <w:rsid w:val="00875368"/>
    <w:rsid w:val="00875C7D"/>
    <w:rsid w:val="00876828"/>
    <w:rsid w:val="00877707"/>
    <w:rsid w:val="0087786E"/>
    <w:rsid w:val="00882DEA"/>
    <w:rsid w:val="00884BD2"/>
    <w:rsid w:val="00884C83"/>
    <w:rsid w:val="00885A25"/>
    <w:rsid w:val="0088700D"/>
    <w:rsid w:val="008901C4"/>
    <w:rsid w:val="00891E3B"/>
    <w:rsid w:val="00892BAD"/>
    <w:rsid w:val="008939C9"/>
    <w:rsid w:val="00893BC2"/>
    <w:rsid w:val="00893FE1"/>
    <w:rsid w:val="00896702"/>
    <w:rsid w:val="00896A79"/>
    <w:rsid w:val="00896D58"/>
    <w:rsid w:val="00896DA1"/>
    <w:rsid w:val="008973C6"/>
    <w:rsid w:val="00897D92"/>
    <w:rsid w:val="008A12AE"/>
    <w:rsid w:val="008A24CD"/>
    <w:rsid w:val="008A277F"/>
    <w:rsid w:val="008A35A3"/>
    <w:rsid w:val="008A5999"/>
    <w:rsid w:val="008A5DAE"/>
    <w:rsid w:val="008A5DFF"/>
    <w:rsid w:val="008A66F5"/>
    <w:rsid w:val="008A6831"/>
    <w:rsid w:val="008B0159"/>
    <w:rsid w:val="008B01E1"/>
    <w:rsid w:val="008B070E"/>
    <w:rsid w:val="008B1F82"/>
    <w:rsid w:val="008B42CF"/>
    <w:rsid w:val="008B5D9C"/>
    <w:rsid w:val="008B611D"/>
    <w:rsid w:val="008B7238"/>
    <w:rsid w:val="008B7ECC"/>
    <w:rsid w:val="008C147C"/>
    <w:rsid w:val="008C1E51"/>
    <w:rsid w:val="008C27AB"/>
    <w:rsid w:val="008C2F3F"/>
    <w:rsid w:val="008C353E"/>
    <w:rsid w:val="008C3644"/>
    <w:rsid w:val="008C3BF5"/>
    <w:rsid w:val="008C4E2B"/>
    <w:rsid w:val="008C6D5C"/>
    <w:rsid w:val="008C70D2"/>
    <w:rsid w:val="008D017D"/>
    <w:rsid w:val="008D03E6"/>
    <w:rsid w:val="008D1445"/>
    <w:rsid w:val="008D18E4"/>
    <w:rsid w:val="008D2DBD"/>
    <w:rsid w:val="008D452E"/>
    <w:rsid w:val="008D5E59"/>
    <w:rsid w:val="008D64F0"/>
    <w:rsid w:val="008D66C1"/>
    <w:rsid w:val="008E0D0D"/>
    <w:rsid w:val="008E162C"/>
    <w:rsid w:val="008E1E94"/>
    <w:rsid w:val="008E25A1"/>
    <w:rsid w:val="008E26AB"/>
    <w:rsid w:val="008E285B"/>
    <w:rsid w:val="008E2DB4"/>
    <w:rsid w:val="008E30D9"/>
    <w:rsid w:val="008E3236"/>
    <w:rsid w:val="008E32BA"/>
    <w:rsid w:val="008E3EB2"/>
    <w:rsid w:val="008E467F"/>
    <w:rsid w:val="008E5048"/>
    <w:rsid w:val="008E51E4"/>
    <w:rsid w:val="008E5EB2"/>
    <w:rsid w:val="008E60A8"/>
    <w:rsid w:val="008E6784"/>
    <w:rsid w:val="008E6859"/>
    <w:rsid w:val="008E6D76"/>
    <w:rsid w:val="008E6F02"/>
    <w:rsid w:val="008E727D"/>
    <w:rsid w:val="008E7BB2"/>
    <w:rsid w:val="008E7E82"/>
    <w:rsid w:val="008F0219"/>
    <w:rsid w:val="008F031A"/>
    <w:rsid w:val="008F087A"/>
    <w:rsid w:val="008F0C6D"/>
    <w:rsid w:val="008F10ED"/>
    <w:rsid w:val="008F2340"/>
    <w:rsid w:val="008F272C"/>
    <w:rsid w:val="008F3CA6"/>
    <w:rsid w:val="008F52C2"/>
    <w:rsid w:val="008F720A"/>
    <w:rsid w:val="008F73A0"/>
    <w:rsid w:val="008F75B8"/>
    <w:rsid w:val="008F7770"/>
    <w:rsid w:val="009002D5"/>
    <w:rsid w:val="00900B7A"/>
    <w:rsid w:val="00902715"/>
    <w:rsid w:val="00902968"/>
    <w:rsid w:val="00903F13"/>
    <w:rsid w:val="00904172"/>
    <w:rsid w:val="0090522C"/>
    <w:rsid w:val="0090638B"/>
    <w:rsid w:val="00906DAD"/>
    <w:rsid w:val="00906F61"/>
    <w:rsid w:val="009073D5"/>
    <w:rsid w:val="00910D35"/>
    <w:rsid w:val="00911138"/>
    <w:rsid w:val="009116ED"/>
    <w:rsid w:val="009118DA"/>
    <w:rsid w:val="009119F7"/>
    <w:rsid w:val="00911CE9"/>
    <w:rsid w:val="009134F7"/>
    <w:rsid w:val="0091462E"/>
    <w:rsid w:val="009146F4"/>
    <w:rsid w:val="009166AE"/>
    <w:rsid w:val="0091711D"/>
    <w:rsid w:val="00920E98"/>
    <w:rsid w:val="009211FB"/>
    <w:rsid w:val="00921422"/>
    <w:rsid w:val="00922783"/>
    <w:rsid w:val="00922E0D"/>
    <w:rsid w:val="009231C4"/>
    <w:rsid w:val="0092355D"/>
    <w:rsid w:val="0092374F"/>
    <w:rsid w:val="00923F29"/>
    <w:rsid w:val="00926625"/>
    <w:rsid w:val="0092746D"/>
    <w:rsid w:val="009306B0"/>
    <w:rsid w:val="00930A4A"/>
    <w:rsid w:val="0093230C"/>
    <w:rsid w:val="00933E8D"/>
    <w:rsid w:val="00933FCF"/>
    <w:rsid w:val="009357D7"/>
    <w:rsid w:val="0093687E"/>
    <w:rsid w:val="009375DA"/>
    <w:rsid w:val="00937E45"/>
    <w:rsid w:val="00941823"/>
    <w:rsid w:val="00941906"/>
    <w:rsid w:val="00941CDC"/>
    <w:rsid w:val="009427F6"/>
    <w:rsid w:val="00943715"/>
    <w:rsid w:val="00944F51"/>
    <w:rsid w:val="00945C8F"/>
    <w:rsid w:val="009463D4"/>
    <w:rsid w:val="0094644C"/>
    <w:rsid w:val="00946F84"/>
    <w:rsid w:val="00947DD5"/>
    <w:rsid w:val="009511DD"/>
    <w:rsid w:val="0095140A"/>
    <w:rsid w:val="009522F2"/>
    <w:rsid w:val="00953603"/>
    <w:rsid w:val="00954182"/>
    <w:rsid w:val="00954378"/>
    <w:rsid w:val="00955443"/>
    <w:rsid w:val="009559E8"/>
    <w:rsid w:val="009576E4"/>
    <w:rsid w:val="009611C4"/>
    <w:rsid w:val="00961A79"/>
    <w:rsid w:val="00961C37"/>
    <w:rsid w:val="009623DB"/>
    <w:rsid w:val="00962933"/>
    <w:rsid w:val="00962B0E"/>
    <w:rsid w:val="00963042"/>
    <w:rsid w:val="00963473"/>
    <w:rsid w:val="00964ED1"/>
    <w:rsid w:val="0096545F"/>
    <w:rsid w:val="00965A99"/>
    <w:rsid w:val="0096691B"/>
    <w:rsid w:val="009671E4"/>
    <w:rsid w:val="00967229"/>
    <w:rsid w:val="00970268"/>
    <w:rsid w:val="00971120"/>
    <w:rsid w:val="00971FA8"/>
    <w:rsid w:val="00972A22"/>
    <w:rsid w:val="00972E77"/>
    <w:rsid w:val="00972FEA"/>
    <w:rsid w:val="00973993"/>
    <w:rsid w:val="009756F1"/>
    <w:rsid w:val="00980639"/>
    <w:rsid w:val="009816AA"/>
    <w:rsid w:val="00981BA2"/>
    <w:rsid w:val="00981BE3"/>
    <w:rsid w:val="00981FDB"/>
    <w:rsid w:val="00982342"/>
    <w:rsid w:val="00982F4E"/>
    <w:rsid w:val="0098365B"/>
    <w:rsid w:val="00985775"/>
    <w:rsid w:val="00985EF6"/>
    <w:rsid w:val="00986031"/>
    <w:rsid w:val="00987BBB"/>
    <w:rsid w:val="00987F2A"/>
    <w:rsid w:val="00990CCD"/>
    <w:rsid w:val="00991A3F"/>
    <w:rsid w:val="00991B25"/>
    <w:rsid w:val="009933B9"/>
    <w:rsid w:val="00993A98"/>
    <w:rsid w:val="00993C8D"/>
    <w:rsid w:val="00994868"/>
    <w:rsid w:val="00995115"/>
    <w:rsid w:val="00995170"/>
    <w:rsid w:val="00995BE0"/>
    <w:rsid w:val="009A12F3"/>
    <w:rsid w:val="009A2303"/>
    <w:rsid w:val="009A3D51"/>
    <w:rsid w:val="009A5729"/>
    <w:rsid w:val="009A6C43"/>
    <w:rsid w:val="009A73A2"/>
    <w:rsid w:val="009B0A67"/>
    <w:rsid w:val="009B1212"/>
    <w:rsid w:val="009B13A4"/>
    <w:rsid w:val="009B2848"/>
    <w:rsid w:val="009B332C"/>
    <w:rsid w:val="009B396C"/>
    <w:rsid w:val="009B4496"/>
    <w:rsid w:val="009B666B"/>
    <w:rsid w:val="009C0708"/>
    <w:rsid w:val="009C0890"/>
    <w:rsid w:val="009C0AD2"/>
    <w:rsid w:val="009C2F1B"/>
    <w:rsid w:val="009C3F94"/>
    <w:rsid w:val="009C465F"/>
    <w:rsid w:val="009C4E9B"/>
    <w:rsid w:val="009C51DC"/>
    <w:rsid w:val="009C5334"/>
    <w:rsid w:val="009C555E"/>
    <w:rsid w:val="009C7372"/>
    <w:rsid w:val="009C78AD"/>
    <w:rsid w:val="009D180B"/>
    <w:rsid w:val="009D19D0"/>
    <w:rsid w:val="009D2ACC"/>
    <w:rsid w:val="009D2E0F"/>
    <w:rsid w:val="009D2E41"/>
    <w:rsid w:val="009D33E7"/>
    <w:rsid w:val="009D38C8"/>
    <w:rsid w:val="009D3DAE"/>
    <w:rsid w:val="009D3E7D"/>
    <w:rsid w:val="009D5922"/>
    <w:rsid w:val="009D595E"/>
    <w:rsid w:val="009D59B9"/>
    <w:rsid w:val="009D5B36"/>
    <w:rsid w:val="009D626C"/>
    <w:rsid w:val="009D6EF2"/>
    <w:rsid w:val="009D7113"/>
    <w:rsid w:val="009D7B38"/>
    <w:rsid w:val="009E0A31"/>
    <w:rsid w:val="009E1728"/>
    <w:rsid w:val="009E2369"/>
    <w:rsid w:val="009E2763"/>
    <w:rsid w:val="009E2BEA"/>
    <w:rsid w:val="009E4336"/>
    <w:rsid w:val="009E59DA"/>
    <w:rsid w:val="009E5F35"/>
    <w:rsid w:val="009E6378"/>
    <w:rsid w:val="009E69F0"/>
    <w:rsid w:val="009F0BFB"/>
    <w:rsid w:val="009F2A0F"/>
    <w:rsid w:val="009F2F05"/>
    <w:rsid w:val="009F36F0"/>
    <w:rsid w:val="009F37D2"/>
    <w:rsid w:val="009F3C68"/>
    <w:rsid w:val="009F5263"/>
    <w:rsid w:val="009F5A50"/>
    <w:rsid w:val="009F5B31"/>
    <w:rsid w:val="009F5C70"/>
    <w:rsid w:val="009F5F91"/>
    <w:rsid w:val="009F66D0"/>
    <w:rsid w:val="009F6B1B"/>
    <w:rsid w:val="009F7F82"/>
    <w:rsid w:val="00A001C7"/>
    <w:rsid w:val="00A00455"/>
    <w:rsid w:val="00A0058C"/>
    <w:rsid w:val="00A007E9"/>
    <w:rsid w:val="00A01E1B"/>
    <w:rsid w:val="00A02575"/>
    <w:rsid w:val="00A02693"/>
    <w:rsid w:val="00A026CF"/>
    <w:rsid w:val="00A02742"/>
    <w:rsid w:val="00A03852"/>
    <w:rsid w:val="00A04242"/>
    <w:rsid w:val="00A04E94"/>
    <w:rsid w:val="00A067A9"/>
    <w:rsid w:val="00A06ACF"/>
    <w:rsid w:val="00A07C9C"/>
    <w:rsid w:val="00A122C7"/>
    <w:rsid w:val="00A1252D"/>
    <w:rsid w:val="00A13FFD"/>
    <w:rsid w:val="00A14A19"/>
    <w:rsid w:val="00A14C7E"/>
    <w:rsid w:val="00A15C60"/>
    <w:rsid w:val="00A20199"/>
    <w:rsid w:val="00A217DB"/>
    <w:rsid w:val="00A21B8A"/>
    <w:rsid w:val="00A23111"/>
    <w:rsid w:val="00A241DF"/>
    <w:rsid w:val="00A25206"/>
    <w:rsid w:val="00A26493"/>
    <w:rsid w:val="00A3155B"/>
    <w:rsid w:val="00A315EB"/>
    <w:rsid w:val="00A32993"/>
    <w:rsid w:val="00A32A36"/>
    <w:rsid w:val="00A32D2F"/>
    <w:rsid w:val="00A35C72"/>
    <w:rsid w:val="00A3643C"/>
    <w:rsid w:val="00A4007A"/>
    <w:rsid w:val="00A408B7"/>
    <w:rsid w:val="00A40E47"/>
    <w:rsid w:val="00A41015"/>
    <w:rsid w:val="00A43438"/>
    <w:rsid w:val="00A4359F"/>
    <w:rsid w:val="00A444F0"/>
    <w:rsid w:val="00A44B61"/>
    <w:rsid w:val="00A45302"/>
    <w:rsid w:val="00A453A1"/>
    <w:rsid w:val="00A453CB"/>
    <w:rsid w:val="00A46FA7"/>
    <w:rsid w:val="00A47968"/>
    <w:rsid w:val="00A47D77"/>
    <w:rsid w:val="00A512CC"/>
    <w:rsid w:val="00A521A2"/>
    <w:rsid w:val="00A52872"/>
    <w:rsid w:val="00A54FAC"/>
    <w:rsid w:val="00A555D9"/>
    <w:rsid w:val="00A557F9"/>
    <w:rsid w:val="00A55C4E"/>
    <w:rsid w:val="00A56203"/>
    <w:rsid w:val="00A563BE"/>
    <w:rsid w:val="00A5690C"/>
    <w:rsid w:val="00A5695B"/>
    <w:rsid w:val="00A5785C"/>
    <w:rsid w:val="00A6023A"/>
    <w:rsid w:val="00A60E2A"/>
    <w:rsid w:val="00A6106F"/>
    <w:rsid w:val="00A617B1"/>
    <w:rsid w:val="00A63668"/>
    <w:rsid w:val="00A638CB"/>
    <w:rsid w:val="00A64467"/>
    <w:rsid w:val="00A649E3"/>
    <w:rsid w:val="00A65848"/>
    <w:rsid w:val="00A66446"/>
    <w:rsid w:val="00A674D9"/>
    <w:rsid w:val="00A67BBD"/>
    <w:rsid w:val="00A67C45"/>
    <w:rsid w:val="00A7019A"/>
    <w:rsid w:val="00A701C7"/>
    <w:rsid w:val="00A70C35"/>
    <w:rsid w:val="00A71938"/>
    <w:rsid w:val="00A71FA4"/>
    <w:rsid w:val="00A734D8"/>
    <w:rsid w:val="00A73C9A"/>
    <w:rsid w:val="00A7424E"/>
    <w:rsid w:val="00A74348"/>
    <w:rsid w:val="00A748EC"/>
    <w:rsid w:val="00A749D3"/>
    <w:rsid w:val="00A74D9F"/>
    <w:rsid w:val="00A7700A"/>
    <w:rsid w:val="00A77354"/>
    <w:rsid w:val="00A7743E"/>
    <w:rsid w:val="00A81B71"/>
    <w:rsid w:val="00A83646"/>
    <w:rsid w:val="00A84DA6"/>
    <w:rsid w:val="00A85691"/>
    <w:rsid w:val="00A85FA0"/>
    <w:rsid w:val="00A86E38"/>
    <w:rsid w:val="00A87601"/>
    <w:rsid w:val="00A877C3"/>
    <w:rsid w:val="00A87B98"/>
    <w:rsid w:val="00A904CC"/>
    <w:rsid w:val="00A905F8"/>
    <w:rsid w:val="00A923BD"/>
    <w:rsid w:val="00A95275"/>
    <w:rsid w:val="00A952D4"/>
    <w:rsid w:val="00A96E93"/>
    <w:rsid w:val="00A97787"/>
    <w:rsid w:val="00A97F94"/>
    <w:rsid w:val="00AA0D27"/>
    <w:rsid w:val="00AA0E1E"/>
    <w:rsid w:val="00AA0F58"/>
    <w:rsid w:val="00AA1B5D"/>
    <w:rsid w:val="00AA23CE"/>
    <w:rsid w:val="00AA24AC"/>
    <w:rsid w:val="00AA2DA7"/>
    <w:rsid w:val="00AA35E6"/>
    <w:rsid w:val="00AA3E1C"/>
    <w:rsid w:val="00AA447A"/>
    <w:rsid w:val="00AA4CF2"/>
    <w:rsid w:val="00AA5050"/>
    <w:rsid w:val="00AA6595"/>
    <w:rsid w:val="00AA6CF1"/>
    <w:rsid w:val="00AA7384"/>
    <w:rsid w:val="00AB0581"/>
    <w:rsid w:val="00AB0910"/>
    <w:rsid w:val="00AB1448"/>
    <w:rsid w:val="00AB314E"/>
    <w:rsid w:val="00AB3A79"/>
    <w:rsid w:val="00AB48C6"/>
    <w:rsid w:val="00AB550A"/>
    <w:rsid w:val="00AB58B1"/>
    <w:rsid w:val="00AB6D4F"/>
    <w:rsid w:val="00AB710D"/>
    <w:rsid w:val="00AB7198"/>
    <w:rsid w:val="00AC02C4"/>
    <w:rsid w:val="00AC0A2F"/>
    <w:rsid w:val="00AC1242"/>
    <w:rsid w:val="00AC2D1C"/>
    <w:rsid w:val="00AC2DAC"/>
    <w:rsid w:val="00AC30CA"/>
    <w:rsid w:val="00AC39A7"/>
    <w:rsid w:val="00AC3A29"/>
    <w:rsid w:val="00AC4225"/>
    <w:rsid w:val="00AC67F3"/>
    <w:rsid w:val="00AC7110"/>
    <w:rsid w:val="00AD11B5"/>
    <w:rsid w:val="00AD11B7"/>
    <w:rsid w:val="00AD12D8"/>
    <w:rsid w:val="00AD2CFA"/>
    <w:rsid w:val="00AD3317"/>
    <w:rsid w:val="00AD331A"/>
    <w:rsid w:val="00AD4C4F"/>
    <w:rsid w:val="00AD4CF6"/>
    <w:rsid w:val="00AD5022"/>
    <w:rsid w:val="00AD5FA9"/>
    <w:rsid w:val="00AD6471"/>
    <w:rsid w:val="00AD7F1E"/>
    <w:rsid w:val="00AE01C6"/>
    <w:rsid w:val="00AE01DA"/>
    <w:rsid w:val="00AE16A9"/>
    <w:rsid w:val="00AE1F95"/>
    <w:rsid w:val="00AE53DF"/>
    <w:rsid w:val="00AE56A9"/>
    <w:rsid w:val="00AE6B8C"/>
    <w:rsid w:val="00AE7D26"/>
    <w:rsid w:val="00AF0FB4"/>
    <w:rsid w:val="00AF13D1"/>
    <w:rsid w:val="00AF2644"/>
    <w:rsid w:val="00AF2886"/>
    <w:rsid w:val="00AF2EFC"/>
    <w:rsid w:val="00AF3310"/>
    <w:rsid w:val="00AF3F83"/>
    <w:rsid w:val="00AF4EC6"/>
    <w:rsid w:val="00AF626D"/>
    <w:rsid w:val="00AF6424"/>
    <w:rsid w:val="00AF72F7"/>
    <w:rsid w:val="00AF7659"/>
    <w:rsid w:val="00B01203"/>
    <w:rsid w:val="00B01544"/>
    <w:rsid w:val="00B015F1"/>
    <w:rsid w:val="00B042EE"/>
    <w:rsid w:val="00B0459D"/>
    <w:rsid w:val="00B04875"/>
    <w:rsid w:val="00B06535"/>
    <w:rsid w:val="00B065B6"/>
    <w:rsid w:val="00B065F9"/>
    <w:rsid w:val="00B06C86"/>
    <w:rsid w:val="00B071EF"/>
    <w:rsid w:val="00B0729C"/>
    <w:rsid w:val="00B07CB3"/>
    <w:rsid w:val="00B10D4B"/>
    <w:rsid w:val="00B10E38"/>
    <w:rsid w:val="00B1268B"/>
    <w:rsid w:val="00B13CCA"/>
    <w:rsid w:val="00B149C8"/>
    <w:rsid w:val="00B14C86"/>
    <w:rsid w:val="00B14D26"/>
    <w:rsid w:val="00B14E68"/>
    <w:rsid w:val="00B14E6D"/>
    <w:rsid w:val="00B174BA"/>
    <w:rsid w:val="00B175BF"/>
    <w:rsid w:val="00B17656"/>
    <w:rsid w:val="00B176B0"/>
    <w:rsid w:val="00B17720"/>
    <w:rsid w:val="00B2102E"/>
    <w:rsid w:val="00B224C5"/>
    <w:rsid w:val="00B228E2"/>
    <w:rsid w:val="00B23FCD"/>
    <w:rsid w:val="00B24C1B"/>
    <w:rsid w:val="00B25099"/>
    <w:rsid w:val="00B2586A"/>
    <w:rsid w:val="00B25BD5"/>
    <w:rsid w:val="00B25BF5"/>
    <w:rsid w:val="00B26D17"/>
    <w:rsid w:val="00B32AF5"/>
    <w:rsid w:val="00B3318C"/>
    <w:rsid w:val="00B34C58"/>
    <w:rsid w:val="00B356C3"/>
    <w:rsid w:val="00B36533"/>
    <w:rsid w:val="00B37A8B"/>
    <w:rsid w:val="00B4248D"/>
    <w:rsid w:val="00B424A0"/>
    <w:rsid w:val="00B42B79"/>
    <w:rsid w:val="00B432E2"/>
    <w:rsid w:val="00B45AB3"/>
    <w:rsid w:val="00B45CB2"/>
    <w:rsid w:val="00B46762"/>
    <w:rsid w:val="00B47FD0"/>
    <w:rsid w:val="00B500B9"/>
    <w:rsid w:val="00B51061"/>
    <w:rsid w:val="00B51BC6"/>
    <w:rsid w:val="00B51BEC"/>
    <w:rsid w:val="00B52A5C"/>
    <w:rsid w:val="00B52B4A"/>
    <w:rsid w:val="00B52FCF"/>
    <w:rsid w:val="00B53404"/>
    <w:rsid w:val="00B545DC"/>
    <w:rsid w:val="00B54D7F"/>
    <w:rsid w:val="00B55B99"/>
    <w:rsid w:val="00B55ED8"/>
    <w:rsid w:val="00B5603A"/>
    <w:rsid w:val="00B57A80"/>
    <w:rsid w:val="00B57B54"/>
    <w:rsid w:val="00B60C57"/>
    <w:rsid w:val="00B61B39"/>
    <w:rsid w:val="00B64424"/>
    <w:rsid w:val="00B64475"/>
    <w:rsid w:val="00B64807"/>
    <w:rsid w:val="00B64DA3"/>
    <w:rsid w:val="00B64FA6"/>
    <w:rsid w:val="00B65088"/>
    <w:rsid w:val="00B65129"/>
    <w:rsid w:val="00B6641B"/>
    <w:rsid w:val="00B667B7"/>
    <w:rsid w:val="00B678DA"/>
    <w:rsid w:val="00B67AD8"/>
    <w:rsid w:val="00B67AEF"/>
    <w:rsid w:val="00B70AEA"/>
    <w:rsid w:val="00B71259"/>
    <w:rsid w:val="00B71595"/>
    <w:rsid w:val="00B71651"/>
    <w:rsid w:val="00B725C4"/>
    <w:rsid w:val="00B725FB"/>
    <w:rsid w:val="00B735AC"/>
    <w:rsid w:val="00B7370B"/>
    <w:rsid w:val="00B745D1"/>
    <w:rsid w:val="00B7557E"/>
    <w:rsid w:val="00B7601C"/>
    <w:rsid w:val="00B771FE"/>
    <w:rsid w:val="00B7732A"/>
    <w:rsid w:val="00B773B7"/>
    <w:rsid w:val="00B778B9"/>
    <w:rsid w:val="00B77FAB"/>
    <w:rsid w:val="00B80C86"/>
    <w:rsid w:val="00B82FC4"/>
    <w:rsid w:val="00B83366"/>
    <w:rsid w:val="00B84A31"/>
    <w:rsid w:val="00B8724F"/>
    <w:rsid w:val="00B901A6"/>
    <w:rsid w:val="00B904A0"/>
    <w:rsid w:val="00B90A15"/>
    <w:rsid w:val="00B91ACC"/>
    <w:rsid w:val="00B91F71"/>
    <w:rsid w:val="00B9236A"/>
    <w:rsid w:val="00B92BD6"/>
    <w:rsid w:val="00B92EAC"/>
    <w:rsid w:val="00B93088"/>
    <w:rsid w:val="00B93230"/>
    <w:rsid w:val="00B93639"/>
    <w:rsid w:val="00B93FD9"/>
    <w:rsid w:val="00B94C46"/>
    <w:rsid w:val="00B95E39"/>
    <w:rsid w:val="00B96AD7"/>
    <w:rsid w:val="00B96BB2"/>
    <w:rsid w:val="00B973DD"/>
    <w:rsid w:val="00BA0558"/>
    <w:rsid w:val="00BA07BC"/>
    <w:rsid w:val="00BA10B1"/>
    <w:rsid w:val="00BA1CD6"/>
    <w:rsid w:val="00BA1F8E"/>
    <w:rsid w:val="00BA24C5"/>
    <w:rsid w:val="00BA34F5"/>
    <w:rsid w:val="00BA5550"/>
    <w:rsid w:val="00BA5A09"/>
    <w:rsid w:val="00BA70F1"/>
    <w:rsid w:val="00BB04EC"/>
    <w:rsid w:val="00BB10FA"/>
    <w:rsid w:val="00BB1CFD"/>
    <w:rsid w:val="00BB1E5E"/>
    <w:rsid w:val="00BB26D8"/>
    <w:rsid w:val="00BB2B17"/>
    <w:rsid w:val="00BB333D"/>
    <w:rsid w:val="00BB3AB8"/>
    <w:rsid w:val="00BB4962"/>
    <w:rsid w:val="00BB54E1"/>
    <w:rsid w:val="00BB63A6"/>
    <w:rsid w:val="00BB63EA"/>
    <w:rsid w:val="00BB7BDD"/>
    <w:rsid w:val="00BB7E82"/>
    <w:rsid w:val="00BC0060"/>
    <w:rsid w:val="00BC1772"/>
    <w:rsid w:val="00BC188C"/>
    <w:rsid w:val="00BC2FEA"/>
    <w:rsid w:val="00BC479A"/>
    <w:rsid w:val="00BC52FB"/>
    <w:rsid w:val="00BC53BA"/>
    <w:rsid w:val="00BC579D"/>
    <w:rsid w:val="00BC69C9"/>
    <w:rsid w:val="00BC7B36"/>
    <w:rsid w:val="00BC7DB4"/>
    <w:rsid w:val="00BD0C21"/>
    <w:rsid w:val="00BD11DA"/>
    <w:rsid w:val="00BD1604"/>
    <w:rsid w:val="00BD2024"/>
    <w:rsid w:val="00BD225A"/>
    <w:rsid w:val="00BD259E"/>
    <w:rsid w:val="00BD5DF2"/>
    <w:rsid w:val="00BD7587"/>
    <w:rsid w:val="00BE0925"/>
    <w:rsid w:val="00BE0D0E"/>
    <w:rsid w:val="00BE0DDA"/>
    <w:rsid w:val="00BE13D3"/>
    <w:rsid w:val="00BE1601"/>
    <w:rsid w:val="00BE193D"/>
    <w:rsid w:val="00BE1B7D"/>
    <w:rsid w:val="00BE295D"/>
    <w:rsid w:val="00BE3877"/>
    <w:rsid w:val="00BE4090"/>
    <w:rsid w:val="00BF1611"/>
    <w:rsid w:val="00BF2D66"/>
    <w:rsid w:val="00BF6F6A"/>
    <w:rsid w:val="00BF7A65"/>
    <w:rsid w:val="00BF7D1B"/>
    <w:rsid w:val="00BF7E79"/>
    <w:rsid w:val="00C01097"/>
    <w:rsid w:val="00C01867"/>
    <w:rsid w:val="00C03DA6"/>
    <w:rsid w:val="00C0517E"/>
    <w:rsid w:val="00C07080"/>
    <w:rsid w:val="00C07FC0"/>
    <w:rsid w:val="00C110C3"/>
    <w:rsid w:val="00C11935"/>
    <w:rsid w:val="00C1254F"/>
    <w:rsid w:val="00C12615"/>
    <w:rsid w:val="00C128E5"/>
    <w:rsid w:val="00C13BDB"/>
    <w:rsid w:val="00C15A63"/>
    <w:rsid w:val="00C15EE7"/>
    <w:rsid w:val="00C16717"/>
    <w:rsid w:val="00C173CB"/>
    <w:rsid w:val="00C204E3"/>
    <w:rsid w:val="00C229A4"/>
    <w:rsid w:val="00C23F86"/>
    <w:rsid w:val="00C26487"/>
    <w:rsid w:val="00C26C35"/>
    <w:rsid w:val="00C27AE8"/>
    <w:rsid w:val="00C30E74"/>
    <w:rsid w:val="00C32F95"/>
    <w:rsid w:val="00C33345"/>
    <w:rsid w:val="00C346E9"/>
    <w:rsid w:val="00C348F4"/>
    <w:rsid w:val="00C35639"/>
    <w:rsid w:val="00C3592B"/>
    <w:rsid w:val="00C35AB7"/>
    <w:rsid w:val="00C35AC7"/>
    <w:rsid w:val="00C36C35"/>
    <w:rsid w:val="00C36EBE"/>
    <w:rsid w:val="00C37568"/>
    <w:rsid w:val="00C41618"/>
    <w:rsid w:val="00C41966"/>
    <w:rsid w:val="00C41B26"/>
    <w:rsid w:val="00C42050"/>
    <w:rsid w:val="00C42B44"/>
    <w:rsid w:val="00C434EF"/>
    <w:rsid w:val="00C44C55"/>
    <w:rsid w:val="00C44ECA"/>
    <w:rsid w:val="00C45016"/>
    <w:rsid w:val="00C45C3A"/>
    <w:rsid w:val="00C47AFD"/>
    <w:rsid w:val="00C47DAD"/>
    <w:rsid w:val="00C5025E"/>
    <w:rsid w:val="00C502D1"/>
    <w:rsid w:val="00C504C1"/>
    <w:rsid w:val="00C52894"/>
    <w:rsid w:val="00C5366C"/>
    <w:rsid w:val="00C53EBF"/>
    <w:rsid w:val="00C54866"/>
    <w:rsid w:val="00C54D37"/>
    <w:rsid w:val="00C551BE"/>
    <w:rsid w:val="00C5531D"/>
    <w:rsid w:val="00C55C7F"/>
    <w:rsid w:val="00C55FCD"/>
    <w:rsid w:val="00C570A6"/>
    <w:rsid w:val="00C571A6"/>
    <w:rsid w:val="00C57569"/>
    <w:rsid w:val="00C600A1"/>
    <w:rsid w:val="00C60222"/>
    <w:rsid w:val="00C61E63"/>
    <w:rsid w:val="00C625A5"/>
    <w:rsid w:val="00C62D2B"/>
    <w:rsid w:val="00C63012"/>
    <w:rsid w:val="00C63266"/>
    <w:rsid w:val="00C636C9"/>
    <w:rsid w:val="00C6389A"/>
    <w:rsid w:val="00C63BEB"/>
    <w:rsid w:val="00C63DBE"/>
    <w:rsid w:val="00C658E3"/>
    <w:rsid w:val="00C66149"/>
    <w:rsid w:val="00C66D97"/>
    <w:rsid w:val="00C71149"/>
    <w:rsid w:val="00C734B5"/>
    <w:rsid w:val="00C73970"/>
    <w:rsid w:val="00C73EC3"/>
    <w:rsid w:val="00C75AC6"/>
    <w:rsid w:val="00C7610A"/>
    <w:rsid w:val="00C761BA"/>
    <w:rsid w:val="00C767DE"/>
    <w:rsid w:val="00C769FC"/>
    <w:rsid w:val="00C77190"/>
    <w:rsid w:val="00C77822"/>
    <w:rsid w:val="00C77E5B"/>
    <w:rsid w:val="00C80011"/>
    <w:rsid w:val="00C80566"/>
    <w:rsid w:val="00C80574"/>
    <w:rsid w:val="00C814FD"/>
    <w:rsid w:val="00C81EAF"/>
    <w:rsid w:val="00C82112"/>
    <w:rsid w:val="00C8302C"/>
    <w:rsid w:val="00C86305"/>
    <w:rsid w:val="00C86910"/>
    <w:rsid w:val="00C869BA"/>
    <w:rsid w:val="00C8754C"/>
    <w:rsid w:val="00C87824"/>
    <w:rsid w:val="00C90096"/>
    <w:rsid w:val="00C904A1"/>
    <w:rsid w:val="00C9084C"/>
    <w:rsid w:val="00C91756"/>
    <w:rsid w:val="00C923D3"/>
    <w:rsid w:val="00C92582"/>
    <w:rsid w:val="00C92D38"/>
    <w:rsid w:val="00C932E9"/>
    <w:rsid w:val="00C94F76"/>
    <w:rsid w:val="00C958B6"/>
    <w:rsid w:val="00C9650E"/>
    <w:rsid w:val="00C96FF7"/>
    <w:rsid w:val="00C97636"/>
    <w:rsid w:val="00C97A61"/>
    <w:rsid w:val="00C97EED"/>
    <w:rsid w:val="00CA16AF"/>
    <w:rsid w:val="00CA20EA"/>
    <w:rsid w:val="00CA30A1"/>
    <w:rsid w:val="00CA427B"/>
    <w:rsid w:val="00CA522F"/>
    <w:rsid w:val="00CA6287"/>
    <w:rsid w:val="00CA74CA"/>
    <w:rsid w:val="00CB0867"/>
    <w:rsid w:val="00CB1229"/>
    <w:rsid w:val="00CB16CF"/>
    <w:rsid w:val="00CB1CCD"/>
    <w:rsid w:val="00CB1D4D"/>
    <w:rsid w:val="00CB3CF1"/>
    <w:rsid w:val="00CB3F53"/>
    <w:rsid w:val="00CB6702"/>
    <w:rsid w:val="00CB701C"/>
    <w:rsid w:val="00CB752F"/>
    <w:rsid w:val="00CC0AE0"/>
    <w:rsid w:val="00CC0B08"/>
    <w:rsid w:val="00CC0B9B"/>
    <w:rsid w:val="00CC29A6"/>
    <w:rsid w:val="00CC37D9"/>
    <w:rsid w:val="00CC3B5E"/>
    <w:rsid w:val="00CC4012"/>
    <w:rsid w:val="00CC4BC8"/>
    <w:rsid w:val="00CC5170"/>
    <w:rsid w:val="00CC51F8"/>
    <w:rsid w:val="00CC5268"/>
    <w:rsid w:val="00CC5689"/>
    <w:rsid w:val="00CC61F7"/>
    <w:rsid w:val="00CC64C1"/>
    <w:rsid w:val="00CC65CC"/>
    <w:rsid w:val="00CC6AA8"/>
    <w:rsid w:val="00CC7817"/>
    <w:rsid w:val="00CD1074"/>
    <w:rsid w:val="00CD1B76"/>
    <w:rsid w:val="00CD37E2"/>
    <w:rsid w:val="00CD4CF4"/>
    <w:rsid w:val="00CD6514"/>
    <w:rsid w:val="00CD65EC"/>
    <w:rsid w:val="00CD7806"/>
    <w:rsid w:val="00CE0AC3"/>
    <w:rsid w:val="00CE1B0B"/>
    <w:rsid w:val="00CE1E3A"/>
    <w:rsid w:val="00CE237F"/>
    <w:rsid w:val="00CE3CBB"/>
    <w:rsid w:val="00CE4392"/>
    <w:rsid w:val="00CE4485"/>
    <w:rsid w:val="00CE56D5"/>
    <w:rsid w:val="00CE600B"/>
    <w:rsid w:val="00CE64F5"/>
    <w:rsid w:val="00CE65B1"/>
    <w:rsid w:val="00CE6A6F"/>
    <w:rsid w:val="00CE712B"/>
    <w:rsid w:val="00CF28B7"/>
    <w:rsid w:val="00CF50C7"/>
    <w:rsid w:val="00CF5D0E"/>
    <w:rsid w:val="00CF602A"/>
    <w:rsid w:val="00CF6245"/>
    <w:rsid w:val="00CF65AB"/>
    <w:rsid w:val="00CF693C"/>
    <w:rsid w:val="00CF7295"/>
    <w:rsid w:val="00CF7F17"/>
    <w:rsid w:val="00D01560"/>
    <w:rsid w:val="00D018E9"/>
    <w:rsid w:val="00D01D9C"/>
    <w:rsid w:val="00D01F92"/>
    <w:rsid w:val="00D027AF"/>
    <w:rsid w:val="00D02E6F"/>
    <w:rsid w:val="00D06432"/>
    <w:rsid w:val="00D0644B"/>
    <w:rsid w:val="00D071DE"/>
    <w:rsid w:val="00D07B25"/>
    <w:rsid w:val="00D07B79"/>
    <w:rsid w:val="00D07F58"/>
    <w:rsid w:val="00D07FC0"/>
    <w:rsid w:val="00D105CB"/>
    <w:rsid w:val="00D1088B"/>
    <w:rsid w:val="00D116E7"/>
    <w:rsid w:val="00D11EFC"/>
    <w:rsid w:val="00D1222F"/>
    <w:rsid w:val="00D1238D"/>
    <w:rsid w:val="00D134CB"/>
    <w:rsid w:val="00D1378A"/>
    <w:rsid w:val="00D1395B"/>
    <w:rsid w:val="00D13BB2"/>
    <w:rsid w:val="00D14D87"/>
    <w:rsid w:val="00D15355"/>
    <w:rsid w:val="00D1660E"/>
    <w:rsid w:val="00D16E84"/>
    <w:rsid w:val="00D17FB9"/>
    <w:rsid w:val="00D20616"/>
    <w:rsid w:val="00D217B3"/>
    <w:rsid w:val="00D226B7"/>
    <w:rsid w:val="00D22D5D"/>
    <w:rsid w:val="00D244FE"/>
    <w:rsid w:val="00D25ED2"/>
    <w:rsid w:val="00D25F8A"/>
    <w:rsid w:val="00D2679A"/>
    <w:rsid w:val="00D26D3E"/>
    <w:rsid w:val="00D26E9A"/>
    <w:rsid w:val="00D2755F"/>
    <w:rsid w:val="00D27628"/>
    <w:rsid w:val="00D2789A"/>
    <w:rsid w:val="00D27E95"/>
    <w:rsid w:val="00D30FE1"/>
    <w:rsid w:val="00D31016"/>
    <w:rsid w:val="00D31C79"/>
    <w:rsid w:val="00D320B4"/>
    <w:rsid w:val="00D32BBE"/>
    <w:rsid w:val="00D3350A"/>
    <w:rsid w:val="00D33C43"/>
    <w:rsid w:val="00D33D36"/>
    <w:rsid w:val="00D3435D"/>
    <w:rsid w:val="00D344E8"/>
    <w:rsid w:val="00D345F6"/>
    <w:rsid w:val="00D36E91"/>
    <w:rsid w:val="00D41C81"/>
    <w:rsid w:val="00D42EFD"/>
    <w:rsid w:val="00D433EF"/>
    <w:rsid w:val="00D43F20"/>
    <w:rsid w:val="00D44253"/>
    <w:rsid w:val="00D44350"/>
    <w:rsid w:val="00D444CF"/>
    <w:rsid w:val="00D44C35"/>
    <w:rsid w:val="00D44D6D"/>
    <w:rsid w:val="00D46E6E"/>
    <w:rsid w:val="00D470C0"/>
    <w:rsid w:val="00D4768C"/>
    <w:rsid w:val="00D4779B"/>
    <w:rsid w:val="00D510F1"/>
    <w:rsid w:val="00D5117D"/>
    <w:rsid w:val="00D51951"/>
    <w:rsid w:val="00D51B91"/>
    <w:rsid w:val="00D51E50"/>
    <w:rsid w:val="00D52812"/>
    <w:rsid w:val="00D52983"/>
    <w:rsid w:val="00D55AE6"/>
    <w:rsid w:val="00D55BDD"/>
    <w:rsid w:val="00D569AA"/>
    <w:rsid w:val="00D56C53"/>
    <w:rsid w:val="00D570DF"/>
    <w:rsid w:val="00D5725B"/>
    <w:rsid w:val="00D572AC"/>
    <w:rsid w:val="00D6062E"/>
    <w:rsid w:val="00D607CE"/>
    <w:rsid w:val="00D62EF9"/>
    <w:rsid w:val="00D63423"/>
    <w:rsid w:val="00D63677"/>
    <w:rsid w:val="00D63CC3"/>
    <w:rsid w:val="00D646A0"/>
    <w:rsid w:val="00D65BA8"/>
    <w:rsid w:val="00D65FDE"/>
    <w:rsid w:val="00D668E3"/>
    <w:rsid w:val="00D66FFD"/>
    <w:rsid w:val="00D67616"/>
    <w:rsid w:val="00D67C3F"/>
    <w:rsid w:val="00D709A9"/>
    <w:rsid w:val="00D71044"/>
    <w:rsid w:val="00D71A74"/>
    <w:rsid w:val="00D71FC0"/>
    <w:rsid w:val="00D727DE"/>
    <w:rsid w:val="00D72A8D"/>
    <w:rsid w:val="00D73BC6"/>
    <w:rsid w:val="00D73F64"/>
    <w:rsid w:val="00D7439F"/>
    <w:rsid w:val="00D74878"/>
    <w:rsid w:val="00D74E93"/>
    <w:rsid w:val="00D75C61"/>
    <w:rsid w:val="00D77297"/>
    <w:rsid w:val="00D77305"/>
    <w:rsid w:val="00D80E9A"/>
    <w:rsid w:val="00D819E7"/>
    <w:rsid w:val="00D81B09"/>
    <w:rsid w:val="00D82341"/>
    <w:rsid w:val="00D82909"/>
    <w:rsid w:val="00D82E8B"/>
    <w:rsid w:val="00D83247"/>
    <w:rsid w:val="00D8409C"/>
    <w:rsid w:val="00D84504"/>
    <w:rsid w:val="00D84CAA"/>
    <w:rsid w:val="00D856FB"/>
    <w:rsid w:val="00D87C23"/>
    <w:rsid w:val="00D90AF4"/>
    <w:rsid w:val="00D91610"/>
    <w:rsid w:val="00D924F5"/>
    <w:rsid w:val="00D9281D"/>
    <w:rsid w:val="00D93066"/>
    <w:rsid w:val="00D9310C"/>
    <w:rsid w:val="00D93C45"/>
    <w:rsid w:val="00D94AC9"/>
    <w:rsid w:val="00D94F4C"/>
    <w:rsid w:val="00D94F5A"/>
    <w:rsid w:val="00D95452"/>
    <w:rsid w:val="00D97A23"/>
    <w:rsid w:val="00DA0838"/>
    <w:rsid w:val="00DA09BC"/>
    <w:rsid w:val="00DA0F23"/>
    <w:rsid w:val="00DA15BB"/>
    <w:rsid w:val="00DA167B"/>
    <w:rsid w:val="00DA4B5F"/>
    <w:rsid w:val="00DA5008"/>
    <w:rsid w:val="00DA743B"/>
    <w:rsid w:val="00DA7CB1"/>
    <w:rsid w:val="00DA7E8C"/>
    <w:rsid w:val="00DB1BF9"/>
    <w:rsid w:val="00DB219E"/>
    <w:rsid w:val="00DB21BB"/>
    <w:rsid w:val="00DB4922"/>
    <w:rsid w:val="00DB49E2"/>
    <w:rsid w:val="00DB5920"/>
    <w:rsid w:val="00DB5DAD"/>
    <w:rsid w:val="00DB6D2F"/>
    <w:rsid w:val="00DB7646"/>
    <w:rsid w:val="00DC0EAA"/>
    <w:rsid w:val="00DC12B2"/>
    <w:rsid w:val="00DC1499"/>
    <w:rsid w:val="00DC1C36"/>
    <w:rsid w:val="00DC31CC"/>
    <w:rsid w:val="00DC43F6"/>
    <w:rsid w:val="00DC5FBB"/>
    <w:rsid w:val="00DC7246"/>
    <w:rsid w:val="00DC7527"/>
    <w:rsid w:val="00DC7DF4"/>
    <w:rsid w:val="00DD15F8"/>
    <w:rsid w:val="00DD1E8D"/>
    <w:rsid w:val="00DD1EEE"/>
    <w:rsid w:val="00DD2945"/>
    <w:rsid w:val="00DD2B51"/>
    <w:rsid w:val="00DD377B"/>
    <w:rsid w:val="00DD405A"/>
    <w:rsid w:val="00DD58F4"/>
    <w:rsid w:val="00DD5A5E"/>
    <w:rsid w:val="00DD5F05"/>
    <w:rsid w:val="00DD7C07"/>
    <w:rsid w:val="00DD7F99"/>
    <w:rsid w:val="00DE0266"/>
    <w:rsid w:val="00DE15B9"/>
    <w:rsid w:val="00DE309E"/>
    <w:rsid w:val="00DE32B2"/>
    <w:rsid w:val="00DE3300"/>
    <w:rsid w:val="00DE3951"/>
    <w:rsid w:val="00DE4328"/>
    <w:rsid w:val="00DE4C98"/>
    <w:rsid w:val="00DE54B6"/>
    <w:rsid w:val="00DE6F75"/>
    <w:rsid w:val="00DE7974"/>
    <w:rsid w:val="00DE7CD7"/>
    <w:rsid w:val="00DE7E7E"/>
    <w:rsid w:val="00DF02C9"/>
    <w:rsid w:val="00DF05A9"/>
    <w:rsid w:val="00DF0AC7"/>
    <w:rsid w:val="00DF0B18"/>
    <w:rsid w:val="00DF132E"/>
    <w:rsid w:val="00DF190B"/>
    <w:rsid w:val="00DF1A7A"/>
    <w:rsid w:val="00DF1FF6"/>
    <w:rsid w:val="00DF4A20"/>
    <w:rsid w:val="00DF4CAC"/>
    <w:rsid w:val="00DF7089"/>
    <w:rsid w:val="00DF7213"/>
    <w:rsid w:val="00DF7711"/>
    <w:rsid w:val="00E02C24"/>
    <w:rsid w:val="00E02C3E"/>
    <w:rsid w:val="00E02F00"/>
    <w:rsid w:val="00E03C57"/>
    <w:rsid w:val="00E03DD5"/>
    <w:rsid w:val="00E04334"/>
    <w:rsid w:val="00E04E36"/>
    <w:rsid w:val="00E06484"/>
    <w:rsid w:val="00E06514"/>
    <w:rsid w:val="00E06D64"/>
    <w:rsid w:val="00E06F80"/>
    <w:rsid w:val="00E074FF"/>
    <w:rsid w:val="00E10644"/>
    <w:rsid w:val="00E10C84"/>
    <w:rsid w:val="00E112DB"/>
    <w:rsid w:val="00E11BD9"/>
    <w:rsid w:val="00E11FB4"/>
    <w:rsid w:val="00E127F8"/>
    <w:rsid w:val="00E12D2C"/>
    <w:rsid w:val="00E12F02"/>
    <w:rsid w:val="00E13D3A"/>
    <w:rsid w:val="00E14124"/>
    <w:rsid w:val="00E1532A"/>
    <w:rsid w:val="00E169A2"/>
    <w:rsid w:val="00E16A7D"/>
    <w:rsid w:val="00E176C9"/>
    <w:rsid w:val="00E177D1"/>
    <w:rsid w:val="00E17B4F"/>
    <w:rsid w:val="00E17EDA"/>
    <w:rsid w:val="00E21187"/>
    <w:rsid w:val="00E212B0"/>
    <w:rsid w:val="00E214E8"/>
    <w:rsid w:val="00E229AA"/>
    <w:rsid w:val="00E22ACD"/>
    <w:rsid w:val="00E23227"/>
    <w:rsid w:val="00E23682"/>
    <w:rsid w:val="00E23EE1"/>
    <w:rsid w:val="00E245B8"/>
    <w:rsid w:val="00E251D9"/>
    <w:rsid w:val="00E255D6"/>
    <w:rsid w:val="00E258FE"/>
    <w:rsid w:val="00E25BD4"/>
    <w:rsid w:val="00E261DD"/>
    <w:rsid w:val="00E274EC"/>
    <w:rsid w:val="00E27F38"/>
    <w:rsid w:val="00E30F35"/>
    <w:rsid w:val="00E31013"/>
    <w:rsid w:val="00E31F9E"/>
    <w:rsid w:val="00E3311B"/>
    <w:rsid w:val="00E33901"/>
    <w:rsid w:val="00E33FE2"/>
    <w:rsid w:val="00E356C2"/>
    <w:rsid w:val="00E359D0"/>
    <w:rsid w:val="00E35FE7"/>
    <w:rsid w:val="00E37A01"/>
    <w:rsid w:val="00E415CC"/>
    <w:rsid w:val="00E425FC"/>
    <w:rsid w:val="00E42A37"/>
    <w:rsid w:val="00E43E1B"/>
    <w:rsid w:val="00E45AC1"/>
    <w:rsid w:val="00E46981"/>
    <w:rsid w:val="00E46AE7"/>
    <w:rsid w:val="00E46C0D"/>
    <w:rsid w:val="00E46FF0"/>
    <w:rsid w:val="00E5196A"/>
    <w:rsid w:val="00E5207F"/>
    <w:rsid w:val="00E52834"/>
    <w:rsid w:val="00E540A3"/>
    <w:rsid w:val="00E55123"/>
    <w:rsid w:val="00E55714"/>
    <w:rsid w:val="00E562E7"/>
    <w:rsid w:val="00E601FA"/>
    <w:rsid w:val="00E60D84"/>
    <w:rsid w:val="00E6103B"/>
    <w:rsid w:val="00E62865"/>
    <w:rsid w:val="00E6291B"/>
    <w:rsid w:val="00E63B48"/>
    <w:rsid w:val="00E64335"/>
    <w:rsid w:val="00E644C9"/>
    <w:rsid w:val="00E65782"/>
    <w:rsid w:val="00E66430"/>
    <w:rsid w:val="00E6661A"/>
    <w:rsid w:val="00E669E6"/>
    <w:rsid w:val="00E673EC"/>
    <w:rsid w:val="00E7037F"/>
    <w:rsid w:val="00E70D8E"/>
    <w:rsid w:val="00E715D0"/>
    <w:rsid w:val="00E72CAC"/>
    <w:rsid w:val="00E73456"/>
    <w:rsid w:val="00E749FD"/>
    <w:rsid w:val="00E75104"/>
    <w:rsid w:val="00E7563F"/>
    <w:rsid w:val="00E75817"/>
    <w:rsid w:val="00E7758D"/>
    <w:rsid w:val="00E777A7"/>
    <w:rsid w:val="00E810B4"/>
    <w:rsid w:val="00E81331"/>
    <w:rsid w:val="00E82B15"/>
    <w:rsid w:val="00E84ADA"/>
    <w:rsid w:val="00E85516"/>
    <w:rsid w:val="00E85563"/>
    <w:rsid w:val="00E8569C"/>
    <w:rsid w:val="00E8606A"/>
    <w:rsid w:val="00E868B1"/>
    <w:rsid w:val="00E86FCD"/>
    <w:rsid w:val="00E90EB4"/>
    <w:rsid w:val="00E90F80"/>
    <w:rsid w:val="00E94652"/>
    <w:rsid w:val="00E95222"/>
    <w:rsid w:val="00E9679E"/>
    <w:rsid w:val="00E97514"/>
    <w:rsid w:val="00E97A24"/>
    <w:rsid w:val="00E97F6C"/>
    <w:rsid w:val="00EA0DAA"/>
    <w:rsid w:val="00EA10C7"/>
    <w:rsid w:val="00EA1385"/>
    <w:rsid w:val="00EA169E"/>
    <w:rsid w:val="00EA1DC4"/>
    <w:rsid w:val="00EA3825"/>
    <w:rsid w:val="00EA3A91"/>
    <w:rsid w:val="00EA56C8"/>
    <w:rsid w:val="00EA6D04"/>
    <w:rsid w:val="00EA799F"/>
    <w:rsid w:val="00EB0280"/>
    <w:rsid w:val="00EB166A"/>
    <w:rsid w:val="00EB1720"/>
    <w:rsid w:val="00EB206C"/>
    <w:rsid w:val="00EB271E"/>
    <w:rsid w:val="00EB2950"/>
    <w:rsid w:val="00EB2C91"/>
    <w:rsid w:val="00EB3315"/>
    <w:rsid w:val="00EB426F"/>
    <w:rsid w:val="00EB4909"/>
    <w:rsid w:val="00EB5B8E"/>
    <w:rsid w:val="00EB5D13"/>
    <w:rsid w:val="00EB6958"/>
    <w:rsid w:val="00EB75A4"/>
    <w:rsid w:val="00EB7EEA"/>
    <w:rsid w:val="00EC010E"/>
    <w:rsid w:val="00EC04F1"/>
    <w:rsid w:val="00EC053F"/>
    <w:rsid w:val="00EC054F"/>
    <w:rsid w:val="00EC0692"/>
    <w:rsid w:val="00EC0AAB"/>
    <w:rsid w:val="00EC1AB6"/>
    <w:rsid w:val="00EC1E14"/>
    <w:rsid w:val="00EC3A48"/>
    <w:rsid w:val="00EC4D9D"/>
    <w:rsid w:val="00EC56DE"/>
    <w:rsid w:val="00EC597E"/>
    <w:rsid w:val="00ED01B0"/>
    <w:rsid w:val="00ED0913"/>
    <w:rsid w:val="00ED0C95"/>
    <w:rsid w:val="00ED0E25"/>
    <w:rsid w:val="00ED0F42"/>
    <w:rsid w:val="00ED1267"/>
    <w:rsid w:val="00ED1A2B"/>
    <w:rsid w:val="00ED2202"/>
    <w:rsid w:val="00ED31FC"/>
    <w:rsid w:val="00ED38CE"/>
    <w:rsid w:val="00ED39FB"/>
    <w:rsid w:val="00ED3C0E"/>
    <w:rsid w:val="00ED3CC6"/>
    <w:rsid w:val="00ED3F94"/>
    <w:rsid w:val="00ED49CE"/>
    <w:rsid w:val="00ED4CC8"/>
    <w:rsid w:val="00ED4E52"/>
    <w:rsid w:val="00ED56F5"/>
    <w:rsid w:val="00EE03EE"/>
    <w:rsid w:val="00EE064E"/>
    <w:rsid w:val="00EE1493"/>
    <w:rsid w:val="00EE17BE"/>
    <w:rsid w:val="00EE2A38"/>
    <w:rsid w:val="00EE4106"/>
    <w:rsid w:val="00EE7612"/>
    <w:rsid w:val="00EF0B58"/>
    <w:rsid w:val="00EF11E3"/>
    <w:rsid w:val="00EF1DB9"/>
    <w:rsid w:val="00EF1F4C"/>
    <w:rsid w:val="00EF2670"/>
    <w:rsid w:val="00EF2785"/>
    <w:rsid w:val="00EF284A"/>
    <w:rsid w:val="00EF2CB7"/>
    <w:rsid w:val="00EF2D36"/>
    <w:rsid w:val="00EF2F79"/>
    <w:rsid w:val="00EF3085"/>
    <w:rsid w:val="00EF4238"/>
    <w:rsid w:val="00EF5054"/>
    <w:rsid w:val="00EF7588"/>
    <w:rsid w:val="00EF79F9"/>
    <w:rsid w:val="00EF7A6C"/>
    <w:rsid w:val="00EF7A90"/>
    <w:rsid w:val="00F016E9"/>
    <w:rsid w:val="00F0177B"/>
    <w:rsid w:val="00F0185C"/>
    <w:rsid w:val="00F01B86"/>
    <w:rsid w:val="00F023D3"/>
    <w:rsid w:val="00F02481"/>
    <w:rsid w:val="00F02EEA"/>
    <w:rsid w:val="00F041F4"/>
    <w:rsid w:val="00F043DE"/>
    <w:rsid w:val="00F045A7"/>
    <w:rsid w:val="00F051A4"/>
    <w:rsid w:val="00F05B8C"/>
    <w:rsid w:val="00F05D2B"/>
    <w:rsid w:val="00F0629C"/>
    <w:rsid w:val="00F06393"/>
    <w:rsid w:val="00F06528"/>
    <w:rsid w:val="00F067DE"/>
    <w:rsid w:val="00F068D3"/>
    <w:rsid w:val="00F07234"/>
    <w:rsid w:val="00F07798"/>
    <w:rsid w:val="00F07DCD"/>
    <w:rsid w:val="00F11914"/>
    <w:rsid w:val="00F12BA6"/>
    <w:rsid w:val="00F13A54"/>
    <w:rsid w:val="00F140CF"/>
    <w:rsid w:val="00F14DC6"/>
    <w:rsid w:val="00F15A30"/>
    <w:rsid w:val="00F15AA2"/>
    <w:rsid w:val="00F16763"/>
    <w:rsid w:val="00F17DFE"/>
    <w:rsid w:val="00F22B0B"/>
    <w:rsid w:val="00F23487"/>
    <w:rsid w:val="00F2381B"/>
    <w:rsid w:val="00F23BA4"/>
    <w:rsid w:val="00F23E05"/>
    <w:rsid w:val="00F25BC2"/>
    <w:rsid w:val="00F26308"/>
    <w:rsid w:val="00F26388"/>
    <w:rsid w:val="00F30108"/>
    <w:rsid w:val="00F3089E"/>
    <w:rsid w:val="00F31403"/>
    <w:rsid w:val="00F31B3A"/>
    <w:rsid w:val="00F33F1D"/>
    <w:rsid w:val="00F34041"/>
    <w:rsid w:val="00F353A6"/>
    <w:rsid w:val="00F35DDD"/>
    <w:rsid w:val="00F36ACB"/>
    <w:rsid w:val="00F40FCB"/>
    <w:rsid w:val="00F422FB"/>
    <w:rsid w:val="00F42552"/>
    <w:rsid w:val="00F4285D"/>
    <w:rsid w:val="00F42951"/>
    <w:rsid w:val="00F42B78"/>
    <w:rsid w:val="00F43420"/>
    <w:rsid w:val="00F449FB"/>
    <w:rsid w:val="00F44FE3"/>
    <w:rsid w:val="00F450F4"/>
    <w:rsid w:val="00F465A9"/>
    <w:rsid w:val="00F4765A"/>
    <w:rsid w:val="00F517F6"/>
    <w:rsid w:val="00F5225E"/>
    <w:rsid w:val="00F5308C"/>
    <w:rsid w:val="00F537C8"/>
    <w:rsid w:val="00F53AA8"/>
    <w:rsid w:val="00F53BB1"/>
    <w:rsid w:val="00F544B6"/>
    <w:rsid w:val="00F55429"/>
    <w:rsid w:val="00F554E5"/>
    <w:rsid w:val="00F557A4"/>
    <w:rsid w:val="00F55FFB"/>
    <w:rsid w:val="00F56B59"/>
    <w:rsid w:val="00F56C8E"/>
    <w:rsid w:val="00F56E3C"/>
    <w:rsid w:val="00F5709B"/>
    <w:rsid w:val="00F57442"/>
    <w:rsid w:val="00F6113B"/>
    <w:rsid w:val="00F62592"/>
    <w:rsid w:val="00F639D9"/>
    <w:rsid w:val="00F6504A"/>
    <w:rsid w:val="00F6690C"/>
    <w:rsid w:val="00F66D9E"/>
    <w:rsid w:val="00F6786E"/>
    <w:rsid w:val="00F6788C"/>
    <w:rsid w:val="00F70986"/>
    <w:rsid w:val="00F70DAB"/>
    <w:rsid w:val="00F7257A"/>
    <w:rsid w:val="00F7317A"/>
    <w:rsid w:val="00F73928"/>
    <w:rsid w:val="00F73F95"/>
    <w:rsid w:val="00F7419F"/>
    <w:rsid w:val="00F747AA"/>
    <w:rsid w:val="00F74A90"/>
    <w:rsid w:val="00F74C45"/>
    <w:rsid w:val="00F75380"/>
    <w:rsid w:val="00F75E60"/>
    <w:rsid w:val="00F76374"/>
    <w:rsid w:val="00F76752"/>
    <w:rsid w:val="00F77E25"/>
    <w:rsid w:val="00F77FC4"/>
    <w:rsid w:val="00F81B8E"/>
    <w:rsid w:val="00F823B4"/>
    <w:rsid w:val="00F82402"/>
    <w:rsid w:val="00F8503E"/>
    <w:rsid w:val="00F85322"/>
    <w:rsid w:val="00F85BB5"/>
    <w:rsid w:val="00F8669A"/>
    <w:rsid w:val="00F87025"/>
    <w:rsid w:val="00F87AC1"/>
    <w:rsid w:val="00F91943"/>
    <w:rsid w:val="00F926CB"/>
    <w:rsid w:val="00F93D9E"/>
    <w:rsid w:val="00F94093"/>
    <w:rsid w:val="00F9501F"/>
    <w:rsid w:val="00F95027"/>
    <w:rsid w:val="00F952B0"/>
    <w:rsid w:val="00F95328"/>
    <w:rsid w:val="00F9587E"/>
    <w:rsid w:val="00F96DF4"/>
    <w:rsid w:val="00F96F1D"/>
    <w:rsid w:val="00FA1E57"/>
    <w:rsid w:val="00FA1EB8"/>
    <w:rsid w:val="00FA28A1"/>
    <w:rsid w:val="00FA3286"/>
    <w:rsid w:val="00FA4F07"/>
    <w:rsid w:val="00FA663A"/>
    <w:rsid w:val="00FA69DA"/>
    <w:rsid w:val="00FA6A2E"/>
    <w:rsid w:val="00FA6D8B"/>
    <w:rsid w:val="00FB186C"/>
    <w:rsid w:val="00FB1E97"/>
    <w:rsid w:val="00FB2B65"/>
    <w:rsid w:val="00FB3D3B"/>
    <w:rsid w:val="00FB4421"/>
    <w:rsid w:val="00FB4A29"/>
    <w:rsid w:val="00FB5943"/>
    <w:rsid w:val="00FB705C"/>
    <w:rsid w:val="00FC156E"/>
    <w:rsid w:val="00FC1765"/>
    <w:rsid w:val="00FC1930"/>
    <w:rsid w:val="00FC2202"/>
    <w:rsid w:val="00FC22E5"/>
    <w:rsid w:val="00FC3C6A"/>
    <w:rsid w:val="00FC4088"/>
    <w:rsid w:val="00FC43FC"/>
    <w:rsid w:val="00FC4F59"/>
    <w:rsid w:val="00FC72F9"/>
    <w:rsid w:val="00FC76DE"/>
    <w:rsid w:val="00FC79B9"/>
    <w:rsid w:val="00FD0E76"/>
    <w:rsid w:val="00FD2002"/>
    <w:rsid w:val="00FD2C95"/>
    <w:rsid w:val="00FD2FAD"/>
    <w:rsid w:val="00FD3FAF"/>
    <w:rsid w:val="00FD715C"/>
    <w:rsid w:val="00FE0060"/>
    <w:rsid w:val="00FE0603"/>
    <w:rsid w:val="00FE119B"/>
    <w:rsid w:val="00FE3513"/>
    <w:rsid w:val="00FE6574"/>
    <w:rsid w:val="00FE73AC"/>
    <w:rsid w:val="00FF15E1"/>
    <w:rsid w:val="00FF1DC2"/>
    <w:rsid w:val="00FF1F53"/>
    <w:rsid w:val="00FF207A"/>
    <w:rsid w:val="00FF25B7"/>
    <w:rsid w:val="00FF2975"/>
    <w:rsid w:val="00FF4604"/>
    <w:rsid w:val="00FF497C"/>
    <w:rsid w:val="00FF617C"/>
    <w:rsid w:val="00FF640B"/>
    <w:rsid w:val="00FF6DCA"/>
  </w:rsids>
  <m:mathPr>
    <m:mathFont m:val="Cambria Math"/>
    <m:brkBin m:val="before"/>
    <m:brkBinSub m:val="--"/>
    <m:smallFrac m:val="off"/>
    <m:dispDef/>
    <m:lMargin m:val="0"/>
    <m:rMargin m:val="0"/>
    <m:defJc m:val="centerGroup"/>
    <m:wrapIndent m:val="1440"/>
    <m:intLim m:val="subSup"/>
    <m:naryLim m:val="undOvr"/>
  </m:mathPr>
  <w:attachedSchema w:val="schemas-tilde-lv/tildestengine"/>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middle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030"/>
        <o:r id="V:Rule2" type="connector" idref="#_x0000_s1031"/>
        <o:r id="V:Rule3" type="connector" idref="#_x0000_s1032"/>
        <o:r id="V:Rule4" type="connector" idref="#_x0000_s1033"/>
        <o:r id="V:Rule5" type="callout" idref="#_x0000_s1047"/>
        <o:r id="V:Rule6" type="callout" idref="#_x0000_s1048"/>
        <o:r id="V:Rule7" type="callout" idref="#_x0000_s1049"/>
        <o:r id="V:Rule8" type="callout" idref="#_x0000_s1050"/>
        <o:r id="V:Rule9" type="callout" idref="#_x0000_s1051"/>
        <o:r id="V:Rule10" type="callout" idref="#_x0000_s1052"/>
        <o:r id="V:Rule11" type="connector" idref="#_x0000_s1054"/>
        <o:r id="V:Rule12" type="connector" idref="#_x0000_s1055"/>
        <o:r id="V:Rule13" type="connector" idref="#_x0000_s1056"/>
        <o:r id="V:Rule14" type="connector" idref="#_x0000_s1057"/>
        <o:r id="V:Rule15" type="connector" idref="#_x0000_s1058"/>
        <o:r id="V:Rule16" type="connector" idref="#_x0000_s1062"/>
        <o:r id="V:Rule17" type="connector" idref="#_x0000_s1063"/>
        <o:r id="V:Rule18" type="connector" idref="#_x0000_s1073"/>
        <o:r id="V:Rule19" type="connector" idref="#_x0000_s1074"/>
        <o:r id="V:Rule20" type="connector" idref="#_x0000_s1077"/>
        <o:r id="V:Rule21" type="connector" idref="#_x0000_s1087"/>
        <o:r id="V:Rule22"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prastasis">
    <w:name w:val="Normal"/>
    <w:qFormat/>
    <w:rsid w:val="006B32FE"/>
    <w:rPr>
      <w:sz w:val="24"/>
      <w:szCs w:val="24"/>
    </w:rPr>
  </w:style>
  <w:style w:type="paragraph" w:styleId="Antrat1">
    <w:name w:val="heading 1"/>
    <w:basedOn w:val="prastasis"/>
    <w:next w:val="prastasis"/>
    <w:link w:val="Antrat1Diagrama"/>
    <w:uiPriority w:val="99"/>
    <w:qFormat/>
    <w:rsid w:val="008C3BF5"/>
    <w:pPr>
      <w:keepNext/>
      <w:numPr>
        <w:numId w:val="1"/>
      </w:numPr>
      <w:suppressAutoHyphens/>
      <w:spacing w:line="360" w:lineRule="auto"/>
      <w:jc w:val="center"/>
      <w:outlineLvl w:val="0"/>
    </w:pPr>
    <w:rPr>
      <w:rFonts w:ascii="Cambria" w:hAnsi="Cambria"/>
      <w:b/>
      <w:iCs/>
      <w:noProof/>
      <w:sz w:val="28"/>
      <w:lang w:eastAsia="ar-SA"/>
    </w:rPr>
  </w:style>
  <w:style w:type="paragraph" w:styleId="Antrat2">
    <w:name w:val="heading 2"/>
    <w:basedOn w:val="prastasis"/>
    <w:next w:val="prastasis"/>
    <w:link w:val="Antrat2Diagrama"/>
    <w:uiPriority w:val="99"/>
    <w:qFormat/>
    <w:rsid w:val="00004DEC"/>
    <w:pPr>
      <w:keepNext/>
      <w:tabs>
        <w:tab w:val="num" w:pos="0"/>
      </w:tabs>
      <w:suppressAutoHyphens/>
      <w:spacing w:before="240" w:after="60" w:line="360" w:lineRule="auto"/>
      <w:jc w:val="center"/>
      <w:outlineLvl w:val="1"/>
    </w:pPr>
    <w:rPr>
      <w:b/>
      <w:sz w:val="20"/>
      <w:szCs w:val="20"/>
      <w:lang w:val="en-US" w:eastAsia="ar-SA"/>
    </w:rPr>
  </w:style>
  <w:style w:type="paragraph" w:styleId="Antrat3">
    <w:name w:val="heading 3"/>
    <w:basedOn w:val="prastasis"/>
    <w:next w:val="prastasis"/>
    <w:link w:val="Antrat3Diagrama"/>
    <w:autoRedefine/>
    <w:uiPriority w:val="99"/>
    <w:qFormat/>
    <w:locked/>
    <w:rsid w:val="004213E1"/>
    <w:pPr>
      <w:keepNext/>
      <w:spacing w:before="240" w:after="60"/>
      <w:jc w:val="center"/>
      <w:outlineLvl w:val="2"/>
    </w:pPr>
    <w:rPr>
      <w:rFonts w:cs="Arial"/>
      <w:b/>
      <w:bCs/>
      <w:szCs w:val="26"/>
    </w:rPr>
  </w:style>
  <w:style w:type="paragraph" w:styleId="Antrat4">
    <w:name w:val="heading 4"/>
    <w:basedOn w:val="prastasis"/>
    <w:next w:val="prastasis"/>
    <w:link w:val="Antrat4Diagrama"/>
    <w:uiPriority w:val="9"/>
    <w:semiHidden/>
    <w:unhideWhenUsed/>
    <w:qFormat/>
    <w:locked/>
    <w:rsid w:val="00A54FAC"/>
    <w:pPr>
      <w:keepNext/>
      <w:spacing w:before="240" w:after="60"/>
      <w:outlineLvl w:val="3"/>
    </w:pPr>
    <w:rPr>
      <w:rFonts w:asciiTheme="minorHAnsi" w:eastAsiaTheme="minorEastAsia" w:hAnsiTheme="minorHAnsi" w:cstheme="minorBidi"/>
      <w:b/>
      <w:bCs/>
      <w:sz w:val="28"/>
      <w:szCs w:val="28"/>
    </w:rPr>
  </w:style>
  <w:style w:type="paragraph" w:styleId="Antrat9">
    <w:name w:val="heading 9"/>
    <w:basedOn w:val="prastasis"/>
    <w:next w:val="prastasis"/>
    <w:link w:val="Antrat9Diagrama"/>
    <w:uiPriority w:val="99"/>
    <w:qFormat/>
    <w:locked/>
    <w:rsid w:val="00010D87"/>
    <w:pPr>
      <w:spacing w:before="240" w:after="60"/>
      <w:outlineLvl w:val="8"/>
    </w:pPr>
    <w:rPr>
      <w:rFonts w:ascii="Arial" w:hAnsi="Arial" w:cs="Arial"/>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3F4AEA"/>
    <w:rPr>
      <w:rFonts w:ascii="Cambria" w:hAnsi="Cambria" w:cs="Times New Roman"/>
      <w:b/>
      <w:iCs/>
      <w:noProof/>
      <w:sz w:val="24"/>
      <w:szCs w:val="24"/>
      <w:lang w:val="lt-LT" w:eastAsia="ar-SA" w:bidi="ar-SA"/>
    </w:rPr>
  </w:style>
  <w:style w:type="character" w:customStyle="1" w:styleId="Antrat2Diagrama">
    <w:name w:val="Antraštė 2 Diagrama"/>
    <w:basedOn w:val="Numatytasispastraiposriftas"/>
    <w:link w:val="Antrat2"/>
    <w:uiPriority w:val="99"/>
    <w:locked/>
    <w:rsid w:val="00004DEC"/>
    <w:rPr>
      <w:rFonts w:cs="Times New Roman"/>
      <w:b/>
      <w:sz w:val="20"/>
      <w:szCs w:val="20"/>
      <w:lang w:val="en-US" w:eastAsia="ar-SA" w:bidi="ar-SA"/>
    </w:rPr>
  </w:style>
  <w:style w:type="character" w:customStyle="1" w:styleId="Antrat3Diagrama">
    <w:name w:val="Antraštė 3 Diagrama"/>
    <w:basedOn w:val="Numatytasispastraiposriftas"/>
    <w:link w:val="Antrat3"/>
    <w:uiPriority w:val="99"/>
    <w:locked/>
    <w:rsid w:val="004213E1"/>
    <w:rPr>
      <w:rFonts w:cs="Arial"/>
      <w:b/>
      <w:bCs/>
      <w:sz w:val="26"/>
      <w:szCs w:val="26"/>
    </w:rPr>
  </w:style>
  <w:style w:type="character" w:customStyle="1" w:styleId="Heading9Char">
    <w:name w:val="Heading 9 Char"/>
    <w:basedOn w:val="Numatytasispastraiposriftas"/>
    <w:link w:val="Antrat9"/>
    <w:uiPriority w:val="99"/>
    <w:semiHidden/>
    <w:locked/>
    <w:rsid w:val="00E6103B"/>
    <w:rPr>
      <w:rFonts w:ascii="Cambria" w:hAnsi="Cambria" w:cs="Times New Roman"/>
    </w:rPr>
  </w:style>
  <w:style w:type="paragraph" w:styleId="Debesliotekstas">
    <w:name w:val="Balloon Text"/>
    <w:basedOn w:val="prastasis"/>
    <w:link w:val="DebesliotekstasDiagrama"/>
    <w:uiPriority w:val="99"/>
    <w:rsid w:val="005C23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locked/>
    <w:rsid w:val="005C230B"/>
    <w:rPr>
      <w:rFonts w:ascii="Tahoma" w:hAnsi="Tahoma" w:cs="Tahoma"/>
      <w:sz w:val="16"/>
      <w:szCs w:val="16"/>
    </w:rPr>
  </w:style>
  <w:style w:type="paragraph" w:styleId="Antrats">
    <w:name w:val="header"/>
    <w:basedOn w:val="prastasis"/>
    <w:link w:val="AntratsDiagrama"/>
    <w:uiPriority w:val="99"/>
    <w:rsid w:val="0069660C"/>
    <w:pPr>
      <w:tabs>
        <w:tab w:val="center" w:pos="4320"/>
        <w:tab w:val="right" w:pos="8640"/>
      </w:tabs>
      <w:suppressAutoHyphens/>
    </w:pPr>
    <w:rPr>
      <w:lang w:val="en-AU" w:eastAsia="ar-SA"/>
    </w:rPr>
  </w:style>
  <w:style w:type="character" w:customStyle="1" w:styleId="AntratsDiagrama">
    <w:name w:val="Antraštės Diagrama"/>
    <w:basedOn w:val="Numatytasispastraiposriftas"/>
    <w:link w:val="Antrats"/>
    <w:uiPriority w:val="99"/>
    <w:semiHidden/>
    <w:locked/>
    <w:rsid w:val="003F4AEA"/>
    <w:rPr>
      <w:rFonts w:cs="Times New Roman"/>
      <w:sz w:val="24"/>
      <w:szCs w:val="24"/>
    </w:rPr>
  </w:style>
  <w:style w:type="paragraph" w:styleId="prastasistinklapis">
    <w:name w:val="Normal (Web)"/>
    <w:basedOn w:val="prastasis"/>
    <w:link w:val="prastasistinklapisDiagrama"/>
    <w:uiPriority w:val="99"/>
    <w:rsid w:val="00D646A0"/>
    <w:pPr>
      <w:spacing w:before="100" w:beforeAutospacing="1" w:after="100" w:afterAutospacing="1"/>
    </w:pPr>
  </w:style>
  <w:style w:type="character" w:styleId="Hipersaitas">
    <w:name w:val="Hyperlink"/>
    <w:basedOn w:val="Numatytasispastraiposriftas"/>
    <w:uiPriority w:val="99"/>
    <w:rsid w:val="00B07CB3"/>
    <w:rPr>
      <w:rFonts w:cs="Times New Roman"/>
      <w:color w:val="0000FF"/>
      <w:u w:val="single"/>
    </w:rPr>
  </w:style>
  <w:style w:type="paragraph" w:styleId="Sraopastraipa">
    <w:name w:val="List Paragraph"/>
    <w:basedOn w:val="prastasis"/>
    <w:uiPriority w:val="99"/>
    <w:qFormat/>
    <w:rsid w:val="00045403"/>
    <w:pPr>
      <w:ind w:left="720"/>
      <w:contextualSpacing/>
    </w:pPr>
  </w:style>
  <w:style w:type="paragraph" w:customStyle="1" w:styleId="istatymas">
    <w:name w:val="istatymas"/>
    <w:basedOn w:val="prastasis"/>
    <w:uiPriority w:val="99"/>
    <w:rsid w:val="009756F1"/>
    <w:pPr>
      <w:spacing w:before="100" w:beforeAutospacing="1" w:after="100" w:afterAutospacing="1"/>
    </w:pPr>
  </w:style>
  <w:style w:type="paragraph" w:customStyle="1" w:styleId="pavadinimas1">
    <w:name w:val="pavadinimas1"/>
    <w:basedOn w:val="prastasis"/>
    <w:uiPriority w:val="99"/>
    <w:rsid w:val="003C2D36"/>
    <w:pPr>
      <w:spacing w:before="100" w:beforeAutospacing="1" w:after="100" w:afterAutospacing="1"/>
    </w:pPr>
  </w:style>
  <w:style w:type="paragraph" w:customStyle="1" w:styleId="Bodytext">
    <w:name w:val="Body text"/>
    <w:uiPriority w:val="99"/>
    <w:rsid w:val="00CD65EC"/>
    <w:pPr>
      <w:autoSpaceDE w:val="0"/>
      <w:autoSpaceDN w:val="0"/>
      <w:adjustRightInd w:val="0"/>
      <w:ind w:firstLine="312"/>
      <w:jc w:val="both"/>
    </w:pPr>
    <w:rPr>
      <w:rFonts w:ascii="TimesLT" w:hAnsi="TimesLT"/>
      <w:sz w:val="20"/>
      <w:szCs w:val="20"/>
      <w:lang w:val="en-US" w:eastAsia="en-US"/>
    </w:rPr>
  </w:style>
  <w:style w:type="paragraph" w:styleId="Puslapioinaostekstas">
    <w:name w:val="footnote text"/>
    <w:aliases w:val="Footnote,Diagrama Diagrama,Fußnote,Footnote text,fn,Footnote Text Char Char"/>
    <w:basedOn w:val="prastasis"/>
    <w:link w:val="PuslapioinaostekstasDiagrama"/>
    <w:uiPriority w:val="99"/>
    <w:rsid w:val="009611C4"/>
    <w:rPr>
      <w:sz w:val="20"/>
      <w:szCs w:val="20"/>
      <w:lang w:val="ru-RU" w:eastAsia="ru-RU"/>
    </w:rPr>
  </w:style>
  <w:style w:type="character" w:customStyle="1" w:styleId="FootnoteTextChar">
    <w:name w:val="Footnote Text Char"/>
    <w:aliases w:val="Footnote Char,Diagrama Diagrama Char,Fußnote Char,Footnote text Char,fn Char,Footnote Text Char Char Char"/>
    <w:basedOn w:val="Numatytasispastraiposriftas"/>
    <w:link w:val="Puslapioinaostekstas"/>
    <w:uiPriority w:val="99"/>
    <w:semiHidden/>
    <w:locked/>
    <w:rsid w:val="00941823"/>
    <w:rPr>
      <w:rFonts w:cs="Times New Roman"/>
      <w:sz w:val="20"/>
      <w:szCs w:val="20"/>
    </w:rPr>
  </w:style>
  <w:style w:type="character" w:customStyle="1" w:styleId="FootnoteTextChar2">
    <w:name w:val="Footnote Text Char2"/>
    <w:aliases w:val="Footnote Char3,Diagrama Diagrama Char3,Fußnote Char3,Footnote text Char3,fn Char3,Footnote Text Char Char Char2,Footnote Text Char Char Char Char"/>
    <w:basedOn w:val="Numatytasispastraiposriftas"/>
    <w:link w:val="Puslapioinaostekstas"/>
    <w:uiPriority w:val="99"/>
    <w:semiHidden/>
    <w:locked/>
    <w:rsid w:val="002114E3"/>
    <w:rPr>
      <w:rFonts w:cs="Times New Roman"/>
      <w:sz w:val="20"/>
      <w:szCs w:val="20"/>
    </w:rPr>
  </w:style>
  <w:style w:type="character" w:customStyle="1" w:styleId="PuslapioinaostekstasDiagrama">
    <w:name w:val="Puslapio išnašos tekstas Diagrama"/>
    <w:aliases w:val="Footnote Diagrama,Diagrama Diagrama Diagrama,Fußnote Diagrama,Footnote text Diagrama,fn Diagrama,Footnote Text Char Char Diagrama"/>
    <w:basedOn w:val="Numatytasispastraiposriftas"/>
    <w:link w:val="Puslapioinaostekstas"/>
    <w:uiPriority w:val="99"/>
    <w:locked/>
    <w:rsid w:val="009611C4"/>
    <w:rPr>
      <w:rFonts w:cs="Times New Roman"/>
      <w:lang w:val="ru-RU" w:eastAsia="ru-RU"/>
    </w:rPr>
  </w:style>
  <w:style w:type="character" w:styleId="Puslapioinaosnuoroda">
    <w:name w:val="footnote reference"/>
    <w:aliases w:val="Footnote Reference Number,Times 10 Point,Exposant 3 Point,Footnote symbol"/>
    <w:basedOn w:val="Numatytasispastraiposriftas"/>
    <w:uiPriority w:val="99"/>
    <w:rsid w:val="009611C4"/>
    <w:rPr>
      <w:rFonts w:cs="Times New Roman"/>
      <w:vertAlign w:val="superscript"/>
    </w:rPr>
  </w:style>
  <w:style w:type="character" w:styleId="Perirtashipersaitas">
    <w:name w:val="FollowedHyperlink"/>
    <w:basedOn w:val="Numatytasispastraiposriftas"/>
    <w:uiPriority w:val="99"/>
    <w:rsid w:val="009611C4"/>
    <w:rPr>
      <w:rFonts w:cs="Times New Roman"/>
      <w:color w:val="800080"/>
      <w:u w:val="single"/>
    </w:rPr>
  </w:style>
  <w:style w:type="paragraph" w:styleId="Pagrindiniotekstotrauka3">
    <w:name w:val="Body Text Indent 3"/>
    <w:basedOn w:val="prastasis"/>
    <w:link w:val="Pagrindiniotekstotrauka3Diagrama"/>
    <w:uiPriority w:val="99"/>
    <w:rsid w:val="00DE32B2"/>
    <w:pPr>
      <w:spacing w:after="120"/>
      <w:ind w:left="360"/>
    </w:pPr>
    <w:rPr>
      <w:sz w:val="16"/>
      <w:szCs w:val="16"/>
      <w:lang w:val="en-GB" w:eastAsia="en-US"/>
    </w:rPr>
  </w:style>
  <w:style w:type="character" w:customStyle="1" w:styleId="Pagrindiniotekstotrauka3Diagrama">
    <w:name w:val="Pagrindinio teksto įtrauka 3 Diagrama"/>
    <w:basedOn w:val="Numatytasispastraiposriftas"/>
    <w:link w:val="Pagrindiniotekstotrauka3"/>
    <w:uiPriority w:val="99"/>
    <w:locked/>
    <w:rsid w:val="00DE32B2"/>
    <w:rPr>
      <w:rFonts w:cs="Times New Roman"/>
      <w:sz w:val="16"/>
      <w:szCs w:val="16"/>
      <w:lang w:val="en-GB" w:eastAsia="en-US"/>
    </w:rPr>
  </w:style>
  <w:style w:type="paragraph" w:styleId="Pataisymai">
    <w:name w:val="Revision"/>
    <w:hidden/>
    <w:uiPriority w:val="99"/>
    <w:semiHidden/>
    <w:rsid w:val="0021402A"/>
    <w:rPr>
      <w:sz w:val="24"/>
      <w:szCs w:val="24"/>
    </w:rPr>
  </w:style>
  <w:style w:type="paragraph" w:styleId="Pagrindinistekstas">
    <w:name w:val="Body Text"/>
    <w:basedOn w:val="prastasis"/>
    <w:link w:val="PagrindinistekstasDiagrama"/>
    <w:uiPriority w:val="99"/>
    <w:rsid w:val="005F6348"/>
    <w:pPr>
      <w:spacing w:after="120"/>
    </w:pPr>
    <w:rPr>
      <w:lang w:val="ru-RU" w:eastAsia="ru-RU"/>
    </w:rPr>
  </w:style>
  <w:style w:type="character" w:customStyle="1" w:styleId="PagrindinistekstasDiagrama">
    <w:name w:val="Pagrindinis tekstas Diagrama"/>
    <w:basedOn w:val="Numatytasispastraiposriftas"/>
    <w:link w:val="Pagrindinistekstas"/>
    <w:uiPriority w:val="99"/>
    <w:locked/>
    <w:rsid w:val="005F6348"/>
    <w:rPr>
      <w:rFonts w:cs="Times New Roman"/>
      <w:sz w:val="24"/>
      <w:szCs w:val="24"/>
      <w:lang w:val="ru-RU" w:eastAsia="ru-RU"/>
    </w:rPr>
  </w:style>
  <w:style w:type="paragraph" w:customStyle="1" w:styleId="hyperlink">
    <w:name w:val="hyperlink"/>
    <w:basedOn w:val="prastasis"/>
    <w:uiPriority w:val="99"/>
    <w:rsid w:val="00866CA4"/>
    <w:pPr>
      <w:spacing w:before="100" w:beforeAutospacing="1" w:after="100" w:afterAutospacing="1"/>
    </w:pPr>
  </w:style>
  <w:style w:type="paragraph" w:customStyle="1" w:styleId="ISTATYMAS0">
    <w:name w:val="ISTATYMAS"/>
    <w:uiPriority w:val="99"/>
    <w:rsid w:val="00B91F71"/>
    <w:pPr>
      <w:autoSpaceDE w:val="0"/>
      <w:autoSpaceDN w:val="0"/>
      <w:adjustRightInd w:val="0"/>
      <w:jc w:val="center"/>
    </w:pPr>
    <w:rPr>
      <w:rFonts w:ascii="TimesLT" w:hAnsi="TimesLT"/>
      <w:sz w:val="20"/>
      <w:szCs w:val="20"/>
      <w:lang w:val="en-US" w:eastAsia="en-US"/>
    </w:rPr>
  </w:style>
  <w:style w:type="paragraph" w:customStyle="1" w:styleId="Pavadinimas10">
    <w:name w:val="Pavadinimas1"/>
    <w:uiPriority w:val="99"/>
    <w:rsid w:val="00B91F71"/>
    <w:pPr>
      <w:autoSpaceDE w:val="0"/>
      <w:autoSpaceDN w:val="0"/>
      <w:adjustRightInd w:val="0"/>
      <w:ind w:left="850"/>
    </w:pPr>
    <w:rPr>
      <w:rFonts w:ascii="TimesLT" w:hAnsi="TimesLT"/>
      <w:b/>
      <w:bCs/>
      <w:caps/>
      <w:lang w:val="en-US" w:eastAsia="en-US"/>
    </w:rPr>
  </w:style>
  <w:style w:type="table" w:styleId="Lentelstinklelis">
    <w:name w:val="Table Grid"/>
    <w:basedOn w:val="prastojilentel"/>
    <w:uiPriority w:val="99"/>
    <w:rsid w:val="00CF5D0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entelElegantika">
    <w:name w:val="Table Elegant"/>
    <w:basedOn w:val="prastojilentel"/>
    <w:uiPriority w:val="99"/>
    <w:rsid w:val="00270235"/>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viesustinklelis4parykinimas">
    <w:name w:val="Light Grid Accent 4"/>
    <w:basedOn w:val="prastojilentel"/>
    <w:uiPriority w:val="99"/>
    <w:rsid w:val="00270235"/>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entelSpalvota3">
    <w:name w:val="Table Colorful 3"/>
    <w:basedOn w:val="prastojilentel"/>
    <w:uiPriority w:val="99"/>
    <w:rsid w:val="00270235"/>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Klasikin2">
    <w:name w:val="Table Classic 2"/>
    <w:basedOn w:val="prastojilentel"/>
    <w:uiPriority w:val="99"/>
    <w:rsid w:val="00270235"/>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Betarp">
    <w:name w:val="No Spacing"/>
    <w:link w:val="BetarpDiagrama1"/>
    <w:uiPriority w:val="99"/>
    <w:qFormat/>
    <w:rsid w:val="000D6CC9"/>
    <w:rPr>
      <w:rFonts w:ascii="Calibri" w:hAnsi="Calibri"/>
      <w:lang w:eastAsia="en-US"/>
    </w:rPr>
  </w:style>
  <w:style w:type="character" w:customStyle="1" w:styleId="BetarpDiagrama1">
    <w:name w:val="Be tarpų Diagrama1"/>
    <w:basedOn w:val="Numatytasispastraiposriftas"/>
    <w:link w:val="Betarp"/>
    <w:uiPriority w:val="99"/>
    <w:locked/>
    <w:rsid w:val="000D6CC9"/>
    <w:rPr>
      <w:rFonts w:ascii="Calibri" w:hAnsi="Calibri" w:cs="Times New Roman"/>
      <w:sz w:val="22"/>
      <w:szCs w:val="22"/>
      <w:lang w:val="lt-LT" w:eastAsia="en-US" w:bidi="ar-SA"/>
    </w:rPr>
  </w:style>
  <w:style w:type="table" w:customStyle="1" w:styleId="MediumShading21">
    <w:name w:val="Medium Shading 21"/>
    <w:uiPriority w:val="99"/>
    <w:rsid w:val="000D6CC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styleId="Grietas">
    <w:name w:val="Strong"/>
    <w:basedOn w:val="Numatytasispastraiposriftas"/>
    <w:uiPriority w:val="99"/>
    <w:qFormat/>
    <w:locked/>
    <w:rsid w:val="000D6CC9"/>
    <w:rPr>
      <w:rFonts w:cs="Times New Roman"/>
      <w:b/>
      <w:bCs/>
    </w:rPr>
  </w:style>
  <w:style w:type="paragraph" w:styleId="Pavadinimas">
    <w:name w:val="Title"/>
    <w:basedOn w:val="prastasis"/>
    <w:next w:val="prastasis"/>
    <w:link w:val="PavadinimasDiagrama"/>
    <w:uiPriority w:val="99"/>
    <w:qFormat/>
    <w:locked/>
    <w:rsid w:val="003D5784"/>
    <w:pPr>
      <w:spacing w:before="240" w:after="60"/>
      <w:jc w:val="center"/>
      <w:outlineLvl w:val="0"/>
    </w:pPr>
    <w:rPr>
      <w:rFonts w:ascii="Cambria" w:hAnsi="Cambria"/>
      <w:b/>
      <w:bCs/>
      <w:kern w:val="28"/>
      <w:sz w:val="32"/>
      <w:szCs w:val="32"/>
    </w:rPr>
  </w:style>
  <w:style w:type="character" w:customStyle="1" w:styleId="PavadinimasDiagrama">
    <w:name w:val="Pavadinimas Diagrama"/>
    <w:basedOn w:val="Numatytasispastraiposriftas"/>
    <w:link w:val="Pavadinimas"/>
    <w:uiPriority w:val="99"/>
    <w:locked/>
    <w:rsid w:val="003D5784"/>
    <w:rPr>
      <w:rFonts w:ascii="Cambria" w:hAnsi="Cambria" w:cs="Times New Roman"/>
      <w:b/>
      <w:bCs/>
      <w:kern w:val="28"/>
      <w:sz w:val="32"/>
      <w:szCs w:val="32"/>
    </w:rPr>
  </w:style>
  <w:style w:type="paragraph" w:styleId="HTMLiankstoformatuotas">
    <w:name w:val="HTML Preformatted"/>
    <w:basedOn w:val="prastasis"/>
    <w:link w:val="HTMLiankstoformatuotasDiagrama"/>
    <w:uiPriority w:val="99"/>
    <w:semiHidden/>
    <w:rsid w:val="00B25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B25BD5"/>
    <w:rPr>
      <w:rFonts w:ascii="Courier New" w:hAnsi="Courier New" w:cs="Courier New"/>
      <w:sz w:val="20"/>
      <w:szCs w:val="20"/>
    </w:rPr>
  </w:style>
  <w:style w:type="character" w:styleId="HTMLspausdinimomainl">
    <w:name w:val="HTML Typewriter"/>
    <w:basedOn w:val="Numatytasispastraiposriftas"/>
    <w:uiPriority w:val="99"/>
    <w:semiHidden/>
    <w:rsid w:val="00B25BD5"/>
    <w:rPr>
      <w:rFonts w:ascii="Courier New" w:hAnsi="Courier New" w:cs="Courier New"/>
      <w:sz w:val="20"/>
      <w:szCs w:val="20"/>
    </w:rPr>
  </w:style>
  <w:style w:type="paragraph" w:customStyle="1" w:styleId="mazas">
    <w:name w:val="mazas"/>
    <w:basedOn w:val="prastasis"/>
    <w:uiPriority w:val="99"/>
    <w:rsid w:val="009F5A50"/>
    <w:pPr>
      <w:spacing w:before="100" w:beforeAutospacing="1" w:after="100" w:afterAutospacing="1"/>
    </w:pPr>
  </w:style>
  <w:style w:type="paragraph" w:styleId="Pagrindinistekstas2">
    <w:name w:val="Body Text 2"/>
    <w:basedOn w:val="prastasis"/>
    <w:link w:val="Pagrindinistekstas2Diagrama"/>
    <w:uiPriority w:val="99"/>
    <w:semiHidden/>
    <w:rsid w:val="00760A3B"/>
    <w:pPr>
      <w:spacing w:after="120" w:line="480" w:lineRule="auto"/>
    </w:pPr>
  </w:style>
  <w:style w:type="character" w:customStyle="1" w:styleId="Pagrindinistekstas2Diagrama">
    <w:name w:val="Pagrindinis tekstas 2 Diagrama"/>
    <w:basedOn w:val="Numatytasispastraiposriftas"/>
    <w:link w:val="Pagrindinistekstas2"/>
    <w:uiPriority w:val="99"/>
    <w:semiHidden/>
    <w:locked/>
    <w:rsid w:val="00760A3B"/>
    <w:rPr>
      <w:rFonts w:cs="Times New Roman"/>
      <w:sz w:val="24"/>
      <w:szCs w:val="24"/>
    </w:rPr>
  </w:style>
  <w:style w:type="paragraph" w:customStyle="1" w:styleId="Lentelsturinys">
    <w:name w:val="Lentelės turinys"/>
    <w:basedOn w:val="prastasis"/>
    <w:uiPriority w:val="99"/>
    <w:rsid w:val="00E8606A"/>
    <w:pPr>
      <w:suppressLineNumbers/>
      <w:suppressAutoHyphens/>
    </w:pPr>
    <w:rPr>
      <w:szCs w:val="20"/>
      <w:lang w:eastAsia="ar-SA"/>
    </w:rPr>
  </w:style>
  <w:style w:type="paragraph" w:customStyle="1" w:styleId="TableContents">
    <w:name w:val="Table Contents"/>
    <w:basedOn w:val="prastasis"/>
    <w:uiPriority w:val="99"/>
    <w:rsid w:val="00EB3315"/>
    <w:pPr>
      <w:suppressLineNumbers/>
      <w:suppressAutoHyphens/>
    </w:pPr>
    <w:rPr>
      <w:szCs w:val="20"/>
      <w:lang w:eastAsia="ar-SA"/>
    </w:rPr>
  </w:style>
  <w:style w:type="paragraph" w:customStyle="1" w:styleId="centrboldm">
    <w:name w:val="centrboldm"/>
    <w:basedOn w:val="prastasis"/>
    <w:uiPriority w:val="99"/>
    <w:rsid w:val="00817386"/>
    <w:pPr>
      <w:spacing w:before="100" w:beforeAutospacing="1" w:after="100" w:afterAutospacing="1"/>
    </w:pPr>
  </w:style>
  <w:style w:type="paragraph" w:customStyle="1" w:styleId="bodytext0">
    <w:name w:val="bodytext"/>
    <w:basedOn w:val="prastasis"/>
    <w:uiPriority w:val="99"/>
    <w:rsid w:val="00D43F20"/>
    <w:pPr>
      <w:spacing w:before="100" w:beforeAutospacing="1" w:after="100" w:afterAutospacing="1"/>
    </w:pPr>
  </w:style>
  <w:style w:type="character" w:customStyle="1" w:styleId="longtext1">
    <w:name w:val="long_text1"/>
    <w:basedOn w:val="Numatytasispastraiposriftas"/>
    <w:uiPriority w:val="99"/>
    <w:rsid w:val="00643933"/>
    <w:rPr>
      <w:rFonts w:cs="Times New Roman"/>
      <w:sz w:val="13"/>
      <w:szCs w:val="13"/>
    </w:rPr>
  </w:style>
  <w:style w:type="character" w:styleId="Emfaz">
    <w:name w:val="Emphasis"/>
    <w:basedOn w:val="Numatytasispastraiposriftas"/>
    <w:uiPriority w:val="99"/>
    <w:qFormat/>
    <w:locked/>
    <w:rsid w:val="0068394F"/>
    <w:rPr>
      <w:rFonts w:cs="Times New Roman"/>
      <w:b/>
      <w:bCs/>
    </w:rPr>
  </w:style>
  <w:style w:type="character" w:styleId="HTMLcitata">
    <w:name w:val="HTML Cite"/>
    <w:basedOn w:val="Numatytasispastraiposriftas"/>
    <w:uiPriority w:val="99"/>
    <w:semiHidden/>
    <w:rsid w:val="00503699"/>
    <w:rPr>
      <w:rFonts w:cs="Times New Roman"/>
      <w:i/>
      <w:iCs/>
    </w:rPr>
  </w:style>
  <w:style w:type="paragraph" w:styleId="Pagrindiniotekstotrauka">
    <w:name w:val="Body Text Indent"/>
    <w:basedOn w:val="prastasis"/>
    <w:link w:val="PagrindiniotekstotraukaDiagrama"/>
    <w:uiPriority w:val="99"/>
    <w:rsid w:val="005E136B"/>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5E136B"/>
    <w:rPr>
      <w:rFonts w:cs="Times New Roman"/>
      <w:sz w:val="24"/>
      <w:szCs w:val="24"/>
    </w:rPr>
  </w:style>
  <w:style w:type="paragraph" w:customStyle="1" w:styleId="Style">
    <w:name w:val="Style"/>
    <w:uiPriority w:val="99"/>
    <w:rsid w:val="00410B07"/>
    <w:pPr>
      <w:widowControl w:val="0"/>
      <w:autoSpaceDE w:val="0"/>
      <w:autoSpaceDN w:val="0"/>
      <w:adjustRightInd w:val="0"/>
    </w:pPr>
    <w:rPr>
      <w:sz w:val="24"/>
      <w:szCs w:val="24"/>
      <w:lang w:val="en-US" w:eastAsia="en-US"/>
    </w:rPr>
  </w:style>
  <w:style w:type="paragraph" w:customStyle="1" w:styleId="Default">
    <w:name w:val="Default"/>
    <w:uiPriority w:val="99"/>
    <w:rsid w:val="00F926CB"/>
    <w:pPr>
      <w:autoSpaceDE w:val="0"/>
      <w:autoSpaceDN w:val="0"/>
      <w:adjustRightInd w:val="0"/>
    </w:pPr>
    <w:rPr>
      <w:color w:val="000000"/>
      <w:sz w:val="24"/>
      <w:szCs w:val="24"/>
    </w:rPr>
  </w:style>
  <w:style w:type="paragraph" w:customStyle="1" w:styleId="Sraopastraipa1">
    <w:name w:val="Sąrašo pastraipa1"/>
    <w:basedOn w:val="prastasis"/>
    <w:uiPriority w:val="99"/>
    <w:rsid w:val="0028292D"/>
    <w:pPr>
      <w:spacing w:after="200" w:line="276" w:lineRule="auto"/>
      <w:ind w:left="720"/>
      <w:contextualSpacing/>
    </w:pPr>
    <w:rPr>
      <w:rFonts w:ascii="Calibri" w:hAnsi="Calibri"/>
      <w:noProof/>
      <w:sz w:val="22"/>
      <w:szCs w:val="22"/>
      <w:lang w:eastAsia="en-US"/>
    </w:rPr>
  </w:style>
  <w:style w:type="character" w:styleId="Puslapionumeris">
    <w:name w:val="page number"/>
    <w:basedOn w:val="Numatytasispastraiposriftas"/>
    <w:uiPriority w:val="99"/>
    <w:rsid w:val="00967229"/>
    <w:rPr>
      <w:rFonts w:cs="Times New Roman"/>
    </w:rPr>
  </w:style>
  <w:style w:type="paragraph" w:styleId="Porat">
    <w:name w:val="footer"/>
    <w:basedOn w:val="prastasis"/>
    <w:link w:val="PoratDiagrama"/>
    <w:uiPriority w:val="99"/>
    <w:rsid w:val="00967229"/>
    <w:pPr>
      <w:tabs>
        <w:tab w:val="center" w:pos="4819"/>
        <w:tab w:val="right" w:pos="9638"/>
      </w:tabs>
    </w:pPr>
  </w:style>
  <w:style w:type="character" w:customStyle="1" w:styleId="PoratDiagrama">
    <w:name w:val="Poraštė Diagrama"/>
    <w:basedOn w:val="Numatytasispastraiposriftas"/>
    <w:link w:val="Porat"/>
    <w:uiPriority w:val="99"/>
    <w:locked/>
    <w:rsid w:val="00967229"/>
    <w:rPr>
      <w:rFonts w:cs="Times New Roman"/>
      <w:sz w:val="24"/>
      <w:szCs w:val="24"/>
    </w:rPr>
  </w:style>
  <w:style w:type="paragraph" w:customStyle="1" w:styleId="Stilius">
    <w:name w:val="Stilius"/>
    <w:uiPriority w:val="99"/>
    <w:rsid w:val="0042469E"/>
    <w:pPr>
      <w:widowControl w:val="0"/>
      <w:autoSpaceDE w:val="0"/>
      <w:autoSpaceDN w:val="0"/>
      <w:adjustRightInd w:val="0"/>
    </w:pPr>
    <w:rPr>
      <w:sz w:val="24"/>
      <w:szCs w:val="24"/>
    </w:rPr>
  </w:style>
  <w:style w:type="character" w:customStyle="1" w:styleId="gt-icon-text1">
    <w:name w:val="gt-icon-text1"/>
    <w:basedOn w:val="Numatytasispastraiposriftas"/>
    <w:uiPriority w:val="99"/>
    <w:rsid w:val="0042469E"/>
    <w:rPr>
      <w:rFonts w:cs="Times New Roman"/>
    </w:rPr>
  </w:style>
  <w:style w:type="paragraph" w:customStyle="1" w:styleId="Betarp1">
    <w:name w:val="Be tarpų1"/>
    <w:link w:val="BetarpDiagrama"/>
    <w:uiPriority w:val="99"/>
    <w:rsid w:val="0042469E"/>
    <w:rPr>
      <w:rFonts w:ascii="Calibri" w:hAnsi="Calibri"/>
      <w:lang w:eastAsia="en-US"/>
    </w:rPr>
  </w:style>
  <w:style w:type="character" w:customStyle="1" w:styleId="BetarpDiagrama">
    <w:name w:val="Be tarpų Diagrama"/>
    <w:basedOn w:val="Numatytasispastraiposriftas"/>
    <w:link w:val="Betarp1"/>
    <w:uiPriority w:val="99"/>
    <w:locked/>
    <w:rsid w:val="0042469E"/>
    <w:rPr>
      <w:rFonts w:ascii="Calibri" w:hAnsi="Calibri" w:cs="Times New Roman"/>
      <w:sz w:val="22"/>
      <w:szCs w:val="22"/>
      <w:lang w:val="lt-LT" w:eastAsia="en-US" w:bidi="ar-SA"/>
    </w:rPr>
  </w:style>
  <w:style w:type="character" w:customStyle="1" w:styleId="FootnoteChar1">
    <w:name w:val="Footnote Char1"/>
    <w:aliases w:val="Diagrama Diagrama Char1,Diagrama Diagrama Char Char,Fußnote Char1,Footnote text Char1,fn Char1,Footnote Text Char Char Char Char1"/>
    <w:uiPriority w:val="99"/>
    <w:semiHidden/>
    <w:rsid w:val="00E425FC"/>
    <w:rPr>
      <w:lang w:val="en-GB" w:eastAsia="lt-LT"/>
    </w:rPr>
  </w:style>
  <w:style w:type="character" w:customStyle="1" w:styleId="Inaosramenys">
    <w:name w:val="Išnašos rašmenys"/>
    <w:basedOn w:val="Numatytasispastraiposriftas"/>
    <w:uiPriority w:val="99"/>
    <w:rsid w:val="00EF7588"/>
    <w:rPr>
      <w:rFonts w:cs="Times New Roman"/>
      <w:vertAlign w:val="superscript"/>
    </w:rPr>
  </w:style>
  <w:style w:type="character" w:customStyle="1" w:styleId="FootnoteReference1">
    <w:name w:val="Footnote Reference1"/>
    <w:uiPriority w:val="99"/>
    <w:rsid w:val="00EF7588"/>
    <w:rPr>
      <w:vertAlign w:val="superscript"/>
    </w:rPr>
  </w:style>
  <w:style w:type="character" w:customStyle="1" w:styleId="heading-00202--char">
    <w:name w:val="heading-00202--char"/>
    <w:basedOn w:val="Numatytasispastraiposriftas"/>
    <w:uiPriority w:val="99"/>
    <w:rsid w:val="00EF7588"/>
    <w:rPr>
      <w:rFonts w:cs="Times New Roman"/>
    </w:rPr>
  </w:style>
  <w:style w:type="character" w:customStyle="1" w:styleId="apple-style-span">
    <w:name w:val="apple-style-span"/>
    <w:basedOn w:val="Numatytasispastraiposriftas"/>
    <w:uiPriority w:val="99"/>
    <w:rsid w:val="00EF7588"/>
    <w:rPr>
      <w:rFonts w:cs="Times New Roman"/>
    </w:rPr>
  </w:style>
  <w:style w:type="character" w:customStyle="1" w:styleId="apple-converted-space">
    <w:name w:val="apple-converted-space"/>
    <w:basedOn w:val="Numatytasispastraiposriftas"/>
    <w:uiPriority w:val="99"/>
    <w:rsid w:val="00EF7588"/>
    <w:rPr>
      <w:rFonts w:cs="Times New Roman"/>
    </w:rPr>
  </w:style>
  <w:style w:type="paragraph" w:styleId="Pagrindiniotekstotrauka2">
    <w:name w:val="Body Text Indent 2"/>
    <w:basedOn w:val="prastasis"/>
    <w:link w:val="Pagrindiniotekstotrauka2Diagrama"/>
    <w:uiPriority w:val="99"/>
    <w:rsid w:val="00EF7588"/>
    <w:pPr>
      <w:spacing w:after="120" w:line="480" w:lineRule="auto"/>
      <w:ind w:left="283"/>
    </w:pPr>
    <w:rPr>
      <w:rFonts w:eastAsia="SimSun"/>
      <w:szCs w:val="20"/>
      <w:lang w:val="en-GB" w:eastAsia="zh-CN"/>
    </w:rPr>
  </w:style>
  <w:style w:type="character" w:customStyle="1" w:styleId="BodyTextIndent2Char">
    <w:name w:val="Body Text Indent 2 Char"/>
    <w:basedOn w:val="Numatytasispastraiposriftas"/>
    <w:link w:val="Pagrindiniotekstotrauka2"/>
    <w:uiPriority w:val="99"/>
    <w:semiHidden/>
    <w:locked/>
    <w:rsid w:val="00F42B78"/>
    <w:rPr>
      <w:rFonts w:cs="Times New Roman"/>
      <w:sz w:val="24"/>
      <w:szCs w:val="24"/>
    </w:rPr>
  </w:style>
  <w:style w:type="character" w:customStyle="1" w:styleId="Pagrindiniotekstotrauka2Diagrama">
    <w:name w:val="Pagrindinio teksto įtrauka 2 Diagrama"/>
    <w:link w:val="Pagrindiniotekstotrauka2"/>
    <w:uiPriority w:val="99"/>
    <w:locked/>
    <w:rsid w:val="00EF7588"/>
    <w:rPr>
      <w:rFonts w:eastAsia="SimSun"/>
      <w:sz w:val="24"/>
      <w:lang w:val="en-GB" w:eastAsia="zh-CN"/>
    </w:rPr>
  </w:style>
  <w:style w:type="character" w:customStyle="1" w:styleId="FootnoteCharacters">
    <w:name w:val="Footnote Characters"/>
    <w:basedOn w:val="Numatytasispastraiposriftas"/>
    <w:uiPriority w:val="99"/>
    <w:rsid w:val="0076447C"/>
    <w:rPr>
      <w:rFonts w:ascii="Verdana" w:hAnsi="Verdana" w:cs="Times New Roman"/>
      <w:sz w:val="16"/>
      <w:vertAlign w:val="superscript"/>
    </w:rPr>
  </w:style>
  <w:style w:type="character" w:customStyle="1" w:styleId="CharChar18">
    <w:name w:val="Char Char18"/>
    <w:basedOn w:val="Numatytasispastraiposriftas"/>
    <w:uiPriority w:val="99"/>
    <w:semiHidden/>
    <w:rsid w:val="0076447C"/>
    <w:rPr>
      <w:rFonts w:ascii="Verdana" w:hAnsi="Verdana" w:cs="Times New Roman"/>
      <w:color w:val="1F1A17"/>
      <w:sz w:val="16"/>
      <w:lang w:val="en-GB" w:eastAsia="ar-SA" w:bidi="ar-SA"/>
    </w:rPr>
  </w:style>
  <w:style w:type="paragraph" w:customStyle="1" w:styleId="CharCharDiagramaDiagramaCharCharDiagramaDiagrama">
    <w:name w:val="Знак Знак Char Char Diagrama Diagrama Char Char Diagrama Diagrama"/>
    <w:basedOn w:val="prastasis"/>
    <w:uiPriority w:val="99"/>
    <w:rsid w:val="00500C45"/>
    <w:pPr>
      <w:spacing w:after="160" w:line="240" w:lineRule="exact"/>
    </w:pPr>
    <w:rPr>
      <w:rFonts w:ascii="Tahoma" w:hAnsi="Tahoma"/>
      <w:sz w:val="20"/>
      <w:szCs w:val="20"/>
      <w:lang w:val="en-US" w:eastAsia="en-US"/>
    </w:rPr>
  </w:style>
  <w:style w:type="paragraph" w:customStyle="1" w:styleId="Regularparagraphs">
    <w:name w:val="Regular paragraphs"/>
    <w:basedOn w:val="prastasis"/>
    <w:uiPriority w:val="99"/>
    <w:rsid w:val="00CD4CF4"/>
    <w:pPr>
      <w:widowControl w:val="0"/>
      <w:spacing w:line="360" w:lineRule="auto"/>
      <w:jc w:val="both"/>
    </w:pPr>
    <w:rPr>
      <w:szCs w:val="20"/>
      <w:lang w:val="en-GB"/>
    </w:rPr>
  </w:style>
  <w:style w:type="paragraph" w:customStyle="1" w:styleId="Sraopastraipa2">
    <w:name w:val="Sąrašo pastraipa2"/>
    <w:basedOn w:val="prastasis"/>
    <w:uiPriority w:val="99"/>
    <w:rsid w:val="00F33F1D"/>
    <w:pPr>
      <w:spacing w:after="200" w:line="276" w:lineRule="auto"/>
      <w:ind w:left="720"/>
      <w:contextualSpacing/>
    </w:pPr>
    <w:rPr>
      <w:rFonts w:ascii="Calibri" w:hAnsi="Calibri"/>
      <w:sz w:val="22"/>
      <w:szCs w:val="22"/>
      <w:lang w:eastAsia="en-US"/>
    </w:rPr>
  </w:style>
  <w:style w:type="paragraph" w:customStyle="1" w:styleId="normal">
    <w:name w:val="normal"/>
    <w:basedOn w:val="prastasis"/>
    <w:link w:val="normalChar"/>
    <w:uiPriority w:val="99"/>
    <w:rsid w:val="00F33F1D"/>
    <w:pPr>
      <w:spacing w:before="225" w:after="225" w:line="255" w:lineRule="atLeast"/>
      <w:ind w:left="450" w:right="450"/>
    </w:pPr>
    <w:rPr>
      <w:color w:val="46433A"/>
      <w:sz w:val="20"/>
      <w:szCs w:val="20"/>
      <w:lang w:val="en-US" w:eastAsia="en-US"/>
    </w:rPr>
  </w:style>
  <w:style w:type="character" w:customStyle="1" w:styleId="normalChar">
    <w:name w:val="normal Char"/>
    <w:basedOn w:val="Numatytasispastraiposriftas"/>
    <w:link w:val="normal"/>
    <w:uiPriority w:val="99"/>
    <w:locked/>
    <w:rsid w:val="00F33F1D"/>
    <w:rPr>
      <w:rFonts w:cs="Times New Roman"/>
      <w:color w:val="46433A"/>
      <w:lang w:val="en-US" w:eastAsia="en-US" w:bidi="ar-SA"/>
    </w:rPr>
  </w:style>
  <w:style w:type="character" w:customStyle="1" w:styleId="CharChar">
    <w:name w:val="Char Char"/>
    <w:basedOn w:val="Numatytasispastraiposriftas"/>
    <w:uiPriority w:val="99"/>
    <w:semiHidden/>
    <w:rsid w:val="00C63012"/>
    <w:rPr>
      <w:rFonts w:cs="Times New Roman"/>
      <w:lang w:val="lt-LT" w:eastAsia="en-US" w:bidi="ar-SA"/>
    </w:rPr>
  </w:style>
  <w:style w:type="paragraph" w:customStyle="1" w:styleId="Sraopastraipa0">
    <w:name w:val="Sąrao pastraipa"/>
    <w:basedOn w:val="prastasis"/>
    <w:uiPriority w:val="99"/>
    <w:rsid w:val="00777C88"/>
    <w:pPr>
      <w:ind w:left="720"/>
    </w:pPr>
  </w:style>
  <w:style w:type="character" w:customStyle="1" w:styleId="CharChar3">
    <w:name w:val="Char Char3"/>
    <w:basedOn w:val="Numatytasispastraiposriftas"/>
    <w:uiPriority w:val="99"/>
    <w:rsid w:val="0077415F"/>
    <w:rPr>
      <w:rFonts w:cs="Times New Roman"/>
    </w:rPr>
  </w:style>
  <w:style w:type="character" w:customStyle="1" w:styleId="CharChar1">
    <w:name w:val="Char Char1"/>
    <w:basedOn w:val="Numatytasispastraiposriftas"/>
    <w:uiPriority w:val="99"/>
    <w:semiHidden/>
    <w:rsid w:val="00426A02"/>
    <w:rPr>
      <w:rFonts w:cs="Times New Roman"/>
    </w:rPr>
  </w:style>
  <w:style w:type="character" w:customStyle="1" w:styleId="Antrat9Diagrama">
    <w:name w:val="Antraštė 9 Diagrama"/>
    <w:basedOn w:val="Numatytasispastraiposriftas"/>
    <w:link w:val="Antrat9"/>
    <w:uiPriority w:val="99"/>
    <w:locked/>
    <w:rsid w:val="00010D87"/>
    <w:rPr>
      <w:rFonts w:ascii="Arial" w:hAnsi="Arial" w:cs="Arial"/>
      <w:bCs/>
      <w:sz w:val="22"/>
      <w:szCs w:val="22"/>
      <w:lang w:val="lt-LT" w:eastAsia="lt-LT" w:bidi="ar-SA"/>
    </w:rPr>
  </w:style>
  <w:style w:type="paragraph" w:styleId="Turinys1">
    <w:name w:val="toc 1"/>
    <w:basedOn w:val="prastasis"/>
    <w:next w:val="prastasis"/>
    <w:autoRedefine/>
    <w:uiPriority w:val="99"/>
    <w:locked/>
    <w:rsid w:val="001D23DB"/>
    <w:pPr>
      <w:tabs>
        <w:tab w:val="right" w:leader="dot" w:pos="9628"/>
      </w:tabs>
      <w:spacing w:line="360" w:lineRule="auto"/>
    </w:pPr>
  </w:style>
  <w:style w:type="paragraph" w:styleId="Antrat">
    <w:name w:val="caption"/>
    <w:basedOn w:val="prastasis"/>
    <w:next w:val="prastasis"/>
    <w:uiPriority w:val="99"/>
    <w:qFormat/>
    <w:locked/>
    <w:rsid w:val="006904EB"/>
    <w:rPr>
      <w:b/>
      <w:bCs/>
      <w:sz w:val="20"/>
      <w:szCs w:val="20"/>
    </w:rPr>
  </w:style>
  <w:style w:type="character" w:customStyle="1" w:styleId="CharChar2">
    <w:name w:val="Char Char2"/>
    <w:basedOn w:val="Numatytasispastraiposriftas"/>
    <w:uiPriority w:val="99"/>
    <w:rsid w:val="006904EB"/>
    <w:rPr>
      <w:rFonts w:cs="Times New Roman"/>
      <w:b/>
      <w:bCs/>
      <w:sz w:val="24"/>
      <w:szCs w:val="24"/>
      <w:lang w:val="lt-LT" w:eastAsia="lt-LT" w:bidi="ar-SA"/>
    </w:rPr>
  </w:style>
  <w:style w:type="character" w:customStyle="1" w:styleId="a">
    <w:name w:val="a"/>
    <w:basedOn w:val="Numatytasispastraiposriftas"/>
    <w:uiPriority w:val="99"/>
    <w:rsid w:val="00F53AA8"/>
    <w:rPr>
      <w:rFonts w:cs="Times New Roman"/>
    </w:rPr>
  </w:style>
  <w:style w:type="paragraph" w:customStyle="1" w:styleId="paprastapastraipa">
    <w:name w:val="paprasta pastraipa"/>
    <w:basedOn w:val="prastasis"/>
    <w:uiPriority w:val="99"/>
    <w:rsid w:val="00C91756"/>
    <w:pPr>
      <w:ind w:firstLine="227"/>
      <w:jc w:val="both"/>
    </w:pPr>
    <w:rPr>
      <w:sz w:val="20"/>
      <w:lang w:val="en-US" w:eastAsia="en-US"/>
    </w:rPr>
  </w:style>
  <w:style w:type="character" w:customStyle="1" w:styleId="BodyTextChar1">
    <w:name w:val="Body Text Char1"/>
    <w:basedOn w:val="Numatytasispastraiposriftas"/>
    <w:uiPriority w:val="99"/>
    <w:locked/>
    <w:rsid w:val="006D73EE"/>
    <w:rPr>
      <w:rFonts w:ascii="Times New Roman" w:hAnsi="Times New Roman" w:cs="Times New Roman"/>
      <w:sz w:val="24"/>
      <w:szCs w:val="24"/>
      <w:lang w:val="ru-RU" w:eastAsia="ru-RU"/>
    </w:rPr>
  </w:style>
  <w:style w:type="paragraph" w:customStyle="1" w:styleId="ListParagraph1">
    <w:name w:val="List Paragraph1"/>
    <w:basedOn w:val="prastasis"/>
    <w:uiPriority w:val="99"/>
    <w:rsid w:val="006D73EE"/>
    <w:pPr>
      <w:ind w:left="720"/>
      <w:contextualSpacing/>
    </w:pPr>
  </w:style>
  <w:style w:type="paragraph" w:customStyle="1" w:styleId="Sraopastraipa3">
    <w:name w:val="Sąrašo pastraipa3"/>
    <w:basedOn w:val="prastasis"/>
    <w:uiPriority w:val="99"/>
    <w:rsid w:val="00323DB5"/>
    <w:pPr>
      <w:ind w:left="720"/>
      <w:contextualSpacing/>
    </w:pPr>
  </w:style>
  <w:style w:type="paragraph" w:styleId="Turinys2">
    <w:name w:val="toc 2"/>
    <w:basedOn w:val="prastasis"/>
    <w:next w:val="prastasis"/>
    <w:autoRedefine/>
    <w:uiPriority w:val="99"/>
    <w:locked/>
    <w:rsid w:val="00004DEC"/>
    <w:pPr>
      <w:tabs>
        <w:tab w:val="right" w:leader="dot" w:pos="9628"/>
      </w:tabs>
      <w:spacing w:line="360" w:lineRule="auto"/>
      <w:ind w:left="397" w:firstLine="170"/>
    </w:pPr>
  </w:style>
  <w:style w:type="paragraph" w:styleId="Turinioantrat">
    <w:name w:val="TOC Heading"/>
    <w:basedOn w:val="Antrat1"/>
    <w:next w:val="prastasis"/>
    <w:uiPriority w:val="99"/>
    <w:qFormat/>
    <w:rsid w:val="006E21BC"/>
    <w:pPr>
      <w:keepLines/>
      <w:numPr>
        <w:numId w:val="0"/>
      </w:numPr>
      <w:suppressAutoHyphens w:val="0"/>
      <w:spacing w:before="480" w:line="276" w:lineRule="auto"/>
      <w:jc w:val="left"/>
      <w:outlineLvl w:val="9"/>
    </w:pPr>
    <w:rPr>
      <w:bCs/>
      <w:iCs w:val="0"/>
      <w:noProof w:val="0"/>
      <w:color w:val="365F91"/>
      <w:szCs w:val="28"/>
      <w:lang w:eastAsia="en-US"/>
    </w:rPr>
  </w:style>
  <w:style w:type="paragraph" w:customStyle="1" w:styleId="Sraopastraipa4">
    <w:name w:val="Sąrašo pastraipa4"/>
    <w:basedOn w:val="prastasis"/>
    <w:uiPriority w:val="99"/>
    <w:rsid w:val="00C73EC3"/>
    <w:pPr>
      <w:spacing w:after="200" w:line="276" w:lineRule="auto"/>
      <w:ind w:left="720"/>
      <w:contextualSpacing/>
    </w:pPr>
    <w:rPr>
      <w:rFonts w:ascii="Calibri" w:hAnsi="Calibri"/>
      <w:noProof/>
      <w:sz w:val="22"/>
      <w:szCs w:val="22"/>
      <w:lang w:eastAsia="en-US"/>
    </w:rPr>
  </w:style>
  <w:style w:type="paragraph" w:customStyle="1" w:styleId="Sraopastraipa5">
    <w:name w:val="Sąrašo pastraipa5"/>
    <w:basedOn w:val="prastasis"/>
    <w:uiPriority w:val="99"/>
    <w:rsid w:val="00036DF8"/>
    <w:pPr>
      <w:spacing w:after="200" w:line="276" w:lineRule="auto"/>
      <w:ind w:left="720"/>
      <w:contextualSpacing/>
    </w:pPr>
    <w:rPr>
      <w:rFonts w:ascii="Calibri" w:hAnsi="Calibri"/>
      <w:noProof/>
      <w:sz w:val="22"/>
      <w:szCs w:val="22"/>
      <w:lang w:eastAsia="en-US"/>
    </w:rPr>
  </w:style>
  <w:style w:type="character" w:customStyle="1" w:styleId="prastasistinklapisDiagrama">
    <w:name w:val="Įprastasis (tinklapis) Diagrama"/>
    <w:basedOn w:val="Numatytasispastraiposriftas"/>
    <w:link w:val="prastasistinklapis"/>
    <w:uiPriority w:val="99"/>
    <w:locked/>
    <w:rsid w:val="00850096"/>
    <w:rPr>
      <w:rFonts w:cs="Times New Roman"/>
      <w:sz w:val="24"/>
      <w:szCs w:val="24"/>
      <w:lang w:val="lt-LT" w:eastAsia="lt-LT" w:bidi="ar-SA"/>
    </w:rPr>
  </w:style>
  <w:style w:type="paragraph" w:customStyle="1" w:styleId="Betarp2">
    <w:name w:val="Be tarpų2"/>
    <w:uiPriority w:val="99"/>
    <w:rsid w:val="001C3765"/>
    <w:rPr>
      <w:rFonts w:ascii="Calibri" w:hAnsi="Calibri"/>
      <w:lang w:eastAsia="en-US"/>
    </w:rPr>
  </w:style>
  <w:style w:type="paragraph" w:styleId="Turinys3">
    <w:name w:val="toc 3"/>
    <w:basedOn w:val="prastasis"/>
    <w:next w:val="prastasis"/>
    <w:autoRedefine/>
    <w:uiPriority w:val="99"/>
    <w:rsid w:val="004213E1"/>
    <w:pPr>
      <w:tabs>
        <w:tab w:val="right" w:leader="dot" w:pos="9628"/>
      </w:tabs>
      <w:ind w:left="709"/>
    </w:pPr>
  </w:style>
  <w:style w:type="character" w:styleId="Knygospavadinimas">
    <w:name w:val="Book Title"/>
    <w:basedOn w:val="Numatytasispastraiposriftas"/>
    <w:uiPriority w:val="99"/>
    <w:qFormat/>
    <w:rsid w:val="00004DEC"/>
    <w:rPr>
      <w:rFonts w:cs="Times New Roman"/>
      <w:b/>
      <w:bCs/>
      <w:smallCaps/>
      <w:spacing w:val="5"/>
    </w:rPr>
  </w:style>
  <w:style w:type="paragraph" w:customStyle="1" w:styleId="ListParagraph2">
    <w:name w:val="List Paragraph2"/>
    <w:basedOn w:val="prastasis"/>
    <w:uiPriority w:val="99"/>
    <w:rsid w:val="00DA7E8C"/>
    <w:pPr>
      <w:ind w:left="720"/>
      <w:contextualSpacing/>
    </w:pPr>
  </w:style>
  <w:style w:type="paragraph" w:customStyle="1" w:styleId="NoSpacing1">
    <w:name w:val="No Spacing1"/>
    <w:link w:val="NoSpacingChar"/>
    <w:uiPriority w:val="99"/>
    <w:rsid w:val="00DA7E8C"/>
    <w:rPr>
      <w:rFonts w:ascii="Calibri" w:hAnsi="Calibri"/>
      <w:lang w:eastAsia="en-US"/>
    </w:rPr>
  </w:style>
  <w:style w:type="character" w:customStyle="1" w:styleId="NoSpacingChar">
    <w:name w:val="No Spacing Char"/>
    <w:basedOn w:val="Numatytasispastraiposriftas"/>
    <w:link w:val="NoSpacing1"/>
    <w:uiPriority w:val="99"/>
    <w:locked/>
    <w:rsid w:val="00DA7E8C"/>
    <w:rPr>
      <w:rFonts w:ascii="Calibri" w:hAnsi="Calibri" w:cs="Times New Roman"/>
      <w:sz w:val="22"/>
      <w:szCs w:val="22"/>
      <w:lang w:val="lt-LT" w:eastAsia="en-US" w:bidi="ar-SA"/>
    </w:rPr>
  </w:style>
  <w:style w:type="character" w:customStyle="1" w:styleId="CharChar11">
    <w:name w:val="Char Char11"/>
    <w:basedOn w:val="Numatytasispastraiposriftas"/>
    <w:uiPriority w:val="99"/>
    <w:locked/>
    <w:rsid w:val="00E73456"/>
    <w:rPr>
      <w:rFonts w:ascii="Cambria" w:hAnsi="Cambria" w:cs="Times New Roman"/>
      <w:b/>
      <w:iCs/>
      <w:noProof/>
      <w:sz w:val="24"/>
      <w:szCs w:val="24"/>
      <w:lang w:val="lt-LT" w:eastAsia="ar-SA" w:bidi="ar-SA"/>
    </w:rPr>
  </w:style>
  <w:style w:type="paragraph" w:customStyle="1" w:styleId="CM4">
    <w:name w:val="CM4"/>
    <w:basedOn w:val="prastasis"/>
    <w:next w:val="prastasis"/>
    <w:uiPriority w:val="99"/>
    <w:rsid w:val="00E73456"/>
    <w:pPr>
      <w:autoSpaceDE w:val="0"/>
      <w:autoSpaceDN w:val="0"/>
      <w:adjustRightInd w:val="0"/>
    </w:pPr>
    <w:rPr>
      <w:rFonts w:ascii="EUAlbertina" w:hAnsi="EUAlbertina"/>
    </w:rPr>
  </w:style>
  <w:style w:type="character" w:customStyle="1" w:styleId="CharChar4">
    <w:name w:val="Char Char4"/>
    <w:basedOn w:val="Numatytasispastraiposriftas"/>
    <w:uiPriority w:val="99"/>
    <w:rsid w:val="00E73456"/>
    <w:rPr>
      <w:rFonts w:cs="Times New Roman"/>
      <w:sz w:val="24"/>
      <w:szCs w:val="24"/>
    </w:rPr>
  </w:style>
  <w:style w:type="character" w:customStyle="1" w:styleId="datametai">
    <w:name w:val="datametai"/>
    <w:basedOn w:val="Numatytasispastraiposriftas"/>
    <w:uiPriority w:val="99"/>
    <w:rsid w:val="00E73456"/>
    <w:rPr>
      <w:rFonts w:cs="Times New Roman"/>
    </w:rPr>
  </w:style>
  <w:style w:type="character" w:customStyle="1" w:styleId="datamnuo">
    <w:name w:val="datamnuo"/>
    <w:basedOn w:val="Numatytasispastraiposriftas"/>
    <w:uiPriority w:val="99"/>
    <w:rsid w:val="00E73456"/>
    <w:rPr>
      <w:rFonts w:cs="Times New Roman"/>
    </w:rPr>
  </w:style>
  <w:style w:type="character" w:customStyle="1" w:styleId="datadiena">
    <w:name w:val="datadiena"/>
    <w:basedOn w:val="Numatytasispastraiposriftas"/>
    <w:uiPriority w:val="99"/>
    <w:rsid w:val="00E73456"/>
    <w:rPr>
      <w:rFonts w:cs="Times New Roman"/>
    </w:rPr>
  </w:style>
  <w:style w:type="character" w:customStyle="1" w:styleId="statymonr">
    <w:name w:val="statymonr"/>
    <w:basedOn w:val="Numatytasispastraiposriftas"/>
    <w:uiPriority w:val="99"/>
    <w:rsid w:val="00E73456"/>
    <w:rPr>
      <w:rFonts w:cs="Times New Roman"/>
    </w:rPr>
  </w:style>
  <w:style w:type="table" w:styleId="viesusspalvinimas2parykinimas">
    <w:name w:val="Light Shading Accent 2"/>
    <w:basedOn w:val="prastojilentel"/>
    <w:uiPriority w:val="99"/>
    <w:rsid w:val="00DB4922"/>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viesusspalvinimas1parykinimas1">
    <w:name w:val="Šviesus spalvinimas – 1 paryškinimas1"/>
    <w:uiPriority w:val="99"/>
    <w:rsid w:val="00DB4922"/>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Char21">
    <w:name w:val="Char Char21"/>
    <w:basedOn w:val="Numatytasispastraiposriftas"/>
    <w:uiPriority w:val="99"/>
    <w:locked/>
    <w:rsid w:val="00851EF3"/>
    <w:rPr>
      <w:rFonts w:cs="Times New Roman"/>
      <w:sz w:val="24"/>
      <w:szCs w:val="24"/>
      <w:lang w:val="lt-LT" w:eastAsia="lt-LT" w:bidi="ar-SA"/>
    </w:rPr>
  </w:style>
  <w:style w:type="character" w:customStyle="1" w:styleId="hps">
    <w:name w:val="hps"/>
    <w:basedOn w:val="Numatytasispastraiposriftas"/>
    <w:uiPriority w:val="99"/>
    <w:rsid w:val="00851EF3"/>
    <w:rPr>
      <w:rFonts w:cs="Times New Roman"/>
    </w:rPr>
  </w:style>
  <w:style w:type="character" w:customStyle="1" w:styleId="CharChar12">
    <w:name w:val="Char Char12"/>
    <w:basedOn w:val="Numatytasispastraiposriftas"/>
    <w:uiPriority w:val="99"/>
    <w:locked/>
    <w:rsid w:val="00851EF3"/>
    <w:rPr>
      <w:rFonts w:cs="Times New Roman"/>
      <w:sz w:val="24"/>
      <w:szCs w:val="24"/>
      <w:lang w:val="ru-RU" w:eastAsia="ru-RU" w:bidi="ar-SA"/>
    </w:rPr>
  </w:style>
  <w:style w:type="character" w:customStyle="1" w:styleId="shorttext">
    <w:name w:val="short_text"/>
    <w:basedOn w:val="Numatytasispastraiposriftas"/>
    <w:uiPriority w:val="99"/>
    <w:rsid w:val="00926625"/>
    <w:rPr>
      <w:rFonts w:cs="Times New Roman"/>
    </w:rPr>
  </w:style>
  <w:style w:type="paragraph" w:customStyle="1" w:styleId="pavadinimas0">
    <w:name w:val="pavadinimas"/>
    <w:basedOn w:val="prastasis"/>
    <w:uiPriority w:val="99"/>
    <w:rsid w:val="00A7424E"/>
    <w:pPr>
      <w:spacing w:before="100" w:beforeAutospacing="1" w:after="100" w:afterAutospacing="1"/>
    </w:pPr>
  </w:style>
  <w:style w:type="character" w:customStyle="1" w:styleId="Antrat4Diagrama">
    <w:name w:val="Antraštė 4 Diagrama"/>
    <w:basedOn w:val="Numatytasispastraiposriftas"/>
    <w:link w:val="Antrat4"/>
    <w:uiPriority w:val="9"/>
    <w:semiHidden/>
    <w:rsid w:val="00A54FAC"/>
    <w:rPr>
      <w:rFonts w:asciiTheme="minorHAnsi" w:eastAsiaTheme="minorEastAsia" w:hAnsiTheme="minorHAnsi" w:cstheme="minorBidi"/>
      <w:b/>
      <w:bCs/>
      <w:sz w:val="28"/>
      <w:szCs w:val="28"/>
    </w:rPr>
  </w:style>
</w:styles>
</file>

<file path=word/webSettings.xml><?xml version="1.0" encoding="utf-8"?>
<w:webSettings xmlns:r="http://schemas.openxmlformats.org/officeDocument/2006/relationships" xmlns:w="http://schemas.openxmlformats.org/wordprocessingml/2006/main">
  <w:divs>
    <w:div w:id="116416319">
      <w:marLeft w:val="0"/>
      <w:marRight w:val="0"/>
      <w:marTop w:val="0"/>
      <w:marBottom w:val="0"/>
      <w:divBdr>
        <w:top w:val="none" w:sz="0" w:space="0" w:color="auto"/>
        <w:left w:val="none" w:sz="0" w:space="0" w:color="auto"/>
        <w:bottom w:val="none" w:sz="0" w:space="0" w:color="auto"/>
        <w:right w:val="none" w:sz="0" w:space="0" w:color="auto"/>
      </w:divBdr>
      <w:divsChild>
        <w:div w:id="116416317">
          <w:marLeft w:val="0"/>
          <w:marRight w:val="0"/>
          <w:marTop w:val="0"/>
          <w:marBottom w:val="0"/>
          <w:divBdr>
            <w:top w:val="none" w:sz="0" w:space="0" w:color="auto"/>
            <w:left w:val="none" w:sz="0" w:space="0" w:color="auto"/>
            <w:bottom w:val="none" w:sz="0" w:space="0" w:color="auto"/>
            <w:right w:val="none" w:sz="0" w:space="0" w:color="auto"/>
          </w:divBdr>
          <w:divsChild>
            <w:div w:id="116416320">
              <w:marLeft w:val="0"/>
              <w:marRight w:val="0"/>
              <w:marTop w:val="0"/>
              <w:marBottom w:val="0"/>
              <w:divBdr>
                <w:top w:val="none" w:sz="0" w:space="0" w:color="auto"/>
                <w:left w:val="none" w:sz="0" w:space="0" w:color="auto"/>
                <w:bottom w:val="none" w:sz="0" w:space="0" w:color="auto"/>
                <w:right w:val="none" w:sz="0" w:space="0" w:color="auto"/>
              </w:divBdr>
              <w:divsChild>
                <w:div w:id="116416316">
                  <w:marLeft w:val="0"/>
                  <w:marRight w:val="0"/>
                  <w:marTop w:val="0"/>
                  <w:marBottom w:val="0"/>
                  <w:divBdr>
                    <w:top w:val="none" w:sz="0" w:space="0" w:color="auto"/>
                    <w:left w:val="none" w:sz="0" w:space="0" w:color="auto"/>
                    <w:bottom w:val="none" w:sz="0" w:space="0" w:color="auto"/>
                    <w:right w:val="none" w:sz="0" w:space="0" w:color="auto"/>
                  </w:divBdr>
                  <w:divsChild>
                    <w:div w:id="116416321">
                      <w:marLeft w:val="0"/>
                      <w:marRight w:val="0"/>
                      <w:marTop w:val="0"/>
                      <w:marBottom w:val="0"/>
                      <w:divBdr>
                        <w:top w:val="none" w:sz="0" w:space="0" w:color="auto"/>
                        <w:left w:val="none" w:sz="0" w:space="0" w:color="auto"/>
                        <w:bottom w:val="none" w:sz="0" w:space="0" w:color="auto"/>
                        <w:right w:val="none" w:sz="0" w:space="0" w:color="auto"/>
                      </w:divBdr>
                      <w:divsChild>
                        <w:div w:id="116416458">
                          <w:marLeft w:val="0"/>
                          <w:marRight w:val="0"/>
                          <w:marTop w:val="0"/>
                          <w:marBottom w:val="0"/>
                          <w:divBdr>
                            <w:top w:val="none" w:sz="0" w:space="0" w:color="auto"/>
                            <w:left w:val="none" w:sz="0" w:space="0" w:color="auto"/>
                            <w:bottom w:val="none" w:sz="0" w:space="0" w:color="auto"/>
                            <w:right w:val="none" w:sz="0" w:space="0" w:color="auto"/>
                          </w:divBdr>
                          <w:divsChild>
                            <w:div w:id="1164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6325">
      <w:marLeft w:val="0"/>
      <w:marRight w:val="0"/>
      <w:marTop w:val="0"/>
      <w:marBottom w:val="0"/>
      <w:divBdr>
        <w:top w:val="none" w:sz="0" w:space="0" w:color="auto"/>
        <w:left w:val="none" w:sz="0" w:space="0" w:color="auto"/>
        <w:bottom w:val="none" w:sz="0" w:space="0" w:color="auto"/>
        <w:right w:val="none" w:sz="0" w:space="0" w:color="auto"/>
      </w:divBdr>
      <w:divsChild>
        <w:div w:id="116416448">
          <w:marLeft w:val="0"/>
          <w:marRight w:val="0"/>
          <w:marTop w:val="0"/>
          <w:marBottom w:val="0"/>
          <w:divBdr>
            <w:top w:val="none" w:sz="0" w:space="0" w:color="auto"/>
            <w:left w:val="none" w:sz="0" w:space="0" w:color="auto"/>
            <w:bottom w:val="none" w:sz="0" w:space="0" w:color="auto"/>
            <w:right w:val="none" w:sz="0" w:space="0" w:color="auto"/>
          </w:divBdr>
        </w:div>
        <w:div w:id="116416450">
          <w:marLeft w:val="0"/>
          <w:marRight w:val="0"/>
          <w:marTop w:val="0"/>
          <w:marBottom w:val="0"/>
          <w:divBdr>
            <w:top w:val="none" w:sz="0" w:space="0" w:color="auto"/>
            <w:left w:val="none" w:sz="0" w:space="0" w:color="auto"/>
            <w:bottom w:val="none" w:sz="0" w:space="0" w:color="auto"/>
            <w:right w:val="none" w:sz="0" w:space="0" w:color="auto"/>
          </w:divBdr>
        </w:div>
        <w:div w:id="116416451">
          <w:marLeft w:val="0"/>
          <w:marRight w:val="0"/>
          <w:marTop w:val="0"/>
          <w:marBottom w:val="0"/>
          <w:divBdr>
            <w:top w:val="none" w:sz="0" w:space="0" w:color="auto"/>
            <w:left w:val="none" w:sz="0" w:space="0" w:color="auto"/>
            <w:bottom w:val="none" w:sz="0" w:space="0" w:color="auto"/>
            <w:right w:val="none" w:sz="0" w:space="0" w:color="auto"/>
          </w:divBdr>
        </w:div>
        <w:div w:id="116416453">
          <w:marLeft w:val="0"/>
          <w:marRight w:val="0"/>
          <w:marTop w:val="0"/>
          <w:marBottom w:val="0"/>
          <w:divBdr>
            <w:top w:val="none" w:sz="0" w:space="0" w:color="auto"/>
            <w:left w:val="none" w:sz="0" w:space="0" w:color="auto"/>
            <w:bottom w:val="none" w:sz="0" w:space="0" w:color="auto"/>
            <w:right w:val="none" w:sz="0" w:space="0" w:color="auto"/>
          </w:divBdr>
        </w:div>
      </w:divsChild>
    </w:div>
    <w:div w:id="116416330">
      <w:marLeft w:val="38"/>
      <w:marRight w:val="38"/>
      <w:marTop w:val="38"/>
      <w:marBottom w:val="0"/>
      <w:divBdr>
        <w:top w:val="none" w:sz="0" w:space="0" w:color="auto"/>
        <w:left w:val="none" w:sz="0" w:space="0" w:color="auto"/>
        <w:bottom w:val="none" w:sz="0" w:space="0" w:color="auto"/>
        <w:right w:val="none" w:sz="0" w:space="0" w:color="auto"/>
      </w:divBdr>
      <w:divsChild>
        <w:div w:id="116416344">
          <w:marLeft w:val="48"/>
          <w:marRight w:val="48"/>
          <w:marTop w:val="0"/>
          <w:marBottom w:val="0"/>
          <w:divBdr>
            <w:top w:val="none" w:sz="0" w:space="0" w:color="auto"/>
            <w:left w:val="none" w:sz="0" w:space="0" w:color="auto"/>
            <w:bottom w:val="none" w:sz="0" w:space="0" w:color="auto"/>
            <w:right w:val="none" w:sz="0" w:space="0" w:color="auto"/>
          </w:divBdr>
          <w:divsChild>
            <w:div w:id="116416417">
              <w:marLeft w:val="0"/>
              <w:marRight w:val="0"/>
              <w:marTop w:val="0"/>
              <w:marBottom w:val="0"/>
              <w:divBdr>
                <w:top w:val="none" w:sz="0" w:space="0" w:color="auto"/>
                <w:left w:val="none" w:sz="0" w:space="0" w:color="auto"/>
                <w:bottom w:val="single" w:sz="48" w:space="0" w:color="FFFFFF"/>
                <w:right w:val="none" w:sz="0" w:space="0" w:color="auto"/>
              </w:divBdr>
              <w:divsChild>
                <w:div w:id="116416437">
                  <w:marLeft w:val="0"/>
                  <w:marRight w:val="0"/>
                  <w:marTop w:val="0"/>
                  <w:marBottom w:val="0"/>
                  <w:divBdr>
                    <w:top w:val="none" w:sz="0" w:space="0" w:color="auto"/>
                    <w:left w:val="none" w:sz="0" w:space="0" w:color="auto"/>
                    <w:bottom w:val="none" w:sz="0" w:space="0" w:color="auto"/>
                    <w:right w:val="none" w:sz="0" w:space="0" w:color="auto"/>
                  </w:divBdr>
                  <w:divsChild>
                    <w:div w:id="1164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333">
      <w:marLeft w:val="38"/>
      <w:marRight w:val="38"/>
      <w:marTop w:val="38"/>
      <w:marBottom w:val="0"/>
      <w:divBdr>
        <w:top w:val="none" w:sz="0" w:space="0" w:color="auto"/>
        <w:left w:val="none" w:sz="0" w:space="0" w:color="auto"/>
        <w:bottom w:val="none" w:sz="0" w:space="0" w:color="auto"/>
        <w:right w:val="none" w:sz="0" w:space="0" w:color="auto"/>
      </w:divBdr>
      <w:divsChild>
        <w:div w:id="116416444">
          <w:marLeft w:val="48"/>
          <w:marRight w:val="48"/>
          <w:marTop w:val="0"/>
          <w:marBottom w:val="0"/>
          <w:divBdr>
            <w:top w:val="none" w:sz="0" w:space="0" w:color="auto"/>
            <w:left w:val="none" w:sz="0" w:space="0" w:color="auto"/>
            <w:bottom w:val="none" w:sz="0" w:space="0" w:color="auto"/>
            <w:right w:val="none" w:sz="0" w:space="0" w:color="auto"/>
          </w:divBdr>
          <w:divsChild>
            <w:div w:id="116416438">
              <w:marLeft w:val="0"/>
              <w:marRight w:val="0"/>
              <w:marTop w:val="0"/>
              <w:marBottom w:val="0"/>
              <w:divBdr>
                <w:top w:val="none" w:sz="0" w:space="0" w:color="auto"/>
                <w:left w:val="none" w:sz="0" w:space="0" w:color="auto"/>
                <w:bottom w:val="single" w:sz="48" w:space="0" w:color="FFFFFF"/>
                <w:right w:val="none" w:sz="0" w:space="0" w:color="auto"/>
              </w:divBdr>
              <w:divsChild>
                <w:div w:id="116416428">
                  <w:marLeft w:val="0"/>
                  <w:marRight w:val="0"/>
                  <w:marTop w:val="0"/>
                  <w:marBottom w:val="0"/>
                  <w:divBdr>
                    <w:top w:val="none" w:sz="0" w:space="0" w:color="auto"/>
                    <w:left w:val="none" w:sz="0" w:space="0" w:color="auto"/>
                    <w:bottom w:val="none" w:sz="0" w:space="0" w:color="auto"/>
                    <w:right w:val="none" w:sz="0" w:space="0" w:color="auto"/>
                  </w:divBdr>
                  <w:divsChild>
                    <w:div w:id="1164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340">
      <w:marLeft w:val="38"/>
      <w:marRight w:val="38"/>
      <w:marTop w:val="38"/>
      <w:marBottom w:val="0"/>
      <w:divBdr>
        <w:top w:val="none" w:sz="0" w:space="0" w:color="auto"/>
        <w:left w:val="none" w:sz="0" w:space="0" w:color="auto"/>
        <w:bottom w:val="none" w:sz="0" w:space="0" w:color="auto"/>
        <w:right w:val="none" w:sz="0" w:space="0" w:color="auto"/>
      </w:divBdr>
      <w:divsChild>
        <w:div w:id="116416442">
          <w:marLeft w:val="48"/>
          <w:marRight w:val="48"/>
          <w:marTop w:val="0"/>
          <w:marBottom w:val="0"/>
          <w:divBdr>
            <w:top w:val="none" w:sz="0" w:space="0" w:color="auto"/>
            <w:left w:val="none" w:sz="0" w:space="0" w:color="auto"/>
            <w:bottom w:val="none" w:sz="0" w:space="0" w:color="auto"/>
            <w:right w:val="none" w:sz="0" w:space="0" w:color="auto"/>
          </w:divBdr>
          <w:divsChild>
            <w:div w:id="116416334">
              <w:marLeft w:val="0"/>
              <w:marRight w:val="0"/>
              <w:marTop w:val="0"/>
              <w:marBottom w:val="0"/>
              <w:divBdr>
                <w:top w:val="none" w:sz="0" w:space="0" w:color="auto"/>
                <w:left w:val="none" w:sz="0" w:space="0" w:color="auto"/>
                <w:bottom w:val="single" w:sz="48" w:space="0" w:color="FFFFFF"/>
                <w:right w:val="none" w:sz="0" w:space="0" w:color="auto"/>
              </w:divBdr>
              <w:divsChild>
                <w:div w:id="116416335">
                  <w:marLeft w:val="0"/>
                  <w:marRight w:val="0"/>
                  <w:marTop w:val="0"/>
                  <w:marBottom w:val="0"/>
                  <w:divBdr>
                    <w:top w:val="none" w:sz="0" w:space="0" w:color="auto"/>
                    <w:left w:val="none" w:sz="0" w:space="0" w:color="auto"/>
                    <w:bottom w:val="none" w:sz="0" w:space="0" w:color="auto"/>
                    <w:right w:val="none" w:sz="0" w:space="0" w:color="auto"/>
                  </w:divBdr>
                  <w:divsChild>
                    <w:div w:id="116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341">
      <w:marLeft w:val="38"/>
      <w:marRight w:val="38"/>
      <w:marTop w:val="38"/>
      <w:marBottom w:val="0"/>
      <w:divBdr>
        <w:top w:val="none" w:sz="0" w:space="0" w:color="auto"/>
        <w:left w:val="none" w:sz="0" w:space="0" w:color="auto"/>
        <w:bottom w:val="none" w:sz="0" w:space="0" w:color="auto"/>
        <w:right w:val="none" w:sz="0" w:space="0" w:color="auto"/>
      </w:divBdr>
      <w:divsChild>
        <w:div w:id="116416345">
          <w:marLeft w:val="48"/>
          <w:marRight w:val="48"/>
          <w:marTop w:val="0"/>
          <w:marBottom w:val="0"/>
          <w:divBdr>
            <w:top w:val="none" w:sz="0" w:space="0" w:color="auto"/>
            <w:left w:val="none" w:sz="0" w:space="0" w:color="auto"/>
            <w:bottom w:val="none" w:sz="0" w:space="0" w:color="auto"/>
            <w:right w:val="none" w:sz="0" w:space="0" w:color="auto"/>
          </w:divBdr>
          <w:divsChild>
            <w:div w:id="116416431">
              <w:marLeft w:val="0"/>
              <w:marRight w:val="0"/>
              <w:marTop w:val="0"/>
              <w:marBottom w:val="0"/>
              <w:divBdr>
                <w:top w:val="none" w:sz="0" w:space="0" w:color="auto"/>
                <w:left w:val="none" w:sz="0" w:space="0" w:color="auto"/>
                <w:bottom w:val="single" w:sz="48" w:space="0" w:color="FFFFFF"/>
                <w:right w:val="none" w:sz="0" w:space="0" w:color="auto"/>
              </w:divBdr>
              <w:divsChild>
                <w:div w:id="116416433">
                  <w:marLeft w:val="0"/>
                  <w:marRight w:val="0"/>
                  <w:marTop w:val="0"/>
                  <w:marBottom w:val="0"/>
                  <w:divBdr>
                    <w:top w:val="none" w:sz="0" w:space="0" w:color="auto"/>
                    <w:left w:val="none" w:sz="0" w:space="0" w:color="auto"/>
                    <w:bottom w:val="none" w:sz="0" w:space="0" w:color="auto"/>
                    <w:right w:val="none" w:sz="0" w:space="0" w:color="auto"/>
                  </w:divBdr>
                  <w:divsChild>
                    <w:div w:id="1164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349">
      <w:marLeft w:val="0"/>
      <w:marRight w:val="0"/>
      <w:marTop w:val="0"/>
      <w:marBottom w:val="0"/>
      <w:divBdr>
        <w:top w:val="none" w:sz="0" w:space="0" w:color="auto"/>
        <w:left w:val="none" w:sz="0" w:space="0" w:color="auto"/>
        <w:bottom w:val="none" w:sz="0" w:space="0" w:color="auto"/>
        <w:right w:val="none" w:sz="0" w:space="0" w:color="auto"/>
      </w:divBdr>
      <w:divsChild>
        <w:div w:id="116416348">
          <w:marLeft w:val="0"/>
          <w:marRight w:val="0"/>
          <w:marTop w:val="0"/>
          <w:marBottom w:val="0"/>
          <w:divBdr>
            <w:top w:val="none" w:sz="0" w:space="0" w:color="auto"/>
            <w:left w:val="none" w:sz="0" w:space="0" w:color="auto"/>
            <w:bottom w:val="none" w:sz="0" w:space="0" w:color="auto"/>
            <w:right w:val="none" w:sz="0" w:space="0" w:color="auto"/>
          </w:divBdr>
          <w:divsChild>
            <w:div w:id="116416332">
              <w:marLeft w:val="0"/>
              <w:marRight w:val="0"/>
              <w:marTop w:val="0"/>
              <w:marBottom w:val="0"/>
              <w:divBdr>
                <w:top w:val="none" w:sz="0" w:space="0" w:color="auto"/>
                <w:left w:val="none" w:sz="0" w:space="0" w:color="auto"/>
                <w:bottom w:val="none" w:sz="0" w:space="0" w:color="auto"/>
                <w:right w:val="none" w:sz="0" w:space="0" w:color="auto"/>
              </w:divBdr>
              <w:divsChild>
                <w:div w:id="116416422">
                  <w:marLeft w:val="0"/>
                  <w:marRight w:val="0"/>
                  <w:marTop w:val="0"/>
                  <w:marBottom w:val="0"/>
                  <w:divBdr>
                    <w:top w:val="none" w:sz="0" w:space="0" w:color="auto"/>
                    <w:left w:val="none" w:sz="0" w:space="0" w:color="auto"/>
                    <w:bottom w:val="none" w:sz="0" w:space="0" w:color="auto"/>
                    <w:right w:val="none" w:sz="0" w:space="0" w:color="auto"/>
                  </w:divBdr>
                  <w:divsChild>
                    <w:div w:id="116416328">
                      <w:marLeft w:val="0"/>
                      <w:marRight w:val="0"/>
                      <w:marTop w:val="0"/>
                      <w:marBottom w:val="0"/>
                      <w:divBdr>
                        <w:top w:val="none" w:sz="0" w:space="0" w:color="auto"/>
                        <w:left w:val="none" w:sz="0" w:space="0" w:color="auto"/>
                        <w:bottom w:val="none" w:sz="0" w:space="0" w:color="auto"/>
                        <w:right w:val="none" w:sz="0" w:space="0" w:color="auto"/>
                      </w:divBdr>
                      <w:divsChild>
                        <w:div w:id="116416327">
                          <w:marLeft w:val="0"/>
                          <w:marRight w:val="0"/>
                          <w:marTop w:val="0"/>
                          <w:marBottom w:val="0"/>
                          <w:divBdr>
                            <w:top w:val="none" w:sz="0" w:space="0" w:color="auto"/>
                            <w:left w:val="none" w:sz="0" w:space="0" w:color="auto"/>
                            <w:bottom w:val="none" w:sz="0" w:space="0" w:color="auto"/>
                            <w:right w:val="none" w:sz="0" w:space="0" w:color="auto"/>
                          </w:divBdr>
                          <w:divsChild>
                            <w:div w:id="1164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6350">
      <w:marLeft w:val="180"/>
      <w:marRight w:val="180"/>
      <w:marTop w:val="0"/>
      <w:marBottom w:val="0"/>
      <w:divBdr>
        <w:top w:val="none" w:sz="0" w:space="0" w:color="auto"/>
        <w:left w:val="none" w:sz="0" w:space="0" w:color="auto"/>
        <w:bottom w:val="none" w:sz="0" w:space="0" w:color="auto"/>
        <w:right w:val="none" w:sz="0" w:space="0" w:color="auto"/>
      </w:divBdr>
      <w:divsChild>
        <w:div w:id="116416411">
          <w:marLeft w:val="0"/>
          <w:marRight w:val="0"/>
          <w:marTop w:val="0"/>
          <w:marBottom w:val="0"/>
          <w:divBdr>
            <w:top w:val="none" w:sz="0" w:space="0" w:color="auto"/>
            <w:left w:val="none" w:sz="0" w:space="0" w:color="auto"/>
            <w:bottom w:val="none" w:sz="0" w:space="0" w:color="auto"/>
            <w:right w:val="none" w:sz="0" w:space="0" w:color="auto"/>
          </w:divBdr>
        </w:div>
      </w:divsChild>
    </w:div>
    <w:div w:id="116416351">
      <w:marLeft w:val="180"/>
      <w:marRight w:val="180"/>
      <w:marTop w:val="0"/>
      <w:marBottom w:val="0"/>
      <w:divBdr>
        <w:top w:val="none" w:sz="0" w:space="0" w:color="auto"/>
        <w:left w:val="none" w:sz="0" w:space="0" w:color="auto"/>
        <w:bottom w:val="none" w:sz="0" w:space="0" w:color="auto"/>
        <w:right w:val="none" w:sz="0" w:space="0" w:color="auto"/>
      </w:divBdr>
      <w:divsChild>
        <w:div w:id="116416359">
          <w:marLeft w:val="0"/>
          <w:marRight w:val="0"/>
          <w:marTop w:val="0"/>
          <w:marBottom w:val="0"/>
          <w:divBdr>
            <w:top w:val="none" w:sz="0" w:space="0" w:color="auto"/>
            <w:left w:val="none" w:sz="0" w:space="0" w:color="auto"/>
            <w:bottom w:val="none" w:sz="0" w:space="0" w:color="auto"/>
            <w:right w:val="none" w:sz="0" w:space="0" w:color="auto"/>
          </w:divBdr>
        </w:div>
      </w:divsChild>
    </w:div>
    <w:div w:id="116416352">
      <w:marLeft w:val="180"/>
      <w:marRight w:val="180"/>
      <w:marTop w:val="0"/>
      <w:marBottom w:val="0"/>
      <w:divBdr>
        <w:top w:val="none" w:sz="0" w:space="0" w:color="auto"/>
        <w:left w:val="none" w:sz="0" w:space="0" w:color="auto"/>
        <w:bottom w:val="none" w:sz="0" w:space="0" w:color="auto"/>
        <w:right w:val="none" w:sz="0" w:space="0" w:color="auto"/>
      </w:divBdr>
      <w:divsChild>
        <w:div w:id="116416353">
          <w:marLeft w:val="0"/>
          <w:marRight w:val="0"/>
          <w:marTop w:val="0"/>
          <w:marBottom w:val="0"/>
          <w:divBdr>
            <w:top w:val="none" w:sz="0" w:space="0" w:color="auto"/>
            <w:left w:val="none" w:sz="0" w:space="0" w:color="auto"/>
            <w:bottom w:val="none" w:sz="0" w:space="0" w:color="auto"/>
            <w:right w:val="none" w:sz="0" w:space="0" w:color="auto"/>
          </w:divBdr>
        </w:div>
      </w:divsChild>
    </w:div>
    <w:div w:id="116416354">
      <w:marLeft w:val="180"/>
      <w:marRight w:val="180"/>
      <w:marTop w:val="0"/>
      <w:marBottom w:val="0"/>
      <w:divBdr>
        <w:top w:val="none" w:sz="0" w:space="0" w:color="auto"/>
        <w:left w:val="none" w:sz="0" w:space="0" w:color="auto"/>
        <w:bottom w:val="none" w:sz="0" w:space="0" w:color="auto"/>
        <w:right w:val="none" w:sz="0" w:space="0" w:color="auto"/>
      </w:divBdr>
      <w:divsChild>
        <w:div w:id="116416358">
          <w:marLeft w:val="0"/>
          <w:marRight w:val="0"/>
          <w:marTop w:val="0"/>
          <w:marBottom w:val="0"/>
          <w:divBdr>
            <w:top w:val="none" w:sz="0" w:space="0" w:color="auto"/>
            <w:left w:val="none" w:sz="0" w:space="0" w:color="auto"/>
            <w:bottom w:val="none" w:sz="0" w:space="0" w:color="auto"/>
            <w:right w:val="none" w:sz="0" w:space="0" w:color="auto"/>
          </w:divBdr>
        </w:div>
      </w:divsChild>
    </w:div>
    <w:div w:id="116416355">
      <w:marLeft w:val="180"/>
      <w:marRight w:val="180"/>
      <w:marTop w:val="0"/>
      <w:marBottom w:val="0"/>
      <w:divBdr>
        <w:top w:val="none" w:sz="0" w:space="0" w:color="auto"/>
        <w:left w:val="none" w:sz="0" w:space="0" w:color="auto"/>
        <w:bottom w:val="none" w:sz="0" w:space="0" w:color="auto"/>
        <w:right w:val="none" w:sz="0" w:space="0" w:color="auto"/>
      </w:divBdr>
      <w:divsChild>
        <w:div w:id="116416357">
          <w:marLeft w:val="0"/>
          <w:marRight w:val="0"/>
          <w:marTop w:val="0"/>
          <w:marBottom w:val="0"/>
          <w:divBdr>
            <w:top w:val="none" w:sz="0" w:space="0" w:color="auto"/>
            <w:left w:val="none" w:sz="0" w:space="0" w:color="auto"/>
            <w:bottom w:val="none" w:sz="0" w:space="0" w:color="auto"/>
            <w:right w:val="none" w:sz="0" w:space="0" w:color="auto"/>
          </w:divBdr>
        </w:div>
      </w:divsChild>
    </w:div>
    <w:div w:id="116416356">
      <w:marLeft w:val="180"/>
      <w:marRight w:val="180"/>
      <w:marTop w:val="0"/>
      <w:marBottom w:val="0"/>
      <w:divBdr>
        <w:top w:val="none" w:sz="0" w:space="0" w:color="auto"/>
        <w:left w:val="none" w:sz="0" w:space="0" w:color="auto"/>
        <w:bottom w:val="none" w:sz="0" w:space="0" w:color="auto"/>
        <w:right w:val="none" w:sz="0" w:space="0" w:color="auto"/>
      </w:divBdr>
      <w:divsChild>
        <w:div w:id="116416360">
          <w:marLeft w:val="0"/>
          <w:marRight w:val="0"/>
          <w:marTop w:val="0"/>
          <w:marBottom w:val="0"/>
          <w:divBdr>
            <w:top w:val="none" w:sz="0" w:space="0" w:color="auto"/>
            <w:left w:val="none" w:sz="0" w:space="0" w:color="auto"/>
            <w:bottom w:val="none" w:sz="0" w:space="0" w:color="auto"/>
            <w:right w:val="none" w:sz="0" w:space="0" w:color="auto"/>
          </w:divBdr>
        </w:div>
      </w:divsChild>
    </w:div>
    <w:div w:id="116416361">
      <w:marLeft w:val="180"/>
      <w:marRight w:val="180"/>
      <w:marTop w:val="0"/>
      <w:marBottom w:val="0"/>
      <w:divBdr>
        <w:top w:val="none" w:sz="0" w:space="0" w:color="auto"/>
        <w:left w:val="none" w:sz="0" w:space="0" w:color="auto"/>
        <w:bottom w:val="none" w:sz="0" w:space="0" w:color="auto"/>
        <w:right w:val="none" w:sz="0" w:space="0" w:color="auto"/>
      </w:divBdr>
      <w:divsChild>
        <w:div w:id="116416409">
          <w:marLeft w:val="0"/>
          <w:marRight w:val="0"/>
          <w:marTop w:val="0"/>
          <w:marBottom w:val="0"/>
          <w:divBdr>
            <w:top w:val="none" w:sz="0" w:space="0" w:color="auto"/>
            <w:left w:val="none" w:sz="0" w:space="0" w:color="auto"/>
            <w:bottom w:val="none" w:sz="0" w:space="0" w:color="auto"/>
            <w:right w:val="none" w:sz="0" w:space="0" w:color="auto"/>
          </w:divBdr>
        </w:div>
      </w:divsChild>
    </w:div>
    <w:div w:id="116416362">
      <w:marLeft w:val="180"/>
      <w:marRight w:val="180"/>
      <w:marTop w:val="0"/>
      <w:marBottom w:val="0"/>
      <w:divBdr>
        <w:top w:val="none" w:sz="0" w:space="0" w:color="auto"/>
        <w:left w:val="none" w:sz="0" w:space="0" w:color="auto"/>
        <w:bottom w:val="none" w:sz="0" w:space="0" w:color="auto"/>
        <w:right w:val="none" w:sz="0" w:space="0" w:color="auto"/>
      </w:divBdr>
      <w:divsChild>
        <w:div w:id="116416408">
          <w:marLeft w:val="0"/>
          <w:marRight w:val="0"/>
          <w:marTop w:val="0"/>
          <w:marBottom w:val="0"/>
          <w:divBdr>
            <w:top w:val="none" w:sz="0" w:space="0" w:color="auto"/>
            <w:left w:val="none" w:sz="0" w:space="0" w:color="auto"/>
            <w:bottom w:val="none" w:sz="0" w:space="0" w:color="auto"/>
            <w:right w:val="none" w:sz="0" w:space="0" w:color="auto"/>
          </w:divBdr>
        </w:div>
      </w:divsChild>
    </w:div>
    <w:div w:id="116416363">
      <w:marLeft w:val="0"/>
      <w:marRight w:val="0"/>
      <w:marTop w:val="0"/>
      <w:marBottom w:val="0"/>
      <w:divBdr>
        <w:top w:val="none" w:sz="0" w:space="0" w:color="auto"/>
        <w:left w:val="none" w:sz="0" w:space="0" w:color="auto"/>
        <w:bottom w:val="none" w:sz="0" w:space="0" w:color="auto"/>
        <w:right w:val="none" w:sz="0" w:space="0" w:color="auto"/>
      </w:divBdr>
      <w:divsChild>
        <w:div w:id="116416387">
          <w:marLeft w:val="0"/>
          <w:marRight w:val="0"/>
          <w:marTop w:val="0"/>
          <w:marBottom w:val="0"/>
          <w:divBdr>
            <w:top w:val="none" w:sz="0" w:space="0" w:color="auto"/>
            <w:left w:val="none" w:sz="0" w:space="0" w:color="auto"/>
            <w:bottom w:val="none" w:sz="0" w:space="0" w:color="auto"/>
            <w:right w:val="none" w:sz="0" w:space="0" w:color="auto"/>
          </w:divBdr>
          <w:divsChild>
            <w:div w:id="116416380">
              <w:marLeft w:val="0"/>
              <w:marRight w:val="0"/>
              <w:marTop w:val="0"/>
              <w:marBottom w:val="0"/>
              <w:divBdr>
                <w:top w:val="none" w:sz="0" w:space="0" w:color="auto"/>
                <w:left w:val="none" w:sz="0" w:space="0" w:color="auto"/>
                <w:bottom w:val="none" w:sz="0" w:space="0" w:color="auto"/>
                <w:right w:val="none" w:sz="0" w:space="0" w:color="auto"/>
              </w:divBdr>
              <w:divsChild>
                <w:div w:id="116416396">
                  <w:marLeft w:val="0"/>
                  <w:marRight w:val="0"/>
                  <w:marTop w:val="0"/>
                  <w:marBottom w:val="0"/>
                  <w:divBdr>
                    <w:top w:val="none" w:sz="0" w:space="0" w:color="auto"/>
                    <w:left w:val="none" w:sz="0" w:space="0" w:color="auto"/>
                    <w:bottom w:val="none" w:sz="0" w:space="0" w:color="auto"/>
                    <w:right w:val="none" w:sz="0" w:space="0" w:color="auto"/>
                  </w:divBdr>
                  <w:divsChild>
                    <w:div w:id="116416367">
                      <w:marLeft w:val="0"/>
                      <w:marRight w:val="0"/>
                      <w:marTop w:val="0"/>
                      <w:marBottom w:val="0"/>
                      <w:divBdr>
                        <w:top w:val="none" w:sz="0" w:space="0" w:color="auto"/>
                        <w:left w:val="none" w:sz="0" w:space="0" w:color="auto"/>
                        <w:bottom w:val="none" w:sz="0" w:space="0" w:color="auto"/>
                        <w:right w:val="none" w:sz="0" w:space="0" w:color="auto"/>
                      </w:divBdr>
                      <w:divsChild>
                        <w:div w:id="116416369">
                          <w:marLeft w:val="0"/>
                          <w:marRight w:val="0"/>
                          <w:marTop w:val="0"/>
                          <w:marBottom w:val="0"/>
                          <w:divBdr>
                            <w:top w:val="none" w:sz="0" w:space="0" w:color="auto"/>
                            <w:left w:val="none" w:sz="0" w:space="0" w:color="auto"/>
                            <w:bottom w:val="none" w:sz="0" w:space="0" w:color="auto"/>
                            <w:right w:val="none" w:sz="0" w:space="0" w:color="auto"/>
                          </w:divBdr>
                          <w:divsChild>
                            <w:div w:id="116416365">
                              <w:marLeft w:val="0"/>
                              <w:marRight w:val="0"/>
                              <w:marTop w:val="0"/>
                              <w:marBottom w:val="0"/>
                              <w:divBdr>
                                <w:top w:val="none" w:sz="0" w:space="0" w:color="auto"/>
                                <w:left w:val="none" w:sz="0" w:space="0" w:color="auto"/>
                                <w:bottom w:val="none" w:sz="0" w:space="0" w:color="auto"/>
                                <w:right w:val="none" w:sz="0" w:space="0" w:color="auto"/>
                              </w:divBdr>
                            </w:div>
                            <w:div w:id="116416377">
                              <w:marLeft w:val="0"/>
                              <w:marRight w:val="0"/>
                              <w:marTop w:val="0"/>
                              <w:marBottom w:val="0"/>
                              <w:divBdr>
                                <w:top w:val="none" w:sz="0" w:space="0" w:color="auto"/>
                                <w:left w:val="none" w:sz="0" w:space="0" w:color="auto"/>
                                <w:bottom w:val="none" w:sz="0" w:space="0" w:color="auto"/>
                                <w:right w:val="none" w:sz="0" w:space="0" w:color="auto"/>
                              </w:divBdr>
                            </w:div>
                            <w:div w:id="116416378">
                              <w:marLeft w:val="0"/>
                              <w:marRight w:val="0"/>
                              <w:marTop w:val="0"/>
                              <w:marBottom w:val="0"/>
                              <w:divBdr>
                                <w:top w:val="none" w:sz="0" w:space="0" w:color="auto"/>
                                <w:left w:val="none" w:sz="0" w:space="0" w:color="auto"/>
                                <w:bottom w:val="none" w:sz="0" w:space="0" w:color="auto"/>
                                <w:right w:val="none" w:sz="0" w:space="0" w:color="auto"/>
                              </w:divBdr>
                            </w:div>
                            <w:div w:id="116416382">
                              <w:marLeft w:val="0"/>
                              <w:marRight w:val="0"/>
                              <w:marTop w:val="0"/>
                              <w:marBottom w:val="0"/>
                              <w:divBdr>
                                <w:top w:val="none" w:sz="0" w:space="0" w:color="auto"/>
                                <w:left w:val="none" w:sz="0" w:space="0" w:color="auto"/>
                                <w:bottom w:val="none" w:sz="0" w:space="0" w:color="auto"/>
                                <w:right w:val="none" w:sz="0" w:space="0" w:color="auto"/>
                              </w:divBdr>
                            </w:div>
                            <w:div w:id="116416389">
                              <w:marLeft w:val="0"/>
                              <w:marRight w:val="0"/>
                              <w:marTop w:val="0"/>
                              <w:marBottom w:val="0"/>
                              <w:divBdr>
                                <w:top w:val="none" w:sz="0" w:space="0" w:color="auto"/>
                                <w:left w:val="none" w:sz="0" w:space="0" w:color="auto"/>
                                <w:bottom w:val="none" w:sz="0" w:space="0" w:color="auto"/>
                                <w:right w:val="none" w:sz="0" w:space="0" w:color="auto"/>
                              </w:divBdr>
                            </w:div>
                            <w:div w:id="116416390">
                              <w:marLeft w:val="0"/>
                              <w:marRight w:val="0"/>
                              <w:marTop w:val="0"/>
                              <w:marBottom w:val="0"/>
                              <w:divBdr>
                                <w:top w:val="none" w:sz="0" w:space="0" w:color="auto"/>
                                <w:left w:val="none" w:sz="0" w:space="0" w:color="auto"/>
                                <w:bottom w:val="none" w:sz="0" w:space="0" w:color="auto"/>
                                <w:right w:val="none" w:sz="0" w:space="0" w:color="auto"/>
                              </w:divBdr>
                            </w:div>
                            <w:div w:id="116416394">
                              <w:marLeft w:val="0"/>
                              <w:marRight w:val="0"/>
                              <w:marTop w:val="0"/>
                              <w:marBottom w:val="0"/>
                              <w:divBdr>
                                <w:top w:val="none" w:sz="0" w:space="0" w:color="auto"/>
                                <w:left w:val="none" w:sz="0" w:space="0" w:color="auto"/>
                                <w:bottom w:val="none" w:sz="0" w:space="0" w:color="auto"/>
                                <w:right w:val="none" w:sz="0" w:space="0" w:color="auto"/>
                              </w:divBdr>
                            </w:div>
                            <w:div w:id="116416398">
                              <w:marLeft w:val="0"/>
                              <w:marRight w:val="0"/>
                              <w:marTop w:val="0"/>
                              <w:marBottom w:val="0"/>
                              <w:divBdr>
                                <w:top w:val="none" w:sz="0" w:space="0" w:color="auto"/>
                                <w:left w:val="none" w:sz="0" w:space="0" w:color="auto"/>
                                <w:bottom w:val="none" w:sz="0" w:space="0" w:color="auto"/>
                                <w:right w:val="none" w:sz="0" w:space="0" w:color="auto"/>
                              </w:divBdr>
                            </w:div>
                            <w:div w:id="116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6364">
      <w:marLeft w:val="0"/>
      <w:marRight w:val="0"/>
      <w:marTop w:val="0"/>
      <w:marBottom w:val="0"/>
      <w:divBdr>
        <w:top w:val="none" w:sz="0" w:space="0" w:color="auto"/>
        <w:left w:val="none" w:sz="0" w:space="0" w:color="auto"/>
        <w:bottom w:val="none" w:sz="0" w:space="0" w:color="auto"/>
        <w:right w:val="none" w:sz="0" w:space="0" w:color="auto"/>
      </w:divBdr>
      <w:divsChild>
        <w:div w:id="116416373">
          <w:marLeft w:val="0"/>
          <w:marRight w:val="0"/>
          <w:marTop w:val="0"/>
          <w:marBottom w:val="0"/>
          <w:divBdr>
            <w:top w:val="none" w:sz="0" w:space="0" w:color="auto"/>
            <w:left w:val="none" w:sz="0" w:space="0" w:color="auto"/>
            <w:bottom w:val="none" w:sz="0" w:space="0" w:color="auto"/>
            <w:right w:val="none" w:sz="0" w:space="0" w:color="auto"/>
          </w:divBdr>
          <w:divsChild>
            <w:div w:id="116416384">
              <w:marLeft w:val="0"/>
              <w:marRight w:val="0"/>
              <w:marTop w:val="0"/>
              <w:marBottom w:val="0"/>
              <w:divBdr>
                <w:top w:val="none" w:sz="0" w:space="0" w:color="auto"/>
                <w:left w:val="none" w:sz="0" w:space="0" w:color="auto"/>
                <w:bottom w:val="none" w:sz="0" w:space="0" w:color="auto"/>
                <w:right w:val="none" w:sz="0" w:space="0" w:color="auto"/>
              </w:divBdr>
              <w:divsChild>
                <w:div w:id="116416366">
                  <w:marLeft w:val="0"/>
                  <w:marRight w:val="0"/>
                  <w:marTop w:val="0"/>
                  <w:marBottom w:val="0"/>
                  <w:divBdr>
                    <w:top w:val="none" w:sz="0" w:space="0" w:color="auto"/>
                    <w:left w:val="none" w:sz="0" w:space="0" w:color="auto"/>
                    <w:bottom w:val="none" w:sz="0" w:space="0" w:color="auto"/>
                    <w:right w:val="none" w:sz="0" w:space="0" w:color="auto"/>
                  </w:divBdr>
                  <w:divsChild>
                    <w:div w:id="116416379">
                      <w:marLeft w:val="0"/>
                      <w:marRight w:val="0"/>
                      <w:marTop w:val="0"/>
                      <w:marBottom w:val="0"/>
                      <w:divBdr>
                        <w:top w:val="none" w:sz="0" w:space="0" w:color="auto"/>
                        <w:left w:val="none" w:sz="0" w:space="0" w:color="auto"/>
                        <w:bottom w:val="none" w:sz="0" w:space="0" w:color="auto"/>
                        <w:right w:val="none" w:sz="0" w:space="0" w:color="auto"/>
                      </w:divBdr>
                      <w:divsChild>
                        <w:div w:id="1164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6375">
      <w:marLeft w:val="0"/>
      <w:marRight w:val="0"/>
      <w:marTop w:val="0"/>
      <w:marBottom w:val="0"/>
      <w:divBdr>
        <w:top w:val="none" w:sz="0" w:space="0" w:color="auto"/>
        <w:left w:val="none" w:sz="0" w:space="0" w:color="auto"/>
        <w:bottom w:val="none" w:sz="0" w:space="0" w:color="auto"/>
        <w:right w:val="none" w:sz="0" w:space="0" w:color="auto"/>
      </w:divBdr>
      <w:divsChild>
        <w:div w:id="116416386">
          <w:marLeft w:val="0"/>
          <w:marRight w:val="0"/>
          <w:marTop w:val="0"/>
          <w:marBottom w:val="0"/>
          <w:divBdr>
            <w:top w:val="none" w:sz="0" w:space="0" w:color="auto"/>
            <w:left w:val="none" w:sz="0" w:space="0" w:color="auto"/>
            <w:bottom w:val="none" w:sz="0" w:space="0" w:color="auto"/>
            <w:right w:val="none" w:sz="0" w:space="0" w:color="auto"/>
          </w:divBdr>
          <w:divsChild>
            <w:div w:id="116416392">
              <w:marLeft w:val="0"/>
              <w:marRight w:val="0"/>
              <w:marTop w:val="0"/>
              <w:marBottom w:val="0"/>
              <w:divBdr>
                <w:top w:val="none" w:sz="0" w:space="0" w:color="auto"/>
                <w:left w:val="none" w:sz="0" w:space="0" w:color="auto"/>
                <w:bottom w:val="none" w:sz="0" w:space="0" w:color="auto"/>
                <w:right w:val="none" w:sz="0" w:space="0" w:color="auto"/>
              </w:divBdr>
              <w:divsChild>
                <w:div w:id="116416397">
                  <w:marLeft w:val="0"/>
                  <w:marRight w:val="0"/>
                  <w:marTop w:val="0"/>
                  <w:marBottom w:val="0"/>
                  <w:divBdr>
                    <w:top w:val="none" w:sz="0" w:space="0" w:color="auto"/>
                    <w:left w:val="none" w:sz="0" w:space="0" w:color="auto"/>
                    <w:bottom w:val="none" w:sz="0" w:space="0" w:color="auto"/>
                    <w:right w:val="none" w:sz="0" w:space="0" w:color="auto"/>
                  </w:divBdr>
                  <w:divsChild>
                    <w:div w:id="116416388">
                      <w:marLeft w:val="0"/>
                      <w:marRight w:val="0"/>
                      <w:marTop w:val="0"/>
                      <w:marBottom w:val="0"/>
                      <w:divBdr>
                        <w:top w:val="none" w:sz="0" w:space="0" w:color="auto"/>
                        <w:left w:val="none" w:sz="0" w:space="0" w:color="auto"/>
                        <w:bottom w:val="none" w:sz="0" w:space="0" w:color="auto"/>
                        <w:right w:val="none" w:sz="0" w:space="0" w:color="auto"/>
                      </w:divBdr>
                      <w:divsChild>
                        <w:div w:id="1164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6376">
      <w:marLeft w:val="180"/>
      <w:marRight w:val="180"/>
      <w:marTop w:val="0"/>
      <w:marBottom w:val="0"/>
      <w:divBdr>
        <w:top w:val="none" w:sz="0" w:space="0" w:color="auto"/>
        <w:left w:val="none" w:sz="0" w:space="0" w:color="auto"/>
        <w:bottom w:val="none" w:sz="0" w:space="0" w:color="auto"/>
        <w:right w:val="none" w:sz="0" w:space="0" w:color="auto"/>
      </w:divBdr>
      <w:divsChild>
        <w:div w:id="116416370">
          <w:marLeft w:val="0"/>
          <w:marRight w:val="0"/>
          <w:marTop w:val="0"/>
          <w:marBottom w:val="0"/>
          <w:divBdr>
            <w:top w:val="none" w:sz="0" w:space="0" w:color="auto"/>
            <w:left w:val="none" w:sz="0" w:space="0" w:color="auto"/>
            <w:bottom w:val="none" w:sz="0" w:space="0" w:color="auto"/>
            <w:right w:val="none" w:sz="0" w:space="0" w:color="auto"/>
          </w:divBdr>
        </w:div>
      </w:divsChild>
    </w:div>
    <w:div w:id="116416385">
      <w:marLeft w:val="180"/>
      <w:marRight w:val="180"/>
      <w:marTop w:val="0"/>
      <w:marBottom w:val="0"/>
      <w:divBdr>
        <w:top w:val="none" w:sz="0" w:space="0" w:color="auto"/>
        <w:left w:val="none" w:sz="0" w:space="0" w:color="auto"/>
        <w:bottom w:val="none" w:sz="0" w:space="0" w:color="auto"/>
        <w:right w:val="none" w:sz="0" w:space="0" w:color="auto"/>
      </w:divBdr>
      <w:divsChild>
        <w:div w:id="116416405">
          <w:marLeft w:val="0"/>
          <w:marRight w:val="0"/>
          <w:marTop w:val="0"/>
          <w:marBottom w:val="0"/>
          <w:divBdr>
            <w:top w:val="none" w:sz="0" w:space="0" w:color="auto"/>
            <w:left w:val="none" w:sz="0" w:space="0" w:color="auto"/>
            <w:bottom w:val="none" w:sz="0" w:space="0" w:color="auto"/>
            <w:right w:val="none" w:sz="0" w:space="0" w:color="auto"/>
          </w:divBdr>
        </w:div>
      </w:divsChild>
    </w:div>
    <w:div w:id="116416393">
      <w:marLeft w:val="180"/>
      <w:marRight w:val="180"/>
      <w:marTop w:val="0"/>
      <w:marBottom w:val="0"/>
      <w:divBdr>
        <w:top w:val="none" w:sz="0" w:space="0" w:color="auto"/>
        <w:left w:val="none" w:sz="0" w:space="0" w:color="auto"/>
        <w:bottom w:val="none" w:sz="0" w:space="0" w:color="auto"/>
        <w:right w:val="none" w:sz="0" w:space="0" w:color="auto"/>
      </w:divBdr>
      <w:divsChild>
        <w:div w:id="116416406">
          <w:marLeft w:val="0"/>
          <w:marRight w:val="0"/>
          <w:marTop w:val="0"/>
          <w:marBottom w:val="0"/>
          <w:divBdr>
            <w:top w:val="none" w:sz="0" w:space="0" w:color="auto"/>
            <w:left w:val="none" w:sz="0" w:space="0" w:color="auto"/>
            <w:bottom w:val="none" w:sz="0" w:space="0" w:color="auto"/>
            <w:right w:val="none" w:sz="0" w:space="0" w:color="auto"/>
          </w:divBdr>
        </w:div>
      </w:divsChild>
    </w:div>
    <w:div w:id="116416395">
      <w:marLeft w:val="180"/>
      <w:marRight w:val="180"/>
      <w:marTop w:val="0"/>
      <w:marBottom w:val="0"/>
      <w:divBdr>
        <w:top w:val="none" w:sz="0" w:space="0" w:color="auto"/>
        <w:left w:val="none" w:sz="0" w:space="0" w:color="auto"/>
        <w:bottom w:val="none" w:sz="0" w:space="0" w:color="auto"/>
        <w:right w:val="none" w:sz="0" w:space="0" w:color="auto"/>
      </w:divBdr>
      <w:divsChild>
        <w:div w:id="116416368">
          <w:marLeft w:val="0"/>
          <w:marRight w:val="0"/>
          <w:marTop w:val="0"/>
          <w:marBottom w:val="0"/>
          <w:divBdr>
            <w:top w:val="none" w:sz="0" w:space="0" w:color="auto"/>
            <w:left w:val="none" w:sz="0" w:space="0" w:color="auto"/>
            <w:bottom w:val="none" w:sz="0" w:space="0" w:color="auto"/>
            <w:right w:val="none" w:sz="0" w:space="0" w:color="auto"/>
          </w:divBdr>
        </w:div>
      </w:divsChild>
    </w:div>
    <w:div w:id="116416399">
      <w:marLeft w:val="0"/>
      <w:marRight w:val="0"/>
      <w:marTop w:val="0"/>
      <w:marBottom w:val="0"/>
      <w:divBdr>
        <w:top w:val="none" w:sz="0" w:space="0" w:color="auto"/>
        <w:left w:val="none" w:sz="0" w:space="0" w:color="auto"/>
        <w:bottom w:val="none" w:sz="0" w:space="0" w:color="auto"/>
        <w:right w:val="none" w:sz="0" w:space="0" w:color="auto"/>
      </w:divBdr>
      <w:divsChild>
        <w:div w:id="116416383">
          <w:marLeft w:val="0"/>
          <w:marRight w:val="0"/>
          <w:marTop w:val="0"/>
          <w:marBottom w:val="0"/>
          <w:divBdr>
            <w:top w:val="none" w:sz="0" w:space="0" w:color="auto"/>
            <w:left w:val="none" w:sz="0" w:space="0" w:color="auto"/>
            <w:bottom w:val="none" w:sz="0" w:space="0" w:color="auto"/>
            <w:right w:val="none" w:sz="0" w:space="0" w:color="auto"/>
          </w:divBdr>
          <w:divsChild>
            <w:div w:id="116416403">
              <w:marLeft w:val="0"/>
              <w:marRight w:val="0"/>
              <w:marTop w:val="0"/>
              <w:marBottom w:val="0"/>
              <w:divBdr>
                <w:top w:val="none" w:sz="0" w:space="0" w:color="auto"/>
                <w:left w:val="none" w:sz="0" w:space="0" w:color="auto"/>
                <w:bottom w:val="none" w:sz="0" w:space="0" w:color="auto"/>
                <w:right w:val="none" w:sz="0" w:space="0" w:color="auto"/>
              </w:divBdr>
              <w:divsChild>
                <w:div w:id="116416391">
                  <w:marLeft w:val="0"/>
                  <w:marRight w:val="0"/>
                  <w:marTop w:val="0"/>
                  <w:marBottom w:val="0"/>
                  <w:divBdr>
                    <w:top w:val="none" w:sz="0" w:space="0" w:color="auto"/>
                    <w:left w:val="none" w:sz="0" w:space="0" w:color="auto"/>
                    <w:bottom w:val="none" w:sz="0" w:space="0" w:color="auto"/>
                    <w:right w:val="none" w:sz="0" w:space="0" w:color="auto"/>
                  </w:divBdr>
                  <w:divsChild>
                    <w:div w:id="116416374">
                      <w:marLeft w:val="0"/>
                      <w:marRight w:val="0"/>
                      <w:marTop w:val="0"/>
                      <w:marBottom w:val="0"/>
                      <w:divBdr>
                        <w:top w:val="none" w:sz="0" w:space="0" w:color="auto"/>
                        <w:left w:val="none" w:sz="0" w:space="0" w:color="auto"/>
                        <w:bottom w:val="none" w:sz="0" w:space="0" w:color="auto"/>
                        <w:right w:val="none" w:sz="0" w:space="0" w:color="auto"/>
                      </w:divBdr>
                      <w:divsChild>
                        <w:div w:id="116416400">
                          <w:marLeft w:val="0"/>
                          <w:marRight w:val="0"/>
                          <w:marTop w:val="0"/>
                          <w:marBottom w:val="0"/>
                          <w:divBdr>
                            <w:top w:val="none" w:sz="0" w:space="0" w:color="auto"/>
                            <w:left w:val="none" w:sz="0" w:space="0" w:color="auto"/>
                            <w:bottom w:val="none" w:sz="0" w:space="0" w:color="auto"/>
                            <w:right w:val="none" w:sz="0" w:space="0" w:color="auto"/>
                          </w:divBdr>
                          <w:divsChild>
                            <w:div w:id="116416371">
                              <w:marLeft w:val="0"/>
                              <w:marRight w:val="0"/>
                              <w:marTop w:val="0"/>
                              <w:marBottom w:val="0"/>
                              <w:divBdr>
                                <w:top w:val="none" w:sz="0" w:space="0" w:color="auto"/>
                                <w:left w:val="none" w:sz="0" w:space="0" w:color="auto"/>
                                <w:bottom w:val="none" w:sz="0" w:space="0" w:color="auto"/>
                                <w:right w:val="none" w:sz="0" w:space="0" w:color="auto"/>
                              </w:divBdr>
                            </w:div>
                            <w:div w:id="116416401">
                              <w:marLeft w:val="0"/>
                              <w:marRight w:val="0"/>
                              <w:marTop w:val="0"/>
                              <w:marBottom w:val="0"/>
                              <w:divBdr>
                                <w:top w:val="none" w:sz="0" w:space="0" w:color="auto"/>
                                <w:left w:val="none" w:sz="0" w:space="0" w:color="auto"/>
                                <w:bottom w:val="none" w:sz="0" w:space="0" w:color="auto"/>
                                <w:right w:val="none" w:sz="0" w:space="0" w:color="auto"/>
                              </w:divBdr>
                            </w:div>
                            <w:div w:id="1164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6410">
      <w:marLeft w:val="180"/>
      <w:marRight w:val="180"/>
      <w:marTop w:val="0"/>
      <w:marBottom w:val="0"/>
      <w:divBdr>
        <w:top w:val="none" w:sz="0" w:space="0" w:color="auto"/>
        <w:left w:val="none" w:sz="0" w:space="0" w:color="auto"/>
        <w:bottom w:val="none" w:sz="0" w:space="0" w:color="auto"/>
        <w:right w:val="none" w:sz="0" w:space="0" w:color="auto"/>
      </w:divBdr>
      <w:divsChild>
        <w:div w:id="116416407">
          <w:marLeft w:val="0"/>
          <w:marRight w:val="0"/>
          <w:marTop w:val="0"/>
          <w:marBottom w:val="0"/>
          <w:divBdr>
            <w:top w:val="none" w:sz="0" w:space="0" w:color="auto"/>
            <w:left w:val="none" w:sz="0" w:space="0" w:color="auto"/>
            <w:bottom w:val="none" w:sz="0" w:space="0" w:color="auto"/>
            <w:right w:val="none" w:sz="0" w:space="0" w:color="auto"/>
          </w:divBdr>
        </w:div>
      </w:divsChild>
    </w:div>
    <w:div w:id="116416412">
      <w:marLeft w:val="180"/>
      <w:marRight w:val="180"/>
      <w:marTop w:val="0"/>
      <w:marBottom w:val="0"/>
      <w:divBdr>
        <w:top w:val="none" w:sz="0" w:space="0" w:color="auto"/>
        <w:left w:val="none" w:sz="0" w:space="0" w:color="auto"/>
        <w:bottom w:val="none" w:sz="0" w:space="0" w:color="auto"/>
        <w:right w:val="none" w:sz="0" w:space="0" w:color="auto"/>
      </w:divBdr>
      <w:divsChild>
        <w:div w:id="116416415">
          <w:marLeft w:val="0"/>
          <w:marRight w:val="0"/>
          <w:marTop w:val="0"/>
          <w:marBottom w:val="0"/>
          <w:divBdr>
            <w:top w:val="none" w:sz="0" w:space="0" w:color="auto"/>
            <w:left w:val="none" w:sz="0" w:space="0" w:color="auto"/>
            <w:bottom w:val="none" w:sz="0" w:space="0" w:color="auto"/>
            <w:right w:val="none" w:sz="0" w:space="0" w:color="auto"/>
          </w:divBdr>
        </w:div>
      </w:divsChild>
    </w:div>
    <w:div w:id="116416413">
      <w:marLeft w:val="180"/>
      <w:marRight w:val="180"/>
      <w:marTop w:val="0"/>
      <w:marBottom w:val="0"/>
      <w:divBdr>
        <w:top w:val="none" w:sz="0" w:space="0" w:color="auto"/>
        <w:left w:val="none" w:sz="0" w:space="0" w:color="auto"/>
        <w:bottom w:val="none" w:sz="0" w:space="0" w:color="auto"/>
        <w:right w:val="none" w:sz="0" w:space="0" w:color="auto"/>
      </w:divBdr>
      <w:divsChild>
        <w:div w:id="116416414">
          <w:marLeft w:val="0"/>
          <w:marRight w:val="0"/>
          <w:marTop w:val="0"/>
          <w:marBottom w:val="0"/>
          <w:divBdr>
            <w:top w:val="none" w:sz="0" w:space="0" w:color="auto"/>
            <w:left w:val="none" w:sz="0" w:space="0" w:color="auto"/>
            <w:bottom w:val="none" w:sz="0" w:space="0" w:color="auto"/>
            <w:right w:val="none" w:sz="0" w:space="0" w:color="auto"/>
          </w:divBdr>
        </w:div>
      </w:divsChild>
    </w:div>
    <w:div w:id="116416419">
      <w:marLeft w:val="144"/>
      <w:marRight w:val="144"/>
      <w:marTop w:val="0"/>
      <w:marBottom w:val="0"/>
      <w:divBdr>
        <w:top w:val="none" w:sz="0" w:space="0" w:color="auto"/>
        <w:left w:val="none" w:sz="0" w:space="0" w:color="auto"/>
        <w:bottom w:val="none" w:sz="0" w:space="0" w:color="auto"/>
        <w:right w:val="none" w:sz="0" w:space="0" w:color="auto"/>
      </w:divBdr>
      <w:divsChild>
        <w:div w:id="116416418">
          <w:marLeft w:val="0"/>
          <w:marRight w:val="0"/>
          <w:marTop w:val="0"/>
          <w:marBottom w:val="0"/>
          <w:divBdr>
            <w:top w:val="none" w:sz="0" w:space="0" w:color="auto"/>
            <w:left w:val="none" w:sz="0" w:space="0" w:color="auto"/>
            <w:bottom w:val="none" w:sz="0" w:space="0" w:color="auto"/>
            <w:right w:val="none" w:sz="0" w:space="0" w:color="auto"/>
          </w:divBdr>
        </w:div>
      </w:divsChild>
    </w:div>
    <w:div w:id="116416426">
      <w:marLeft w:val="38"/>
      <w:marRight w:val="38"/>
      <w:marTop w:val="38"/>
      <w:marBottom w:val="0"/>
      <w:divBdr>
        <w:top w:val="none" w:sz="0" w:space="0" w:color="auto"/>
        <w:left w:val="none" w:sz="0" w:space="0" w:color="auto"/>
        <w:bottom w:val="none" w:sz="0" w:space="0" w:color="auto"/>
        <w:right w:val="none" w:sz="0" w:space="0" w:color="auto"/>
      </w:divBdr>
      <w:divsChild>
        <w:div w:id="116416342">
          <w:marLeft w:val="48"/>
          <w:marRight w:val="48"/>
          <w:marTop w:val="0"/>
          <w:marBottom w:val="0"/>
          <w:divBdr>
            <w:top w:val="none" w:sz="0" w:space="0" w:color="auto"/>
            <w:left w:val="none" w:sz="0" w:space="0" w:color="auto"/>
            <w:bottom w:val="none" w:sz="0" w:space="0" w:color="auto"/>
            <w:right w:val="none" w:sz="0" w:space="0" w:color="auto"/>
          </w:divBdr>
          <w:divsChild>
            <w:div w:id="116416447">
              <w:marLeft w:val="0"/>
              <w:marRight w:val="0"/>
              <w:marTop w:val="0"/>
              <w:marBottom w:val="0"/>
              <w:divBdr>
                <w:top w:val="none" w:sz="0" w:space="0" w:color="auto"/>
                <w:left w:val="none" w:sz="0" w:space="0" w:color="auto"/>
                <w:bottom w:val="single" w:sz="48" w:space="0" w:color="FFFFFF"/>
                <w:right w:val="none" w:sz="0" w:space="0" w:color="auto"/>
              </w:divBdr>
              <w:divsChild>
                <w:div w:id="116416420">
                  <w:marLeft w:val="0"/>
                  <w:marRight w:val="0"/>
                  <w:marTop w:val="0"/>
                  <w:marBottom w:val="0"/>
                  <w:divBdr>
                    <w:top w:val="none" w:sz="0" w:space="0" w:color="auto"/>
                    <w:left w:val="none" w:sz="0" w:space="0" w:color="auto"/>
                    <w:bottom w:val="none" w:sz="0" w:space="0" w:color="auto"/>
                    <w:right w:val="none" w:sz="0" w:space="0" w:color="auto"/>
                  </w:divBdr>
                  <w:divsChild>
                    <w:div w:id="1164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434">
      <w:marLeft w:val="38"/>
      <w:marRight w:val="38"/>
      <w:marTop w:val="38"/>
      <w:marBottom w:val="0"/>
      <w:divBdr>
        <w:top w:val="none" w:sz="0" w:space="0" w:color="auto"/>
        <w:left w:val="none" w:sz="0" w:space="0" w:color="auto"/>
        <w:bottom w:val="none" w:sz="0" w:space="0" w:color="auto"/>
        <w:right w:val="none" w:sz="0" w:space="0" w:color="auto"/>
      </w:divBdr>
      <w:divsChild>
        <w:div w:id="116416443">
          <w:marLeft w:val="48"/>
          <w:marRight w:val="48"/>
          <w:marTop w:val="0"/>
          <w:marBottom w:val="0"/>
          <w:divBdr>
            <w:top w:val="none" w:sz="0" w:space="0" w:color="auto"/>
            <w:left w:val="none" w:sz="0" w:space="0" w:color="auto"/>
            <w:bottom w:val="none" w:sz="0" w:space="0" w:color="auto"/>
            <w:right w:val="none" w:sz="0" w:space="0" w:color="auto"/>
          </w:divBdr>
          <w:divsChild>
            <w:div w:id="116416336">
              <w:marLeft w:val="0"/>
              <w:marRight w:val="0"/>
              <w:marTop w:val="0"/>
              <w:marBottom w:val="0"/>
              <w:divBdr>
                <w:top w:val="none" w:sz="0" w:space="0" w:color="auto"/>
                <w:left w:val="none" w:sz="0" w:space="0" w:color="auto"/>
                <w:bottom w:val="single" w:sz="48" w:space="0" w:color="FFFFFF"/>
                <w:right w:val="none" w:sz="0" w:space="0" w:color="auto"/>
              </w:divBdr>
              <w:divsChild>
                <w:div w:id="116416439">
                  <w:marLeft w:val="0"/>
                  <w:marRight w:val="0"/>
                  <w:marTop w:val="0"/>
                  <w:marBottom w:val="0"/>
                  <w:divBdr>
                    <w:top w:val="none" w:sz="0" w:space="0" w:color="auto"/>
                    <w:left w:val="none" w:sz="0" w:space="0" w:color="auto"/>
                    <w:bottom w:val="none" w:sz="0" w:space="0" w:color="auto"/>
                    <w:right w:val="none" w:sz="0" w:space="0" w:color="auto"/>
                  </w:divBdr>
                  <w:divsChild>
                    <w:div w:id="116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435">
      <w:marLeft w:val="38"/>
      <w:marRight w:val="38"/>
      <w:marTop w:val="38"/>
      <w:marBottom w:val="0"/>
      <w:divBdr>
        <w:top w:val="none" w:sz="0" w:space="0" w:color="auto"/>
        <w:left w:val="none" w:sz="0" w:space="0" w:color="auto"/>
        <w:bottom w:val="none" w:sz="0" w:space="0" w:color="auto"/>
        <w:right w:val="none" w:sz="0" w:space="0" w:color="auto"/>
      </w:divBdr>
      <w:divsChild>
        <w:div w:id="116416446">
          <w:marLeft w:val="48"/>
          <w:marRight w:val="48"/>
          <w:marTop w:val="0"/>
          <w:marBottom w:val="0"/>
          <w:divBdr>
            <w:top w:val="none" w:sz="0" w:space="0" w:color="auto"/>
            <w:left w:val="none" w:sz="0" w:space="0" w:color="auto"/>
            <w:bottom w:val="none" w:sz="0" w:space="0" w:color="auto"/>
            <w:right w:val="none" w:sz="0" w:space="0" w:color="auto"/>
          </w:divBdr>
          <w:divsChild>
            <w:div w:id="116416432">
              <w:marLeft w:val="0"/>
              <w:marRight w:val="0"/>
              <w:marTop w:val="0"/>
              <w:marBottom w:val="0"/>
              <w:divBdr>
                <w:top w:val="none" w:sz="0" w:space="0" w:color="auto"/>
                <w:left w:val="none" w:sz="0" w:space="0" w:color="auto"/>
                <w:bottom w:val="single" w:sz="48" w:space="0" w:color="FFFFFF"/>
                <w:right w:val="none" w:sz="0" w:space="0" w:color="auto"/>
              </w:divBdr>
              <w:divsChild>
                <w:div w:id="116416423">
                  <w:marLeft w:val="0"/>
                  <w:marRight w:val="0"/>
                  <w:marTop w:val="0"/>
                  <w:marBottom w:val="0"/>
                  <w:divBdr>
                    <w:top w:val="none" w:sz="0" w:space="0" w:color="auto"/>
                    <w:left w:val="none" w:sz="0" w:space="0" w:color="auto"/>
                    <w:bottom w:val="none" w:sz="0" w:space="0" w:color="auto"/>
                    <w:right w:val="none" w:sz="0" w:space="0" w:color="auto"/>
                  </w:divBdr>
                  <w:divsChild>
                    <w:div w:id="1164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436">
      <w:marLeft w:val="38"/>
      <w:marRight w:val="38"/>
      <w:marTop w:val="38"/>
      <w:marBottom w:val="0"/>
      <w:divBdr>
        <w:top w:val="none" w:sz="0" w:space="0" w:color="auto"/>
        <w:left w:val="none" w:sz="0" w:space="0" w:color="auto"/>
        <w:bottom w:val="none" w:sz="0" w:space="0" w:color="auto"/>
        <w:right w:val="none" w:sz="0" w:space="0" w:color="auto"/>
      </w:divBdr>
      <w:divsChild>
        <w:div w:id="116416339">
          <w:marLeft w:val="48"/>
          <w:marRight w:val="48"/>
          <w:marTop w:val="0"/>
          <w:marBottom w:val="0"/>
          <w:divBdr>
            <w:top w:val="none" w:sz="0" w:space="0" w:color="auto"/>
            <w:left w:val="none" w:sz="0" w:space="0" w:color="auto"/>
            <w:bottom w:val="none" w:sz="0" w:space="0" w:color="auto"/>
            <w:right w:val="none" w:sz="0" w:space="0" w:color="auto"/>
          </w:divBdr>
          <w:divsChild>
            <w:div w:id="116416445">
              <w:marLeft w:val="0"/>
              <w:marRight w:val="0"/>
              <w:marTop w:val="0"/>
              <w:marBottom w:val="0"/>
              <w:divBdr>
                <w:top w:val="none" w:sz="0" w:space="0" w:color="auto"/>
                <w:left w:val="none" w:sz="0" w:space="0" w:color="auto"/>
                <w:bottom w:val="single" w:sz="48" w:space="0" w:color="FFFFFF"/>
                <w:right w:val="none" w:sz="0" w:space="0" w:color="auto"/>
              </w:divBdr>
              <w:divsChild>
                <w:div w:id="116416346">
                  <w:marLeft w:val="0"/>
                  <w:marRight w:val="0"/>
                  <w:marTop w:val="0"/>
                  <w:marBottom w:val="0"/>
                  <w:divBdr>
                    <w:top w:val="none" w:sz="0" w:space="0" w:color="auto"/>
                    <w:left w:val="none" w:sz="0" w:space="0" w:color="auto"/>
                    <w:bottom w:val="none" w:sz="0" w:space="0" w:color="auto"/>
                    <w:right w:val="none" w:sz="0" w:space="0" w:color="auto"/>
                  </w:divBdr>
                  <w:divsChild>
                    <w:div w:id="1164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441">
      <w:marLeft w:val="0"/>
      <w:marRight w:val="0"/>
      <w:marTop w:val="0"/>
      <w:marBottom w:val="0"/>
      <w:divBdr>
        <w:top w:val="none" w:sz="0" w:space="0" w:color="auto"/>
        <w:left w:val="none" w:sz="0" w:space="0" w:color="auto"/>
        <w:bottom w:val="none" w:sz="0" w:space="0" w:color="auto"/>
        <w:right w:val="none" w:sz="0" w:space="0" w:color="auto"/>
      </w:divBdr>
      <w:divsChild>
        <w:div w:id="116416347">
          <w:marLeft w:val="0"/>
          <w:marRight w:val="0"/>
          <w:marTop w:val="0"/>
          <w:marBottom w:val="0"/>
          <w:divBdr>
            <w:top w:val="none" w:sz="0" w:space="0" w:color="auto"/>
            <w:left w:val="none" w:sz="0" w:space="0" w:color="auto"/>
            <w:bottom w:val="none" w:sz="0" w:space="0" w:color="auto"/>
            <w:right w:val="none" w:sz="0" w:space="0" w:color="auto"/>
          </w:divBdr>
          <w:divsChild>
            <w:div w:id="116416331">
              <w:marLeft w:val="0"/>
              <w:marRight w:val="0"/>
              <w:marTop w:val="0"/>
              <w:marBottom w:val="0"/>
              <w:divBdr>
                <w:top w:val="none" w:sz="0" w:space="0" w:color="auto"/>
                <w:left w:val="none" w:sz="0" w:space="0" w:color="auto"/>
                <w:bottom w:val="none" w:sz="0" w:space="0" w:color="auto"/>
                <w:right w:val="none" w:sz="0" w:space="0" w:color="auto"/>
              </w:divBdr>
              <w:divsChild>
                <w:div w:id="116416343">
                  <w:marLeft w:val="0"/>
                  <w:marRight w:val="0"/>
                  <w:marTop w:val="0"/>
                  <w:marBottom w:val="0"/>
                  <w:divBdr>
                    <w:top w:val="none" w:sz="0" w:space="0" w:color="auto"/>
                    <w:left w:val="none" w:sz="0" w:space="0" w:color="auto"/>
                    <w:bottom w:val="none" w:sz="0" w:space="0" w:color="auto"/>
                    <w:right w:val="none" w:sz="0" w:space="0" w:color="auto"/>
                  </w:divBdr>
                  <w:divsChild>
                    <w:div w:id="116416429">
                      <w:marLeft w:val="0"/>
                      <w:marRight w:val="0"/>
                      <w:marTop w:val="0"/>
                      <w:marBottom w:val="0"/>
                      <w:divBdr>
                        <w:top w:val="none" w:sz="0" w:space="0" w:color="auto"/>
                        <w:left w:val="none" w:sz="0" w:space="0" w:color="auto"/>
                        <w:bottom w:val="none" w:sz="0" w:space="0" w:color="auto"/>
                        <w:right w:val="none" w:sz="0" w:space="0" w:color="auto"/>
                      </w:divBdr>
                      <w:divsChild>
                        <w:div w:id="1164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6449">
      <w:marLeft w:val="48"/>
      <w:marRight w:val="48"/>
      <w:marTop w:val="48"/>
      <w:marBottom w:val="0"/>
      <w:divBdr>
        <w:top w:val="none" w:sz="0" w:space="0" w:color="auto"/>
        <w:left w:val="none" w:sz="0" w:space="0" w:color="auto"/>
        <w:bottom w:val="none" w:sz="0" w:space="0" w:color="auto"/>
        <w:right w:val="none" w:sz="0" w:space="0" w:color="auto"/>
      </w:divBdr>
      <w:divsChild>
        <w:div w:id="116416323">
          <w:marLeft w:val="61"/>
          <w:marRight w:val="61"/>
          <w:marTop w:val="0"/>
          <w:marBottom w:val="0"/>
          <w:divBdr>
            <w:top w:val="none" w:sz="0" w:space="0" w:color="auto"/>
            <w:left w:val="none" w:sz="0" w:space="0" w:color="auto"/>
            <w:bottom w:val="none" w:sz="0" w:space="0" w:color="auto"/>
            <w:right w:val="none" w:sz="0" w:space="0" w:color="auto"/>
          </w:divBdr>
          <w:divsChild>
            <w:div w:id="116416452">
              <w:marLeft w:val="0"/>
              <w:marRight w:val="0"/>
              <w:marTop w:val="0"/>
              <w:marBottom w:val="0"/>
              <w:divBdr>
                <w:top w:val="none" w:sz="0" w:space="0" w:color="auto"/>
                <w:left w:val="none" w:sz="0" w:space="0" w:color="auto"/>
                <w:bottom w:val="single" w:sz="48" w:space="0" w:color="FFFFFF"/>
                <w:right w:val="none" w:sz="0" w:space="0" w:color="auto"/>
              </w:divBdr>
              <w:divsChild>
                <w:div w:id="116416324">
                  <w:marLeft w:val="0"/>
                  <w:marRight w:val="0"/>
                  <w:marTop w:val="0"/>
                  <w:marBottom w:val="0"/>
                  <w:divBdr>
                    <w:top w:val="none" w:sz="0" w:space="0" w:color="auto"/>
                    <w:left w:val="none" w:sz="0" w:space="0" w:color="auto"/>
                    <w:bottom w:val="none" w:sz="0" w:space="0" w:color="auto"/>
                    <w:right w:val="none" w:sz="0" w:space="0" w:color="auto"/>
                  </w:divBdr>
                  <w:divsChild>
                    <w:div w:id="1164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6456">
      <w:marLeft w:val="0"/>
      <w:marRight w:val="0"/>
      <w:marTop w:val="0"/>
      <w:marBottom w:val="0"/>
      <w:divBdr>
        <w:top w:val="none" w:sz="0" w:space="0" w:color="auto"/>
        <w:left w:val="none" w:sz="0" w:space="0" w:color="auto"/>
        <w:bottom w:val="none" w:sz="0" w:space="0" w:color="auto"/>
        <w:right w:val="none" w:sz="0" w:space="0" w:color="auto"/>
      </w:divBdr>
      <w:divsChild>
        <w:div w:id="116416322">
          <w:marLeft w:val="0"/>
          <w:marRight w:val="0"/>
          <w:marTop w:val="0"/>
          <w:marBottom w:val="0"/>
          <w:divBdr>
            <w:top w:val="none" w:sz="0" w:space="0" w:color="auto"/>
            <w:left w:val="none" w:sz="0" w:space="0" w:color="auto"/>
            <w:bottom w:val="none" w:sz="0" w:space="0" w:color="auto"/>
            <w:right w:val="none" w:sz="0" w:space="0" w:color="auto"/>
          </w:divBdr>
        </w:div>
        <w:div w:id="116416454">
          <w:marLeft w:val="0"/>
          <w:marRight w:val="0"/>
          <w:marTop w:val="0"/>
          <w:marBottom w:val="0"/>
          <w:divBdr>
            <w:top w:val="none" w:sz="0" w:space="0" w:color="auto"/>
            <w:left w:val="none" w:sz="0" w:space="0" w:color="auto"/>
            <w:bottom w:val="none" w:sz="0" w:space="0" w:color="auto"/>
            <w:right w:val="none" w:sz="0" w:space="0" w:color="auto"/>
          </w:divBdr>
        </w:div>
      </w:divsChild>
    </w:div>
    <w:div w:id="116416457">
      <w:marLeft w:val="180"/>
      <w:marRight w:val="180"/>
      <w:marTop w:val="0"/>
      <w:marBottom w:val="0"/>
      <w:divBdr>
        <w:top w:val="none" w:sz="0" w:space="0" w:color="auto"/>
        <w:left w:val="none" w:sz="0" w:space="0" w:color="auto"/>
        <w:bottom w:val="none" w:sz="0" w:space="0" w:color="auto"/>
        <w:right w:val="none" w:sz="0" w:space="0" w:color="auto"/>
      </w:divBdr>
      <w:divsChild>
        <w:div w:id="116416455">
          <w:marLeft w:val="0"/>
          <w:marRight w:val="0"/>
          <w:marTop w:val="0"/>
          <w:marBottom w:val="0"/>
          <w:divBdr>
            <w:top w:val="none" w:sz="0" w:space="0" w:color="auto"/>
            <w:left w:val="none" w:sz="0" w:space="0" w:color="auto"/>
            <w:bottom w:val="none" w:sz="0" w:space="0" w:color="auto"/>
            <w:right w:val="none" w:sz="0" w:space="0" w:color="auto"/>
          </w:divBdr>
        </w:div>
      </w:divsChild>
    </w:div>
    <w:div w:id="116416459">
      <w:marLeft w:val="0"/>
      <w:marRight w:val="0"/>
      <w:marTop w:val="0"/>
      <w:marBottom w:val="0"/>
      <w:divBdr>
        <w:top w:val="none" w:sz="0" w:space="0" w:color="auto"/>
        <w:left w:val="none" w:sz="0" w:space="0" w:color="auto"/>
        <w:bottom w:val="none" w:sz="0" w:space="0" w:color="auto"/>
        <w:right w:val="none" w:sz="0" w:space="0" w:color="auto"/>
      </w:divBdr>
      <w:divsChild>
        <w:div w:id="116416314">
          <w:marLeft w:val="0"/>
          <w:marRight w:val="0"/>
          <w:marTop w:val="0"/>
          <w:marBottom w:val="0"/>
          <w:divBdr>
            <w:top w:val="none" w:sz="0" w:space="0" w:color="auto"/>
            <w:left w:val="none" w:sz="0" w:space="0" w:color="auto"/>
            <w:bottom w:val="none" w:sz="0" w:space="0" w:color="auto"/>
            <w:right w:val="none" w:sz="0" w:space="0" w:color="auto"/>
          </w:divBdr>
        </w:div>
        <w:div w:id="116416315">
          <w:marLeft w:val="0"/>
          <w:marRight w:val="0"/>
          <w:marTop w:val="0"/>
          <w:marBottom w:val="0"/>
          <w:divBdr>
            <w:top w:val="none" w:sz="0" w:space="0" w:color="auto"/>
            <w:left w:val="none" w:sz="0" w:space="0" w:color="auto"/>
            <w:bottom w:val="none" w:sz="0" w:space="0" w:color="auto"/>
            <w:right w:val="none" w:sz="0" w:space="0" w:color="auto"/>
          </w:divBdr>
        </w:div>
      </w:divsChild>
    </w:div>
    <w:div w:id="116416460">
      <w:marLeft w:val="0"/>
      <w:marRight w:val="0"/>
      <w:marTop w:val="0"/>
      <w:marBottom w:val="0"/>
      <w:divBdr>
        <w:top w:val="none" w:sz="0" w:space="0" w:color="auto"/>
        <w:left w:val="none" w:sz="0" w:space="0" w:color="auto"/>
        <w:bottom w:val="none" w:sz="0" w:space="0" w:color="auto"/>
        <w:right w:val="none" w:sz="0" w:space="0" w:color="auto"/>
      </w:divBdr>
    </w:div>
    <w:div w:id="116416461">
      <w:marLeft w:val="0"/>
      <w:marRight w:val="0"/>
      <w:marTop w:val="0"/>
      <w:marBottom w:val="0"/>
      <w:divBdr>
        <w:top w:val="none" w:sz="0" w:space="0" w:color="auto"/>
        <w:left w:val="none" w:sz="0" w:space="0" w:color="auto"/>
        <w:bottom w:val="none" w:sz="0" w:space="0" w:color="auto"/>
        <w:right w:val="none" w:sz="0" w:space="0" w:color="auto"/>
      </w:divBdr>
    </w:div>
    <w:div w:id="116416462">
      <w:marLeft w:val="0"/>
      <w:marRight w:val="0"/>
      <w:marTop w:val="0"/>
      <w:marBottom w:val="0"/>
      <w:divBdr>
        <w:top w:val="none" w:sz="0" w:space="0" w:color="auto"/>
        <w:left w:val="none" w:sz="0" w:space="0" w:color="auto"/>
        <w:bottom w:val="none" w:sz="0" w:space="0" w:color="auto"/>
        <w:right w:val="none" w:sz="0" w:space="0" w:color="auto"/>
      </w:divBdr>
    </w:div>
    <w:div w:id="116416463">
      <w:marLeft w:val="0"/>
      <w:marRight w:val="0"/>
      <w:marTop w:val="0"/>
      <w:marBottom w:val="0"/>
      <w:divBdr>
        <w:top w:val="none" w:sz="0" w:space="0" w:color="auto"/>
        <w:left w:val="none" w:sz="0" w:space="0" w:color="auto"/>
        <w:bottom w:val="none" w:sz="0" w:space="0" w:color="auto"/>
        <w:right w:val="none" w:sz="0" w:space="0" w:color="auto"/>
      </w:divBdr>
    </w:div>
    <w:div w:id="116416464">
      <w:marLeft w:val="0"/>
      <w:marRight w:val="0"/>
      <w:marTop w:val="0"/>
      <w:marBottom w:val="0"/>
      <w:divBdr>
        <w:top w:val="none" w:sz="0" w:space="0" w:color="auto"/>
        <w:left w:val="none" w:sz="0" w:space="0" w:color="auto"/>
        <w:bottom w:val="none" w:sz="0" w:space="0" w:color="auto"/>
        <w:right w:val="none" w:sz="0" w:space="0" w:color="auto"/>
      </w:divBdr>
    </w:div>
    <w:div w:id="116416465">
      <w:marLeft w:val="0"/>
      <w:marRight w:val="0"/>
      <w:marTop w:val="0"/>
      <w:marBottom w:val="0"/>
      <w:divBdr>
        <w:top w:val="none" w:sz="0" w:space="0" w:color="auto"/>
        <w:left w:val="none" w:sz="0" w:space="0" w:color="auto"/>
        <w:bottom w:val="none" w:sz="0" w:space="0" w:color="auto"/>
        <w:right w:val="none" w:sz="0" w:space="0" w:color="auto"/>
      </w:divBdr>
    </w:div>
    <w:div w:id="116416466">
      <w:marLeft w:val="0"/>
      <w:marRight w:val="0"/>
      <w:marTop w:val="0"/>
      <w:marBottom w:val="0"/>
      <w:divBdr>
        <w:top w:val="none" w:sz="0" w:space="0" w:color="auto"/>
        <w:left w:val="none" w:sz="0" w:space="0" w:color="auto"/>
        <w:bottom w:val="none" w:sz="0" w:space="0" w:color="auto"/>
        <w:right w:val="none" w:sz="0" w:space="0" w:color="auto"/>
      </w:divBdr>
    </w:div>
    <w:div w:id="116416467">
      <w:marLeft w:val="0"/>
      <w:marRight w:val="0"/>
      <w:marTop w:val="0"/>
      <w:marBottom w:val="0"/>
      <w:divBdr>
        <w:top w:val="none" w:sz="0" w:space="0" w:color="auto"/>
        <w:left w:val="none" w:sz="0" w:space="0" w:color="auto"/>
        <w:bottom w:val="none" w:sz="0" w:space="0" w:color="auto"/>
        <w:right w:val="none" w:sz="0" w:space="0" w:color="auto"/>
      </w:divBdr>
    </w:div>
    <w:div w:id="116416468">
      <w:marLeft w:val="0"/>
      <w:marRight w:val="0"/>
      <w:marTop w:val="0"/>
      <w:marBottom w:val="0"/>
      <w:divBdr>
        <w:top w:val="none" w:sz="0" w:space="0" w:color="auto"/>
        <w:left w:val="none" w:sz="0" w:space="0" w:color="auto"/>
        <w:bottom w:val="none" w:sz="0" w:space="0" w:color="auto"/>
        <w:right w:val="none" w:sz="0" w:space="0" w:color="auto"/>
      </w:divBdr>
    </w:div>
    <w:div w:id="116416469">
      <w:marLeft w:val="0"/>
      <w:marRight w:val="0"/>
      <w:marTop w:val="0"/>
      <w:marBottom w:val="0"/>
      <w:divBdr>
        <w:top w:val="none" w:sz="0" w:space="0" w:color="auto"/>
        <w:left w:val="none" w:sz="0" w:space="0" w:color="auto"/>
        <w:bottom w:val="none" w:sz="0" w:space="0" w:color="auto"/>
        <w:right w:val="none" w:sz="0" w:space="0" w:color="auto"/>
      </w:divBdr>
    </w:div>
    <w:div w:id="116416470">
      <w:marLeft w:val="0"/>
      <w:marRight w:val="0"/>
      <w:marTop w:val="0"/>
      <w:marBottom w:val="0"/>
      <w:divBdr>
        <w:top w:val="none" w:sz="0" w:space="0" w:color="auto"/>
        <w:left w:val="none" w:sz="0" w:space="0" w:color="auto"/>
        <w:bottom w:val="none" w:sz="0" w:space="0" w:color="auto"/>
        <w:right w:val="none" w:sz="0" w:space="0" w:color="auto"/>
      </w:divBdr>
    </w:div>
    <w:div w:id="116416471">
      <w:marLeft w:val="0"/>
      <w:marRight w:val="0"/>
      <w:marTop w:val="0"/>
      <w:marBottom w:val="0"/>
      <w:divBdr>
        <w:top w:val="none" w:sz="0" w:space="0" w:color="auto"/>
        <w:left w:val="none" w:sz="0" w:space="0" w:color="auto"/>
        <w:bottom w:val="none" w:sz="0" w:space="0" w:color="auto"/>
        <w:right w:val="none" w:sz="0" w:space="0" w:color="auto"/>
      </w:divBdr>
    </w:div>
    <w:div w:id="1164164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3.lrs.lt/cgi-bin/preps2?a=145521&amp;b=" TargetMode="External"/><Relationship Id="rId21" Type="http://schemas.openxmlformats.org/officeDocument/2006/relationships/diagramQuickStyle" Target="diagrams/quickStyle3.xml"/><Relationship Id="rId42" Type="http://schemas.openxmlformats.org/officeDocument/2006/relationships/diagramQuickStyle" Target="diagrams/quickStyle4.xml"/><Relationship Id="rId63" Type="http://schemas.openxmlformats.org/officeDocument/2006/relationships/hyperlink" Target="http://www.hrfolks.com/Articles/Strategic%20HRM/Essentials%20of%20Strategic%20Management.pdf" TargetMode="External"/><Relationship Id="rId84" Type="http://schemas.openxmlformats.org/officeDocument/2006/relationships/hyperlink" Target="http://www.suaugusiujusvietimas.lt/modules/document_publisher/documents/3/ESPAD_2007_leidinys.pdf" TargetMode="External"/><Relationship Id="rId138" Type="http://schemas.openxmlformats.org/officeDocument/2006/relationships/hyperlink" Target="http://www3.lrs.lt/pls/inter3/dokpaieska.showdoc_l?p_id=242375&amp;p_query=&amp;p_tr2" TargetMode="External"/><Relationship Id="rId159" Type="http://schemas.openxmlformats.org/officeDocument/2006/relationships/hyperlink" Target="http://www3.lrs.lt/pls/inter3/dokpaieska.showdoc_l?p_id=376885&amp;p_query=&amp;p_tr2" TargetMode="External"/><Relationship Id="rId170" Type="http://schemas.openxmlformats.org/officeDocument/2006/relationships/hyperlink" Target="http://www3.lrs.lt/cgi-bin/preps2?a=171426&amp;b=" TargetMode="External"/><Relationship Id="rId191" Type="http://schemas.openxmlformats.org/officeDocument/2006/relationships/chart" Target="charts/chart33.xml"/><Relationship Id="rId205" Type="http://schemas.openxmlformats.org/officeDocument/2006/relationships/chart" Target="charts/chart47.xml"/><Relationship Id="rId226" Type="http://schemas.openxmlformats.org/officeDocument/2006/relationships/hyperlink" Target="http://www.tsajunga.lt/uploads/files/dir33/dir1/19_0.php" TargetMode="External"/><Relationship Id="rId107" Type="http://schemas.openxmlformats.org/officeDocument/2006/relationships/hyperlink" Target="http://www3.lrs.lt/cgi-bin/preps2?a=245451&amp;b=" TargetMode="External"/><Relationship Id="rId11" Type="http://schemas.openxmlformats.org/officeDocument/2006/relationships/diagramColors" Target="diagrams/colors1.xml"/><Relationship Id="rId32" Type="http://schemas.openxmlformats.org/officeDocument/2006/relationships/chart" Target="charts/chart7.xml"/><Relationship Id="rId53" Type="http://schemas.openxmlformats.org/officeDocument/2006/relationships/chart" Target="charts/chart18.xml"/><Relationship Id="rId74" Type="http://schemas.openxmlformats.org/officeDocument/2006/relationships/hyperlink" Target="http://www.medicine.lt/index.php?pagrid=leidiniai&amp;strid=2883&amp;subid=gm" TargetMode="External"/><Relationship Id="rId128" Type="http://schemas.openxmlformats.org/officeDocument/2006/relationships/hyperlink" Target="http://www3.lrs.lt/pls/inter3/dokpaieska.showdoc_l?p_id=314041&amp;p_query=&amp;p_tr2" TargetMode="External"/><Relationship Id="rId149" Type="http://schemas.openxmlformats.org/officeDocument/2006/relationships/hyperlink" Target="http://www3.lrs.lt/pls/inter3/dokpaieska.showdoc_l?p_id=74909&amp;p_query=&amp;p_tr2" TargetMode="External"/><Relationship Id="rId5" Type="http://schemas.openxmlformats.org/officeDocument/2006/relationships/webSettings" Target="webSettings.xml"/><Relationship Id="rId95" Type="http://schemas.openxmlformats.org/officeDocument/2006/relationships/hyperlink" Target="http://eur-lex.europa.eu/LexUriServ/LexUriServ.do?uri=OJ:L:2007:173:0019:0026:EN:PDF" TargetMode="External"/><Relationship Id="rId160" Type="http://schemas.openxmlformats.org/officeDocument/2006/relationships/hyperlink" Target="http://www3.lrs.lt/pls/inter/w5_show?p_r=698&amp;p_d=37454&amp;p_k=1" TargetMode="External"/><Relationship Id="rId181" Type="http://schemas.openxmlformats.org/officeDocument/2006/relationships/chart" Target="charts/chart25.xml"/><Relationship Id="rId216" Type="http://schemas.openxmlformats.org/officeDocument/2006/relationships/chart" Target="charts/chart54.xml"/><Relationship Id="rId22" Type="http://schemas.openxmlformats.org/officeDocument/2006/relationships/diagramColors" Target="diagrams/colors3.xml"/><Relationship Id="rId27" Type="http://schemas.openxmlformats.org/officeDocument/2006/relationships/chart" Target="charts/chart3.xml"/><Relationship Id="rId43" Type="http://schemas.openxmlformats.org/officeDocument/2006/relationships/diagramColors" Target="diagrams/colors4.xml"/><Relationship Id="rId48" Type="http://schemas.openxmlformats.org/officeDocument/2006/relationships/chart" Target="charts/chart16.xml"/><Relationship Id="rId64" Type="http://schemas.openxmlformats.org/officeDocument/2006/relationships/hyperlink" Target="http://www.leidykla.eu/fileadmin/Politologija/47/str3-43.pdf" TargetMode="External"/><Relationship Id="rId69" Type="http://schemas.openxmlformats.org/officeDocument/2006/relationships/hyperlink" Target="http://www.ktu.lt/lt/mokslas/zurnalai/ekovad/15/1822-6515-2010-093.pdf" TargetMode="External"/><Relationship Id="rId113" Type="http://schemas.openxmlformats.org/officeDocument/2006/relationships/hyperlink" Target="http://www3.lrs.lt/pls/inter3/dokpaieska.showdoc_l?p_id=171181" TargetMode="External"/><Relationship Id="rId118" Type="http://schemas.openxmlformats.org/officeDocument/2006/relationships/hyperlink" Target="http://www3.lrs.lt/pls/inter2/dokpaieska.showdoc_l?p_id=389378" TargetMode="External"/><Relationship Id="rId134" Type="http://schemas.openxmlformats.org/officeDocument/2006/relationships/hyperlink" Target="http://www3.lrs.lt/cgi-bin/preps2?a=5905&amp;b=" TargetMode="External"/><Relationship Id="rId139" Type="http://schemas.openxmlformats.org/officeDocument/2006/relationships/hyperlink" Target="http://www3.lrs.lt/pls/inter3/dokpaieska.showdoc_l?p_id=214236&amp;p_query=&amp;p_tr2" TargetMode="External"/><Relationship Id="rId80" Type="http://schemas.openxmlformats.org/officeDocument/2006/relationships/hyperlink" Target="http://sena.sam.lt/repository/dokumentai/Sveikatos%20patarimai/lithuanian_shortHA_web.pdf" TargetMode="External"/><Relationship Id="rId85" Type="http://schemas.openxmlformats.org/officeDocument/2006/relationships/hyperlink" Target="http://jga.lt/uploads/studijos/Tolesnes_sveikatos_sistemos_pletros_2008_2015_.pdf" TargetMode="External"/><Relationship Id="rId150" Type="http://schemas.openxmlformats.org/officeDocument/2006/relationships/hyperlink" Target="http://www3.lrs.lt/pls/inter3/dokpaieska.showdoc_l?p_id=309435&amp;p_query=&amp;p_tr2" TargetMode="External"/><Relationship Id="rId155" Type="http://schemas.openxmlformats.org/officeDocument/2006/relationships/hyperlink" Target="http://www3.lrs.lt/pls/inter3/dokpaieska.showdoc_l?p_id=343456" TargetMode="External"/><Relationship Id="rId171" Type="http://schemas.openxmlformats.org/officeDocument/2006/relationships/footer" Target="footer1.xml"/><Relationship Id="rId176" Type="http://schemas.openxmlformats.org/officeDocument/2006/relationships/chart" Target="charts/chart20.xml"/><Relationship Id="rId192" Type="http://schemas.openxmlformats.org/officeDocument/2006/relationships/chart" Target="charts/chart34.xml"/><Relationship Id="rId197" Type="http://schemas.openxmlformats.org/officeDocument/2006/relationships/chart" Target="charts/chart39.xml"/><Relationship Id="rId206" Type="http://schemas.openxmlformats.org/officeDocument/2006/relationships/chart" Target="charts/chart48.xml"/><Relationship Id="rId227" Type="http://schemas.openxmlformats.org/officeDocument/2006/relationships/header" Target="header3.xml"/><Relationship Id="rId201" Type="http://schemas.openxmlformats.org/officeDocument/2006/relationships/chart" Target="charts/chart43.xml"/><Relationship Id="rId222" Type="http://schemas.openxmlformats.org/officeDocument/2006/relationships/hyperlink" Target="http://www.leidykla.vu.lt/fileadmin/Ekonomika/87/124-140.pdf"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chart" Target="charts/chart8.xml"/><Relationship Id="rId38" Type="http://schemas.openxmlformats.org/officeDocument/2006/relationships/image" Target="media/image2.emf"/><Relationship Id="rId59" Type="http://schemas.openxmlformats.org/officeDocument/2006/relationships/hyperlink" Target="http://epp.eurostat.ec.europa.eu/cache/ITY_OFFPUB/KS-HA-10-001/EN/KS-HA-10-001-EN.PDF" TargetMode="External"/><Relationship Id="rId103" Type="http://schemas.openxmlformats.org/officeDocument/2006/relationships/hyperlink" Target="http://www3.lrs.lt/pls/inter3/dokpaieska.showdoc_l?p_id=295147&amp;p_query=&amp;p_tr2" TargetMode="External"/><Relationship Id="rId108" Type="http://schemas.openxmlformats.org/officeDocument/2006/relationships/hyperlink" Target="http://www3.lrs.lt/cgi-bin/preps2?a=287230&amp;b=" TargetMode="External"/><Relationship Id="rId124" Type="http://schemas.openxmlformats.org/officeDocument/2006/relationships/hyperlink" Target="http://www3.lrs.lt/pls/inter3/dokpaieska.showdoc_l?p_id=268649&amp;p_query=&amp;p_tr2" TargetMode="External"/><Relationship Id="rId129" Type="http://schemas.openxmlformats.org/officeDocument/2006/relationships/hyperlink" Target="http://www3.lrs.lt/pls/inter3/dokpaieska.showdoc_l?p_id=316517&amp;p_query=&amp;p_tr2" TargetMode="External"/><Relationship Id="rId54" Type="http://schemas.openxmlformats.org/officeDocument/2006/relationships/hyperlink" Target="http://epp.eurostat.ec.europa.eu/cache/ITY_OFFPUB/KS-HA-10-001/EN/KS-HA-10-001-EN.PDF" TargetMode="External"/><Relationship Id="rId70" Type="http://schemas.openxmlformats.org/officeDocument/2006/relationships/hyperlink" Target="http://www.medicine.lt/index.php?pagrid=leidiniai&amp;subid=gm&amp;strid=2471" TargetMode="External"/><Relationship Id="rId75" Type="http://schemas.openxmlformats.org/officeDocument/2006/relationships/hyperlink" Target="http://www.leidykla.vu.lt/fileadmin/Ekonomika/87/124-140.pdf" TargetMode="External"/><Relationship Id="rId91" Type="http://schemas.openxmlformats.org/officeDocument/2006/relationships/hyperlink" Target="http://ec.europa.eu/health-eu/health_problems/hiv-aids/index_lt.htm" TargetMode="External"/><Relationship Id="rId96" Type="http://schemas.openxmlformats.org/officeDocument/2006/relationships/hyperlink" Target="http://eur-lex.europa.eu/LexUriServ/LexUriServ.do?uri=OJ:L:2007:301:0003:0013:EN:PDF" TargetMode="External"/><Relationship Id="rId140" Type="http://schemas.openxmlformats.org/officeDocument/2006/relationships/hyperlink" Target="http://www3.lrs.lt/cgi-bin/preps2?a=24500&amp;b=" TargetMode="External"/><Relationship Id="rId145" Type="http://schemas.openxmlformats.org/officeDocument/2006/relationships/hyperlink" Target="http://www3.lrs.lt/pls/inter3/dokpaieska.showdoc_l?p_id=395837" TargetMode="External"/><Relationship Id="rId161" Type="http://schemas.openxmlformats.org/officeDocument/2006/relationships/hyperlink" Target="http://www3.lrs.lt/pls/inter/w5_show?p_r=698&amp;p_k=1" TargetMode="External"/><Relationship Id="rId166" Type="http://schemas.openxmlformats.org/officeDocument/2006/relationships/hyperlink" Target="http://www.euro.who.int/__data/assets/pdf_file/0010/113302/E55363.pdf" TargetMode="External"/><Relationship Id="rId182" Type="http://schemas.openxmlformats.org/officeDocument/2006/relationships/chart" Target="charts/chart26.xml"/><Relationship Id="rId187" Type="http://schemas.openxmlformats.org/officeDocument/2006/relationships/hyperlink" Target="http://www.sec.lt/pages/spr/Alf_mok/Docum/Teis_doc/t_doc.html" TargetMode="External"/><Relationship Id="rId217" Type="http://schemas.openxmlformats.org/officeDocument/2006/relationships/chart" Target="charts/chart5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sveikatos-biuras.lt/index.php?id=20" TargetMode="External"/><Relationship Id="rId23" Type="http://schemas.microsoft.com/office/2007/relationships/diagramDrawing" Target="diagrams/drawing3.xml"/><Relationship Id="rId28" Type="http://schemas.openxmlformats.org/officeDocument/2006/relationships/chart" Target="charts/chart4.xml"/><Relationship Id="rId49" Type="http://schemas.openxmlformats.org/officeDocument/2006/relationships/hyperlink" Target="http://www.suaugusiujusvietimas.lt/modules/document_publisher/documents/3/ESPAD_2007_leidinys.pdf" TargetMode="External"/><Relationship Id="rId114" Type="http://schemas.openxmlformats.org/officeDocument/2006/relationships/hyperlink" Target="http://www3.lrs.lt/pls/inter3/dokpaieska.showdoc_l?p_id=3044&amp;p_query=&amp;p_tr2" TargetMode="External"/><Relationship Id="rId119" Type="http://schemas.openxmlformats.org/officeDocument/2006/relationships/hyperlink" Target="http://www3.lrs.lt/cgi-bin/preps2?a=48770&amp;b=" TargetMode="External"/><Relationship Id="rId44" Type="http://schemas.microsoft.com/office/2007/relationships/diagramDrawing" Target="diagrams/drawing4.xml"/><Relationship Id="rId60" Type="http://schemas.openxmlformats.org/officeDocument/2006/relationships/hyperlink" Target="http://www3.lrs.lt/docs2/OIUPIBTO.PDF" TargetMode="External"/><Relationship Id="rId65" Type="http://schemas.openxmlformats.org/officeDocument/2006/relationships/hyperlink" Target="http://www.smlpc.lt/media/file/Skyriu_info/Kvalifikacijos_tobulinimas/Lektura/Sveikatos_stiprinimas-Konspektas2.pdf" TargetMode="External"/><Relationship Id="rId81" Type="http://schemas.openxmlformats.org/officeDocument/2006/relationships/hyperlink" Target="http://www.tsajunga.lt/uploads/files/dir33/dir1/19_0.php" TargetMode="External"/><Relationship Id="rId86" Type="http://schemas.openxmlformats.org/officeDocument/2006/relationships/hyperlink" Target="http://www.ceeol.com/aspx/getdocument.aspx?logid=5&amp;id=F7B32AF7-01DE-444C-A05A-784DC37D53D0" TargetMode="External"/><Relationship Id="rId130" Type="http://schemas.openxmlformats.org/officeDocument/2006/relationships/hyperlink" Target="http://www3.lrs.lt/pls/inter3/dokpaieska.showdoc_l?p_id=129711&amp;p_query=&amp;p_tr2" TargetMode="External"/><Relationship Id="rId135" Type="http://schemas.openxmlformats.org/officeDocument/2006/relationships/hyperlink" Target="http://www3.lrs.lt/cgi-bin/preps2?a=5905&amp;b=" TargetMode="External"/><Relationship Id="rId151" Type="http://schemas.openxmlformats.org/officeDocument/2006/relationships/hyperlink" Target="http://www3.lrs.lt/pls/inter3/dokpaieska.showdoc_l?p_id=323211" TargetMode="External"/><Relationship Id="rId156" Type="http://schemas.openxmlformats.org/officeDocument/2006/relationships/hyperlink" Target="http://www3.lrs.lt/cgi-bin/preps2?a=157347&amp;b=" TargetMode="External"/><Relationship Id="rId177" Type="http://schemas.openxmlformats.org/officeDocument/2006/relationships/chart" Target="charts/chart21.xml"/><Relationship Id="rId198" Type="http://schemas.openxmlformats.org/officeDocument/2006/relationships/chart" Target="charts/chart40.xml"/><Relationship Id="rId172" Type="http://schemas.openxmlformats.org/officeDocument/2006/relationships/footer" Target="footer2.xml"/><Relationship Id="rId193" Type="http://schemas.openxmlformats.org/officeDocument/2006/relationships/chart" Target="charts/chart35.xml"/><Relationship Id="rId202" Type="http://schemas.openxmlformats.org/officeDocument/2006/relationships/chart" Target="charts/chart44.xml"/><Relationship Id="rId207" Type="http://schemas.openxmlformats.org/officeDocument/2006/relationships/chart" Target="charts/chart49.xml"/><Relationship Id="rId223" Type="http://schemas.openxmlformats.org/officeDocument/2006/relationships/hyperlink" Target="http://www.sam.lt/go.php/Planavimo_dokumentai" TargetMode="External"/><Relationship Id="rId228" Type="http://schemas.openxmlformats.org/officeDocument/2006/relationships/header" Target="header4.xml"/><Relationship Id="rId13" Type="http://schemas.openxmlformats.org/officeDocument/2006/relationships/diagramData" Target="diagrams/data2.xml"/><Relationship Id="rId18" Type="http://schemas.openxmlformats.org/officeDocument/2006/relationships/hyperlink" Target="http://www" TargetMode="External"/><Relationship Id="rId39" Type="http://schemas.openxmlformats.org/officeDocument/2006/relationships/package" Target="embeddings/Microsoft_Office_PowerPoint_skaidr_13.sldx"/><Relationship Id="rId109" Type="http://schemas.openxmlformats.org/officeDocument/2006/relationships/hyperlink" Target="http://www3.lrs.lt/cgi-bin/preps2?a=301361&amp;b=" TargetMode="External"/><Relationship Id="rId34" Type="http://schemas.openxmlformats.org/officeDocument/2006/relationships/chart" Target="charts/chart9.xml"/><Relationship Id="rId50" Type="http://schemas.openxmlformats.org/officeDocument/2006/relationships/chart" Target="charts/chart17.xml"/><Relationship Id="rId55" Type="http://schemas.openxmlformats.org/officeDocument/2006/relationships/chart" Target="charts/chart19.xml"/><Relationship Id="rId76" Type="http://schemas.openxmlformats.org/officeDocument/2006/relationships/hyperlink" Target="http://www.stat.gov.lt/lt/" TargetMode="External"/><Relationship Id="rId97" Type="http://schemas.openxmlformats.org/officeDocument/2006/relationships/hyperlink" Target="http://www.ehnheart.org/euroheart/about.html" TargetMode="External"/><Relationship Id="rId104" Type="http://schemas.openxmlformats.org/officeDocument/2006/relationships/hyperlink" Target="http://www.skurdas.lt/files/main/NAP_2004-2006_LT.pdf" TargetMode="External"/><Relationship Id="rId120" Type="http://schemas.openxmlformats.org/officeDocument/2006/relationships/hyperlink" Target="http://www3.lrs.lt/pls/inter2/dokpaieska.showdoc_l?p_id=385610" TargetMode="External"/><Relationship Id="rId125" Type="http://schemas.openxmlformats.org/officeDocument/2006/relationships/hyperlink" Target="http://www3.lrs.lt/pls/inter3/dokpaieska.showdoc_l?p_id=376555" TargetMode="External"/><Relationship Id="rId141" Type="http://schemas.openxmlformats.org/officeDocument/2006/relationships/hyperlink" Target="http://www3.lrs.lt/cgi-bin/preps2?a=223448&amp;b=" TargetMode="External"/><Relationship Id="rId146" Type="http://schemas.openxmlformats.org/officeDocument/2006/relationships/hyperlink" Target="http://www3.lrs.lt/pls/inter3/dokpaieska.showdoc_l?p_id=371370" TargetMode="External"/><Relationship Id="rId167" Type="http://schemas.openxmlformats.org/officeDocument/2006/relationships/hyperlink" Target="http://www3.lrs.lt/cgi-bin/preps2?a=145531&amp;b=" TargetMode="External"/><Relationship Id="rId188" Type="http://schemas.openxmlformats.org/officeDocument/2006/relationships/hyperlink" Target="http://www.sec.lt/pages/spr/Alf_mok/Text/Reform/reform1.html" TargetMode="External"/><Relationship Id="rId7" Type="http://schemas.openxmlformats.org/officeDocument/2006/relationships/endnotes" Target="endnotes.xml"/><Relationship Id="rId71" Type="http://schemas.openxmlformats.org/officeDocument/2006/relationships/hyperlink" Target="http://oldvasc.sam.lt/mokykl_sveikat_priez.pdf" TargetMode="External"/><Relationship Id="rId92" Type="http://schemas.openxmlformats.org/officeDocument/2006/relationships/hyperlink" Target="http://ec.europa.eu/health/ph_determinants/life_style/nutrition/documents/nutrition_wp_lt.pdf" TargetMode="External"/><Relationship Id="rId162" Type="http://schemas.openxmlformats.org/officeDocument/2006/relationships/hyperlink" Target="http://www3.lrs.lt/pls/inter/w5_show?p_r=698&amp;p_d=64982&amp;p_k=1" TargetMode="External"/><Relationship Id="rId183" Type="http://schemas.openxmlformats.org/officeDocument/2006/relationships/chart" Target="charts/chart27.xml"/><Relationship Id="rId213" Type="http://schemas.openxmlformats.org/officeDocument/2006/relationships/hyperlink" Target="http://www3.lrs.lt/cgi-bin/preps2?a=298689&amp;b=" TargetMode="External"/><Relationship Id="rId218" Type="http://schemas.openxmlformats.org/officeDocument/2006/relationships/hyperlink" Target="http://epp.eurostat.ec.europa.eu/cache/ITY_OFFPUB/KS-HA-10-001/EN/KS-HA-10-001-EN.PDF"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hyperlink" Target="http://www.leidykla.vu.lt/fileadmin/Ekonomika/87/124-140.pdf" TargetMode="External"/><Relationship Id="rId40" Type="http://schemas.openxmlformats.org/officeDocument/2006/relationships/diagramData" Target="diagrams/data4.xml"/><Relationship Id="rId45" Type="http://schemas.openxmlformats.org/officeDocument/2006/relationships/chart" Target="charts/chart13.xml"/><Relationship Id="rId66" Type="http://schemas.openxmlformats.org/officeDocument/2006/relationships/hyperlink" Target="http://www.sdtsc.lt/get.php?f.120" TargetMode="External"/><Relationship Id="rId87" Type="http://schemas.openxmlformats.org/officeDocument/2006/relationships/hyperlink" Target="http://www.ulac.lt/" TargetMode="External"/><Relationship Id="rId110" Type="http://schemas.openxmlformats.org/officeDocument/2006/relationships/hyperlink" Target="http://www3.lrs.lt/pls/inter3/dokpaieska.showdoc_l?p_id=389166" TargetMode="External"/><Relationship Id="rId115" Type="http://schemas.openxmlformats.org/officeDocument/2006/relationships/hyperlink" Target="http://www3.lrs.lt/cgi-bin/preps2?a=215253&amp;b=" TargetMode="External"/><Relationship Id="rId131" Type="http://schemas.openxmlformats.org/officeDocument/2006/relationships/hyperlink" Target="http://www3.lrs.lt/pls/inter3/dokpaieska.showdoc_l?p_id=309575&amp;p_query=&amp;p_tr2" TargetMode="External"/><Relationship Id="rId136" Type="http://schemas.openxmlformats.org/officeDocument/2006/relationships/hyperlink" Target="http://www3.lrs.lt/pls/inter3/dokpaieska.showdoc_l?p_id=387542" TargetMode="External"/><Relationship Id="rId157" Type="http://schemas.openxmlformats.org/officeDocument/2006/relationships/hyperlink" Target="http://www3.lrs.lt/pls/inter2/dokpaieska.showdoc_l?p_id=157347" TargetMode="External"/><Relationship Id="rId178" Type="http://schemas.openxmlformats.org/officeDocument/2006/relationships/chart" Target="charts/chart22.xml"/><Relationship Id="rId61" Type="http://schemas.openxmlformats.org/officeDocument/2006/relationships/hyperlink" Target="http://www3.lrs.lt/docs2/OIUPIBTO.PDF" TargetMode="External"/><Relationship Id="rId82" Type="http://schemas.openxmlformats.org/officeDocument/2006/relationships/hyperlink" Target="http://www.vvspt.lt/pub/imagelib/file/MOKINIU%20SVEIKATOS%20PRIEZIURA%20MOKYKLOSE-%202007%20m.pdf" TargetMode="External"/><Relationship Id="rId152" Type="http://schemas.openxmlformats.org/officeDocument/2006/relationships/hyperlink" Target="http://www3.lrs.lt/pls/inter3/dokpaieska.showdoc_l?p_id=342658&amp;p_query=&amp;p_tr2" TargetMode="External"/><Relationship Id="rId173" Type="http://schemas.openxmlformats.org/officeDocument/2006/relationships/header" Target="header1.xml"/><Relationship Id="rId194" Type="http://schemas.openxmlformats.org/officeDocument/2006/relationships/chart" Target="charts/chart36.xml"/><Relationship Id="rId199" Type="http://schemas.openxmlformats.org/officeDocument/2006/relationships/chart" Target="charts/chart41.xml"/><Relationship Id="rId203" Type="http://schemas.openxmlformats.org/officeDocument/2006/relationships/chart" Target="charts/chart45.xml"/><Relationship Id="rId208" Type="http://schemas.openxmlformats.org/officeDocument/2006/relationships/chart" Target="charts/chart50.xml"/><Relationship Id="rId229" Type="http://schemas.openxmlformats.org/officeDocument/2006/relationships/fontTable" Target="fontTable.xml"/><Relationship Id="rId19" Type="http://schemas.openxmlformats.org/officeDocument/2006/relationships/diagramData" Target="diagrams/data3.xml"/><Relationship Id="rId224" Type="http://schemas.openxmlformats.org/officeDocument/2006/relationships/hyperlink" Target="http://www.stat.gov.lt/lt/" TargetMode="External"/><Relationship Id="rId14" Type="http://schemas.openxmlformats.org/officeDocument/2006/relationships/diagramLayout" Target="diagrams/layout2.xml"/><Relationship Id="rId30" Type="http://schemas.openxmlformats.org/officeDocument/2006/relationships/chart" Target="charts/chart6.xml"/><Relationship Id="rId35" Type="http://schemas.openxmlformats.org/officeDocument/2006/relationships/chart" Target="charts/chart10.xml"/><Relationship Id="rId56" Type="http://schemas.openxmlformats.org/officeDocument/2006/relationships/hyperlink" Target="http://www.stat.gov.lt/lt/news/view/?id=6847&amp;PHPSESSID=0f9ba45fc96b912cd47b4b5a411ebf0d&amp;print=1&amp;PHPSESSID=0f9ba45fc96b912cd47b4b5a411ebf0d" TargetMode="External"/><Relationship Id="rId77" Type="http://schemas.openxmlformats.org/officeDocument/2006/relationships/hyperlink" Target="http://www.ktu.lt/lt/mokslas/zurnalai/ekovad/14/1822-6515-2009-984.pdf" TargetMode="External"/><Relationship Id="rId100" Type="http://schemas.openxmlformats.org/officeDocument/2006/relationships/hyperlink" Target="http://www.ehnheart.org/euroheart/european-health-charter.html" TargetMode="External"/><Relationship Id="rId105" Type="http://schemas.openxmlformats.org/officeDocument/2006/relationships/hyperlink" Target="http://www3.lrs.lt/cgi-bin/preps2?a=17752&amp;b=" TargetMode="External"/><Relationship Id="rId126" Type="http://schemas.openxmlformats.org/officeDocument/2006/relationships/hyperlink" Target="http://www3.lrs.lt/pls/inter3/dokpaieska.showdoc_l?p_id=314843&amp;p_query=&amp;p_tr2" TargetMode="External"/><Relationship Id="rId147" Type="http://schemas.openxmlformats.org/officeDocument/2006/relationships/hyperlink" Target="http://www3.lrs.lt/pls/inter3/dokpaieska.showdoc_l?p_id=372612" TargetMode="External"/><Relationship Id="rId168" Type="http://schemas.openxmlformats.org/officeDocument/2006/relationships/hyperlink" Target="http://www3.lrs.lt/cgi-bin/preps2?a=210018&amp;b=" TargetMode="External"/><Relationship Id="rId8" Type="http://schemas.openxmlformats.org/officeDocument/2006/relationships/diagramData" Target="diagrams/data1.xml"/><Relationship Id="rId51" Type="http://schemas.openxmlformats.org/officeDocument/2006/relationships/hyperlink" Target="http://www.sveikatos-biuras.lt/index.php?id=672" TargetMode="External"/><Relationship Id="rId72" Type="http://schemas.openxmlformats.org/officeDocument/2006/relationships/hyperlink" Target="http://www.biomedexperts.com/Abstract.bme/11924345/Benchmarking_for_investment_for_health" TargetMode="External"/><Relationship Id="rId93" Type="http://schemas.openxmlformats.org/officeDocument/2006/relationships/hyperlink" Target="http://europa.eu/press_room/pdf/complet_en_barroso___007_-_europe_2020_-_en_version.pdf" TargetMode="External"/><Relationship Id="rId98" Type="http://schemas.openxmlformats.org/officeDocument/2006/relationships/hyperlink" Target="http://www.euro.who.int/__data/assets/pdf_file/0020/79400/E87710.pdf" TargetMode="External"/><Relationship Id="rId121" Type="http://schemas.openxmlformats.org/officeDocument/2006/relationships/hyperlink" Target="http://www3.lrs.lt/pls/inter3/dokpaieska.showdoc_l?p_id=98076&amp;p_query=&amp;p_tr2" TargetMode="External"/><Relationship Id="rId142" Type="http://schemas.openxmlformats.org/officeDocument/2006/relationships/hyperlink" Target="http://www3.lrs.lt/cgi-bin/preps2?a=266483&amp;b=" TargetMode="External"/><Relationship Id="rId163" Type="http://schemas.openxmlformats.org/officeDocument/2006/relationships/hyperlink" Target="http://www.who.int/hpr/NPH/docs/ottawa_charter_hp.pdf" TargetMode="External"/><Relationship Id="rId184" Type="http://schemas.openxmlformats.org/officeDocument/2006/relationships/chart" Target="charts/chart28.xml"/><Relationship Id="rId189" Type="http://schemas.openxmlformats.org/officeDocument/2006/relationships/chart" Target="charts/chart31.xml"/><Relationship Id="rId219" Type="http://schemas.openxmlformats.org/officeDocument/2006/relationships/hyperlink" Target="http://www.lsic.lt/" TargetMode="External"/><Relationship Id="rId3" Type="http://schemas.openxmlformats.org/officeDocument/2006/relationships/styles" Target="styles.xml"/><Relationship Id="rId214" Type="http://schemas.openxmlformats.org/officeDocument/2006/relationships/image" Target="media/image5.jpeg"/><Relationship Id="rId230" Type="http://schemas.openxmlformats.org/officeDocument/2006/relationships/theme" Target="theme/theme1.xml"/><Relationship Id="rId25" Type="http://schemas.openxmlformats.org/officeDocument/2006/relationships/chart" Target="charts/chart1.xml"/><Relationship Id="rId46" Type="http://schemas.openxmlformats.org/officeDocument/2006/relationships/chart" Target="charts/chart14.xml"/><Relationship Id="rId67" Type="http://schemas.openxmlformats.org/officeDocument/2006/relationships/hyperlink" Target="http://whqlibdoc.who.int/hq/2009/WHO_IER_CSDH_08.1_lit.pdf" TargetMode="External"/><Relationship Id="rId116" Type="http://schemas.openxmlformats.org/officeDocument/2006/relationships/hyperlink" Target="http://www3.lrs.lt/pls/inter3/dokpaieska.showdoc_l?p_id=389641" TargetMode="External"/><Relationship Id="rId137" Type="http://schemas.openxmlformats.org/officeDocument/2006/relationships/hyperlink" Target="http://www3.lrs.lt/pls/inter3/dokpaieska.showdoc_l?p_id=272725&amp;p_query=&amp;p_tr2" TargetMode="External"/><Relationship Id="rId158" Type="http://schemas.openxmlformats.org/officeDocument/2006/relationships/hyperlink" Target="http://www3.lrs.lt/pls/inter3/dokpaieska.showdoc_l?p_id=171186" TargetMode="External"/><Relationship Id="rId20" Type="http://schemas.openxmlformats.org/officeDocument/2006/relationships/diagramLayout" Target="diagrams/layout3.xml"/><Relationship Id="rId41" Type="http://schemas.openxmlformats.org/officeDocument/2006/relationships/diagramLayout" Target="diagrams/layout4.xml"/><Relationship Id="rId62" Type="http://schemas.openxmlformats.org/officeDocument/2006/relationships/hyperlink" Target="http://www.lsic.lt/" TargetMode="External"/><Relationship Id="rId83" Type="http://schemas.openxmlformats.org/officeDocument/2006/relationships/hyperlink" Target="http://www3.lrs.lt/docs2/OIUPIBTO.PDF" TargetMode="External"/><Relationship Id="rId88" Type="http://schemas.openxmlformats.org/officeDocument/2006/relationships/hyperlink" Target="http://smlpc.lt/media/file/Skyriu_info/Vaiku_sveikata/SSM/Publikacijos_leidiniai/Vaiku_sveikatingumo_programu_rengimas.pdf" TargetMode="External"/><Relationship Id="rId111" Type="http://schemas.openxmlformats.org/officeDocument/2006/relationships/hyperlink" Target="http://www3.lrs.lt/cgi-bin/preps2?a=59267&amp;b=" TargetMode="External"/><Relationship Id="rId132" Type="http://schemas.openxmlformats.org/officeDocument/2006/relationships/hyperlink" Target="http://www3.lrs.lt/cgi-bin/preps2?a=29546&amp;b=" TargetMode="External"/><Relationship Id="rId153" Type="http://schemas.openxmlformats.org/officeDocument/2006/relationships/hyperlink" Target="http://www3.lrs.lt/pls/inter3/dokpaieska.showdoc_l?p_id=342658&amp;p_query=&amp;p_tr2" TargetMode="External"/><Relationship Id="rId174" Type="http://schemas.openxmlformats.org/officeDocument/2006/relationships/header" Target="header2.xml"/><Relationship Id="rId179" Type="http://schemas.openxmlformats.org/officeDocument/2006/relationships/chart" Target="charts/chart23.xml"/><Relationship Id="rId195" Type="http://schemas.openxmlformats.org/officeDocument/2006/relationships/chart" Target="charts/chart37.xml"/><Relationship Id="rId209" Type="http://schemas.openxmlformats.org/officeDocument/2006/relationships/chart" Target="charts/chart51.xml"/><Relationship Id="rId190" Type="http://schemas.openxmlformats.org/officeDocument/2006/relationships/chart" Target="charts/chart32.xml"/><Relationship Id="rId204" Type="http://schemas.openxmlformats.org/officeDocument/2006/relationships/chart" Target="charts/chart46.xml"/><Relationship Id="rId220" Type="http://schemas.openxmlformats.org/officeDocument/2006/relationships/hyperlink" Target="http://www3.lrs.lt/pls/inter3/dokpaieska.showdoc_l?p_id=337959&amp;p_query=&amp;p_tr2=" TargetMode="External"/><Relationship Id="rId225" Type="http://schemas.openxmlformats.org/officeDocument/2006/relationships/hyperlink" Target="http://sena.sam.lt/repository/dokumentai/Sveikatos%20patarimai/lithuanian_shortHA_web.pdf" TargetMode="External"/><Relationship Id="rId15" Type="http://schemas.openxmlformats.org/officeDocument/2006/relationships/diagramQuickStyle" Target="diagrams/quickStyle2.xml"/><Relationship Id="rId36" Type="http://schemas.openxmlformats.org/officeDocument/2006/relationships/chart" Target="charts/chart11.xml"/><Relationship Id="rId57" Type="http://schemas.openxmlformats.org/officeDocument/2006/relationships/hyperlink" Target="http://www.vrm.lt/index.php?id=131&amp;backPID=129&amp;begin_at=720&amp;tt_news=336&amp;" TargetMode="External"/><Relationship Id="rId106" Type="http://schemas.openxmlformats.org/officeDocument/2006/relationships/hyperlink" Target="http://www3.lrs.lt/cgi-bin/preps2?a=229451&amp;b=" TargetMode="External"/><Relationship Id="rId127" Type="http://schemas.openxmlformats.org/officeDocument/2006/relationships/hyperlink" Target="http://www3.lrs.lt/pls/inter3/dokpaieska.showdoc_l?p_id=361812&amp;p_query=&amp;p_tr2" TargetMode="External"/><Relationship Id="rId10" Type="http://schemas.openxmlformats.org/officeDocument/2006/relationships/diagramQuickStyle" Target="diagrams/quickStyle1.xml"/><Relationship Id="rId31" Type="http://schemas.openxmlformats.org/officeDocument/2006/relationships/hyperlink" Target="http://epp.eurostat.ec.europa.eu/cache/ITY_OFFPUB/KS-HA-10-001/EN/KS-HA-10-001-EN.PDF" TargetMode="External"/><Relationship Id="rId52" Type="http://schemas.openxmlformats.org/officeDocument/2006/relationships/image" Target="media/image3.emf"/><Relationship Id="rId73" Type="http://schemas.openxmlformats.org/officeDocument/2006/relationships/hyperlink" Target="http://www.ndphs.org/?database,view,paper,21" TargetMode="External"/><Relationship Id="rId78" Type="http://schemas.openxmlformats.org/officeDocument/2006/relationships/hyperlink" Target="http://www.smlpc.lt/media/file/Skyriu_info/Vaiku_sveikata/SSM/Svarbiausi_faktai.pdf" TargetMode="External"/><Relationship Id="rId94" Type="http://schemas.openxmlformats.org/officeDocument/2006/relationships/hyperlink" Target="http://ec.europa.eu/health/ph_information/dissemination/diseases/docs/com_2009_291.en.pdf" TargetMode="External"/><Relationship Id="rId99" Type="http://schemas.openxmlformats.org/officeDocument/2006/relationships/hyperlink" Target="http://ec.europa.eu/health/mental_health/docs/mhpact_lt.pdf" TargetMode="External"/><Relationship Id="rId101" Type="http://schemas.openxmlformats.org/officeDocument/2006/relationships/hyperlink" Target="http://www3.lrs.lt/pls/inter3/dokpaieska.showdoc_l?p_id=337959&amp;p_query=&amp;p_tr2=" TargetMode="External"/><Relationship Id="rId122" Type="http://schemas.openxmlformats.org/officeDocument/2006/relationships/hyperlink" Target="http://www3.lrs.lt/pls/inter3/dokpaieska.showdoc_l?p_id=337509&amp;p_query=&amp;p_tr2" TargetMode="External"/><Relationship Id="rId143" Type="http://schemas.openxmlformats.org/officeDocument/2006/relationships/hyperlink" Target="http://www3.lrs.lt/cgi-bin/preps2?a=276528&amp;b=" TargetMode="External"/><Relationship Id="rId148" Type="http://schemas.openxmlformats.org/officeDocument/2006/relationships/hyperlink" Target="http://www3.lrs.lt/pls/inter3/dokpaieska.showdoc_l?p_id=60600" TargetMode="External"/><Relationship Id="rId164" Type="http://schemas.openxmlformats.org/officeDocument/2006/relationships/hyperlink" Target="http://coropinions.cor.europa.eu/coropiniondocument.aspx?language=lt&amp;docnr=328&amp;year=2004" TargetMode="External"/><Relationship Id="rId169" Type="http://schemas.openxmlformats.org/officeDocument/2006/relationships/hyperlink" Target="http://www3.lrs.lt/cgi-bin/preps2?a=79699&amp;b=" TargetMode="External"/><Relationship Id="rId185"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chart" Target="charts/chart24.xml"/><Relationship Id="rId210" Type="http://schemas.openxmlformats.org/officeDocument/2006/relationships/image" Target="media/image4.jpeg"/><Relationship Id="rId215" Type="http://schemas.openxmlformats.org/officeDocument/2006/relationships/chart" Target="charts/chart53.xml"/><Relationship Id="rId26" Type="http://schemas.openxmlformats.org/officeDocument/2006/relationships/chart" Target="charts/chart2.xml"/><Relationship Id="rId47" Type="http://schemas.openxmlformats.org/officeDocument/2006/relationships/chart" Target="charts/chart15.xml"/><Relationship Id="rId68" Type="http://schemas.openxmlformats.org/officeDocument/2006/relationships/hyperlink" Target="http://www.medicine.lt/index.php?pagrid=leidiniai&amp;subid=gm&amp;strid=413" TargetMode="External"/><Relationship Id="rId89" Type="http://schemas.openxmlformats.org/officeDocument/2006/relationships/hyperlink" Target="http://www.loc.lt/" TargetMode="External"/><Relationship Id="rId112" Type="http://schemas.openxmlformats.org/officeDocument/2006/relationships/hyperlink" Target="http://www3.lrs.lt/cgi-bin/preps2?a=171181&amp;b=" TargetMode="External"/><Relationship Id="rId133" Type="http://schemas.openxmlformats.org/officeDocument/2006/relationships/hyperlink" Target="http://www3.lrs.lt/cgi-bin/preps2?a=68391&amp;b=" TargetMode="External"/><Relationship Id="rId154" Type="http://schemas.openxmlformats.org/officeDocument/2006/relationships/hyperlink" Target="http://www3.lrs.lt/pls/inter3/dokpaieska.showdoc_l?p_id=326653&amp;p_query=&amp;p_tr2" TargetMode="External"/><Relationship Id="rId175" Type="http://schemas.openxmlformats.org/officeDocument/2006/relationships/hyperlink" Target="http://ec.europa.eu/transport/road_safety/pdf/observatory/trends_figures.pdf" TargetMode="External"/><Relationship Id="rId196" Type="http://schemas.openxmlformats.org/officeDocument/2006/relationships/chart" Target="charts/chart38.xml"/><Relationship Id="rId200" Type="http://schemas.openxmlformats.org/officeDocument/2006/relationships/chart" Target="charts/chart42.xml"/><Relationship Id="rId16" Type="http://schemas.openxmlformats.org/officeDocument/2006/relationships/diagramColors" Target="diagrams/colors2.xml"/><Relationship Id="rId221" Type="http://schemas.openxmlformats.org/officeDocument/2006/relationships/hyperlink" Target="http://www3.lrs.lt/pls/inter3/dokpaieska.showdoc_l?p_id=3044&amp;p_query=&amp;p_tr2" TargetMode="External"/><Relationship Id="rId37" Type="http://schemas.openxmlformats.org/officeDocument/2006/relationships/chart" Target="charts/chart12.xml"/><Relationship Id="rId58" Type="http://schemas.openxmlformats.org/officeDocument/2006/relationships/hyperlink" Target="http://www.vsv.lt/statistika/statistika1/index.html" TargetMode="External"/><Relationship Id="rId79" Type="http://schemas.openxmlformats.org/officeDocument/2006/relationships/hyperlink" Target="http://www.siauliutlk.lt/" TargetMode="External"/><Relationship Id="rId102" Type="http://schemas.openxmlformats.org/officeDocument/2006/relationships/hyperlink" Target="http://lms.lt/files/active/0/2011-02-18_Lietuva2030.pdf" TargetMode="External"/><Relationship Id="rId123" Type="http://schemas.openxmlformats.org/officeDocument/2006/relationships/hyperlink" Target="http://www3.lrs.lt/pls/inter3/dokpaieska.showdoc_l?p_id=216747&amp;p_query=&amp;p_tr2" TargetMode="External"/><Relationship Id="rId144" Type="http://schemas.openxmlformats.org/officeDocument/2006/relationships/hyperlink" Target="http://www3.lrs.lt/cgi-bin/preps2?a=279176&amp;b=" TargetMode="External"/><Relationship Id="rId90" Type="http://schemas.openxmlformats.org/officeDocument/2006/relationships/hyperlink" Target="http://www.medicine.lt/index.php?pagrid=leidiniai&amp;strid=7092&amp;subid=gm" TargetMode="External"/><Relationship Id="rId165" Type="http://schemas.openxmlformats.org/officeDocument/2006/relationships/hyperlink" Target="http://ec.europa.eu/health/patient_safety/docs/council_2009_lt.pdf" TargetMode="External"/><Relationship Id="rId186" Type="http://schemas.openxmlformats.org/officeDocument/2006/relationships/chart" Target="charts/chart30.xml"/><Relationship Id="rId211" Type="http://schemas.openxmlformats.org/officeDocument/2006/relationships/chart" Target="charts/chart5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darbalapis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darbalapis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darbalapis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darbalapis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darbalapis14.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darbalapis15.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darbalapis16.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darbalapis17.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darbalapis18.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darbalapis19.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darbalapis20.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darbalapis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darbalapis21.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darbalapis22.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darbalapis23.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darbalapis24.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darbalapis25.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darbalapis26.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darbalapis27.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darbalapis28.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darbalapis29.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darbalapis30.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darbalapis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darbalapis31.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darbalapis32.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darbalapis33.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darbalapis34.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darbalapis35.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darbalapis36.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darbalapis37.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darbalapis38.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darbalapis39.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darbalapis40.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darbalapis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darbalapis41.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darbalapis42.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darbalapis43.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darbalapis44.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darbalapis45.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darbalapis46.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darbalapis47.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darbalapis48.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darbalapis49.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darbalapis50.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darbalapis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darbalapis51.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darbalapis52.xlsx"/><Relationship Id="rId1" Type="http://schemas.openxmlformats.org/officeDocument/2006/relationships/themeOverride" Target="../theme/themeOverride4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darbalapis53.xlsx"/><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darbalapis54.xlsx"/><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darbalapis55.xlsx"/><Relationship Id="rId1" Type="http://schemas.openxmlformats.org/officeDocument/2006/relationships/themeOverride" Target="../theme/themeOverride48.xm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darbalapis5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darbalapis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darbalapis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darbalapis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darbalapis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lt-LT"/>
  <c:chart>
    <c:plotArea>
      <c:layout>
        <c:manualLayout>
          <c:layoutTarget val="inner"/>
          <c:xMode val="edge"/>
          <c:yMode val="edge"/>
          <c:x val="0.1606905710491367"/>
          <c:y val="4.8507462686567145E-2"/>
          <c:w val="0.49667994687915035"/>
          <c:h val="0.67537313432835855"/>
        </c:manualLayout>
      </c:layout>
      <c:lineChart>
        <c:grouping val="standard"/>
        <c:ser>
          <c:idx val="0"/>
          <c:order val="0"/>
          <c:tx>
            <c:strRef>
              <c:f>Lapas1!$B$1</c:f>
              <c:strCache>
                <c:ptCount val="1"/>
                <c:pt idx="0">
                  <c:v>Šiaulių miesto savivaldybė</c:v>
                </c:pt>
              </c:strCache>
            </c:strRef>
          </c:tx>
          <c:spPr>
            <a:ln w="21047">
              <a:solidFill>
                <a:srgbClr val="000080"/>
              </a:solidFill>
              <a:prstDash val="solid"/>
            </a:ln>
          </c:spPr>
          <c:marker>
            <c:spPr>
              <a:solidFill>
                <a:srgbClr val="000080"/>
              </a:solidFill>
              <a:ln w="24052">
                <a:solidFill>
                  <a:srgbClr val="000080"/>
                </a:solidFill>
                <a:prstDash val="solid"/>
              </a:ln>
            </c:spPr>
          </c:marker>
          <c:dLbls>
            <c:dLbl>
              <c:idx val="0"/>
              <c:layout>
                <c:manualLayout>
                  <c:x val="-3.0092592592592591E-2"/>
                  <c:y val="-4.7619047619047714E-2"/>
                </c:manualLayout>
              </c:layout>
              <c:spPr>
                <a:noFill/>
                <a:ln w="25399">
                  <a:noFill/>
                </a:ln>
              </c:spPr>
              <c:txPr>
                <a:bodyPr/>
                <a:lstStyle/>
                <a:p>
                  <a:pPr>
                    <a:defRPr sz="946"/>
                  </a:pPr>
                  <a:endParaRPr lang="lt-LT"/>
                </a:p>
              </c:txPr>
              <c:dLblPos val="r"/>
              <c:showVal val="1"/>
            </c:dLbl>
            <c:dLbl>
              <c:idx val="9"/>
              <c:layout>
                <c:manualLayout>
                  <c:x val="-3.8982385785468116E-2"/>
                  <c:y val="-6.1932747536992912E-2"/>
                </c:manualLayout>
              </c:layout>
              <c:spPr>
                <a:noFill/>
                <a:ln w="25399">
                  <a:noFill/>
                </a:ln>
              </c:spPr>
              <c:txPr>
                <a:bodyPr/>
                <a:lstStyle/>
                <a:p>
                  <a:pPr>
                    <a:defRPr sz="940" b="1" i="0" u="none" strike="noStrike" baseline="0">
                      <a:solidFill>
                        <a:srgbClr val="000000"/>
                      </a:solidFill>
                      <a:latin typeface="Times New Roman"/>
                      <a:ea typeface="Times New Roman"/>
                      <a:cs typeface="Times New Roman"/>
                    </a:defRPr>
                  </a:pPr>
                  <a:endParaRPr lang="lt-LT"/>
                </a:p>
              </c:txPr>
              <c:dLblPos val="r"/>
              <c:showVal val="1"/>
            </c:dLbl>
            <c:delete val="1"/>
          </c:dLbls>
          <c:trendline>
            <c:trendlineType val="linear"/>
            <c:forward val="2"/>
          </c:trendline>
          <c:cat>
            <c:numRef>
              <c:f>Lapas1!$A$2:$A$11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Lapas1!$B$2:$B$11</c:f>
              <c:numCache>
                <c:formatCode>General</c:formatCode>
                <c:ptCount val="10"/>
                <c:pt idx="0">
                  <c:v>134032</c:v>
                </c:pt>
                <c:pt idx="1">
                  <c:v>133528</c:v>
                </c:pt>
                <c:pt idx="2">
                  <c:v>132715</c:v>
                </c:pt>
                <c:pt idx="3">
                  <c:v>131181</c:v>
                </c:pt>
                <c:pt idx="4">
                  <c:v>130020</c:v>
                </c:pt>
                <c:pt idx="5">
                  <c:v>129037</c:v>
                </c:pt>
                <c:pt idx="6">
                  <c:v>128397</c:v>
                </c:pt>
                <c:pt idx="7">
                  <c:v>127059</c:v>
                </c:pt>
                <c:pt idx="8">
                  <c:v>126215</c:v>
                </c:pt>
                <c:pt idx="9">
                  <c:v>125453</c:v>
                </c:pt>
              </c:numCache>
            </c:numRef>
          </c:val>
        </c:ser>
        <c:ser>
          <c:idx val="1"/>
          <c:order val="1"/>
          <c:tx>
            <c:strRef>
              <c:f>Lapas1!$C$1</c:f>
              <c:strCache>
                <c:ptCount val="1"/>
                <c:pt idx="0">
                  <c:v>Lietuvos Respublika</c:v>
                </c:pt>
              </c:strCache>
            </c:strRef>
          </c:tx>
          <c:spPr>
            <a:ln w="18039">
              <a:solidFill>
                <a:srgbClr val="FF00FF"/>
              </a:solidFill>
              <a:prstDash val="solid"/>
            </a:ln>
          </c:spPr>
          <c:marker>
            <c:spPr>
              <a:solidFill>
                <a:srgbClr val="FF00FF"/>
              </a:solidFill>
              <a:ln w="18039">
                <a:solidFill>
                  <a:srgbClr val="FF00FF"/>
                </a:solidFill>
                <a:prstDash val="solid"/>
              </a:ln>
            </c:spPr>
          </c:marker>
          <c:dLbls>
            <c:dLbl>
              <c:idx val="0"/>
              <c:layout>
                <c:manualLayout>
                  <c:x val="-3.7037037037037916E-2"/>
                  <c:y val="-5.9523809523809507E-2"/>
                </c:manualLayout>
              </c:layout>
              <c:spPr>
                <a:noFill/>
                <a:ln w="25399">
                  <a:noFill/>
                </a:ln>
              </c:spPr>
              <c:txPr>
                <a:bodyPr/>
                <a:lstStyle/>
                <a:p>
                  <a:pPr>
                    <a:defRPr sz="946"/>
                  </a:pPr>
                  <a:endParaRPr lang="lt-LT"/>
                </a:p>
              </c:txPr>
              <c:dLblPos val="r"/>
              <c:showVal val="1"/>
            </c:dLbl>
            <c:dLbl>
              <c:idx val="9"/>
              <c:layout>
                <c:manualLayout>
                  <c:x val="-2.783973355262E-2"/>
                  <c:y val="-6.0261896610749793E-2"/>
                </c:manualLayout>
              </c:layout>
              <c:spPr>
                <a:noFill/>
                <a:ln w="25399">
                  <a:noFill/>
                </a:ln>
              </c:spPr>
              <c:txPr>
                <a:bodyPr/>
                <a:lstStyle/>
                <a:p>
                  <a:pPr>
                    <a:defRPr sz="940" b="1" i="0" u="none" strike="noStrike" baseline="0">
                      <a:solidFill>
                        <a:srgbClr val="000000"/>
                      </a:solidFill>
                      <a:latin typeface="Times New Roman"/>
                      <a:ea typeface="Times New Roman"/>
                      <a:cs typeface="Times New Roman"/>
                    </a:defRPr>
                  </a:pPr>
                  <a:endParaRPr lang="lt-LT"/>
                </a:p>
              </c:txPr>
              <c:dLblPos val="r"/>
              <c:showVal val="1"/>
            </c:dLbl>
            <c:delete val="1"/>
          </c:dLbls>
          <c:cat>
            <c:numRef>
              <c:f>Lapas1!$A$2:$A$11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Lapas1!$C$2:$C$11</c:f>
              <c:numCache>
                <c:formatCode>General</c:formatCode>
                <c:ptCount val="10"/>
                <c:pt idx="0">
                  <c:v>3486998</c:v>
                </c:pt>
                <c:pt idx="1">
                  <c:v>3475586</c:v>
                </c:pt>
                <c:pt idx="2">
                  <c:v>3462553</c:v>
                </c:pt>
                <c:pt idx="3">
                  <c:v>3445857</c:v>
                </c:pt>
                <c:pt idx="4">
                  <c:v>3425324</c:v>
                </c:pt>
                <c:pt idx="5">
                  <c:v>3403284</c:v>
                </c:pt>
                <c:pt idx="6">
                  <c:v>3384879</c:v>
                </c:pt>
                <c:pt idx="7">
                  <c:v>3366357</c:v>
                </c:pt>
                <c:pt idx="8">
                  <c:v>3349872</c:v>
                </c:pt>
                <c:pt idx="9">
                  <c:v>3329039</c:v>
                </c:pt>
              </c:numCache>
            </c:numRef>
          </c:val>
        </c:ser>
        <c:marker val="1"/>
        <c:axId val="269340032"/>
        <c:axId val="269350016"/>
      </c:lineChart>
      <c:catAx>
        <c:axId val="269340032"/>
        <c:scaling>
          <c:orientation val="minMax"/>
        </c:scaling>
        <c:axPos val="b"/>
        <c:numFmt formatCode="General" sourceLinked="1"/>
        <c:tickLblPos val="nextTo"/>
        <c:txPr>
          <a:bodyPr rot="-5400000" vert="horz"/>
          <a:lstStyle/>
          <a:p>
            <a:pPr>
              <a:defRPr sz="851"/>
            </a:pPr>
            <a:endParaRPr lang="lt-LT"/>
          </a:p>
        </c:txPr>
        <c:crossAx val="269350016"/>
        <c:crosses val="autoZero"/>
        <c:auto val="1"/>
        <c:lblAlgn val="ctr"/>
        <c:lblOffset val="100"/>
      </c:catAx>
      <c:valAx>
        <c:axId val="269350016"/>
        <c:scaling>
          <c:orientation val="minMax"/>
        </c:scaling>
        <c:axPos val="l"/>
        <c:majorGridlines/>
        <c:numFmt formatCode="General" sourceLinked="1"/>
        <c:tickLblPos val="nextTo"/>
        <c:crossAx val="269340032"/>
        <c:crosses val="autoZero"/>
        <c:crossBetween val="between"/>
      </c:valAx>
      <c:spPr>
        <a:noFill/>
        <a:ln w="25399">
          <a:noFill/>
        </a:ln>
      </c:spPr>
    </c:plotArea>
    <c:legend>
      <c:legendPos val="r"/>
      <c:legendEntry>
        <c:idx val="2"/>
        <c:delete val="1"/>
      </c:legendEntry>
      <c:layout>
        <c:manualLayout>
          <c:xMode val="edge"/>
          <c:yMode val="edge"/>
          <c:x val="0.6918990324229275"/>
          <c:y val="0.24253718285214351"/>
          <c:w val="0.2164675207678245"/>
          <c:h val="0.59328375619714202"/>
        </c:manualLayout>
      </c:layout>
    </c:legend>
    <c:plotVisOnly val="1"/>
    <c:dispBlanksAs val="gap"/>
  </c:chart>
  <c:spPr>
    <a:solidFill>
      <a:sysClr val="window" lastClr="FFFFFF"/>
    </a:solidFill>
    <a:effectLst>
      <a:softEdge rad="127000"/>
    </a:effectLst>
  </c:spPr>
  <c:txPr>
    <a:bodyPr/>
    <a:lstStyle/>
    <a:p>
      <a:pPr>
        <a:defRPr b="1">
          <a:latin typeface="Times New Roman" pitchFamily="18" charset="0"/>
          <a:cs typeface="Times New Roman" pitchFamily="18" charset="0"/>
        </a:defRPr>
      </a:pPr>
      <a:endParaRPr lang="lt-LT"/>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3.1339031339031341E-2"/>
          <c:y val="7.3041168658698516E-2"/>
          <c:w val="0.67382484240754792"/>
          <c:h val="0.71799468791500665"/>
        </c:manualLayout>
      </c:layout>
      <c:barChart>
        <c:barDir val="col"/>
        <c:grouping val="clustered"/>
        <c:ser>
          <c:idx val="0"/>
          <c:order val="0"/>
          <c:tx>
            <c:strRef>
              <c:f>Lapas1!$B$1</c:f>
              <c:strCache>
                <c:ptCount val="1"/>
                <c:pt idx="0">
                  <c:v>Šiaulių miesto savivaldybė</c:v>
                </c:pt>
              </c:strCache>
            </c:strRef>
          </c:tx>
          <c:spPr>
            <a:solidFill>
              <a:srgbClr val="FF0000"/>
            </a:solidFill>
          </c:spPr>
          <c:dLbls>
            <c:dLbl>
              <c:idx val="3"/>
              <c:layout>
                <c:manualLayout>
                  <c:x val="0"/>
                  <c:y val="1.9920318725099601E-2"/>
                </c:manualLayout>
              </c:layout>
              <c:dLblPos val="outEnd"/>
              <c:showVal val="1"/>
            </c:dLbl>
            <c:spPr>
              <a:noFill/>
              <a:ln w="25398">
                <a:noFill/>
              </a:ln>
            </c:spPr>
            <c:txPr>
              <a:bodyPr/>
              <a:lstStyle/>
              <a:p>
                <a:pPr>
                  <a:defRPr b="1">
                    <a:latin typeface="Times New Roman" pitchFamily="18" charset="0"/>
                    <a:cs typeface="Times New Roman" pitchFamily="18" charset="0"/>
                  </a:defRPr>
                </a:pPr>
                <a:endParaRPr lang="lt-LT"/>
              </a:p>
            </c:tx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Lapas1!$B$2:$B$7</c:f>
              <c:numCache>
                <c:formatCode>General</c:formatCode>
                <c:ptCount val="6"/>
                <c:pt idx="0">
                  <c:v>220.5</c:v>
                </c:pt>
                <c:pt idx="1">
                  <c:v>174.58</c:v>
                </c:pt>
                <c:pt idx="2">
                  <c:v>195.8</c:v>
                </c:pt>
                <c:pt idx="3">
                  <c:v>133.9</c:v>
                </c:pt>
                <c:pt idx="4">
                  <c:v>189.5</c:v>
                </c:pt>
                <c:pt idx="5">
                  <c:v>85</c:v>
                </c:pt>
              </c:numCache>
            </c:numRef>
          </c:val>
        </c:ser>
        <c:ser>
          <c:idx val="2"/>
          <c:order val="1"/>
          <c:tx>
            <c:strRef>
              <c:f>Lapas1!$C$1</c:f>
              <c:strCache>
                <c:ptCount val="1"/>
                <c:pt idx="0">
                  <c:v>Lietuvos Respublika</c:v>
                </c:pt>
              </c:strCache>
            </c:strRef>
          </c:tx>
          <c:spPr>
            <a:solidFill>
              <a:srgbClr val="66FF33"/>
            </a:solidFill>
          </c:spPr>
          <c:dLbls>
            <c:dLbl>
              <c:idx val="1"/>
              <c:layout>
                <c:manualLayout>
                  <c:x val="1.4245014245014283E-2"/>
                  <c:y val="1.3280212483399676E-2"/>
                </c:manualLayout>
              </c:layout>
              <c:dLblPos val="outEnd"/>
              <c:showVal val="1"/>
            </c:dLbl>
            <c:dLbl>
              <c:idx val="2"/>
              <c:layout>
                <c:manualLayout>
                  <c:x val="8.5470085470085028E-3"/>
                  <c:y val="6.6401062416998674E-3"/>
                </c:manualLayout>
              </c:layout>
              <c:dLblPos val="outEnd"/>
              <c:showVal val="1"/>
            </c:dLbl>
            <c:dLbl>
              <c:idx val="3"/>
              <c:layout>
                <c:manualLayout>
                  <c:x val="1.9943019943020404E-2"/>
                  <c:y val="0"/>
                </c:manualLayout>
              </c:layout>
              <c:dLblPos val="outEnd"/>
              <c:showVal val="1"/>
            </c:dLbl>
            <c:spPr>
              <a:noFill/>
              <a:ln w="25398">
                <a:noFill/>
              </a:ln>
            </c:spPr>
            <c:txPr>
              <a:bodyPr/>
              <a:lstStyle/>
              <a:p>
                <a:pPr>
                  <a:defRPr b="1">
                    <a:latin typeface="Times New Roman" pitchFamily="18" charset="0"/>
                    <a:cs typeface="Times New Roman" pitchFamily="18" charset="0"/>
                  </a:defRPr>
                </a:pPr>
                <a:endParaRPr lang="lt-LT"/>
              </a:p>
            </c:tx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Lapas1!$C$2:$C$7</c:f>
              <c:numCache>
                <c:formatCode>General</c:formatCode>
                <c:ptCount val="6"/>
                <c:pt idx="0">
                  <c:v>190.2</c:v>
                </c:pt>
                <c:pt idx="1">
                  <c:v>160.1</c:v>
                </c:pt>
                <c:pt idx="2">
                  <c:v>162.30000000000001</c:v>
                </c:pt>
                <c:pt idx="3">
                  <c:v>148.9</c:v>
                </c:pt>
                <c:pt idx="4">
                  <c:v>166</c:v>
                </c:pt>
                <c:pt idx="5">
                  <c:v>194.5</c:v>
                </c:pt>
              </c:numCache>
            </c:numRef>
          </c:val>
        </c:ser>
        <c:dLbls>
          <c:showVal val="1"/>
        </c:dLbls>
        <c:overlap val="-25"/>
        <c:axId val="234806272"/>
        <c:axId val="268198656"/>
      </c:barChart>
      <c:catAx>
        <c:axId val="234806272"/>
        <c:scaling>
          <c:orientation val="minMax"/>
        </c:scaling>
        <c:axPos val="b"/>
        <c:numFmt formatCode="General" sourceLinked="1"/>
        <c:majorTickMark val="none"/>
        <c:tickLblPos val="nextTo"/>
        <c:txPr>
          <a:bodyPr rot="0" vert="horz"/>
          <a:lstStyle/>
          <a:p>
            <a:pPr>
              <a:defRPr sz="845" b="1" i="0" u="none" strike="noStrike" baseline="0">
                <a:solidFill>
                  <a:srgbClr val="000000"/>
                </a:solidFill>
                <a:latin typeface="Times New Roman"/>
                <a:ea typeface="Times New Roman"/>
                <a:cs typeface="Times New Roman"/>
              </a:defRPr>
            </a:pPr>
            <a:endParaRPr lang="lt-LT"/>
          </a:p>
        </c:txPr>
        <c:crossAx val="268198656"/>
        <c:crosses val="autoZero"/>
        <c:auto val="1"/>
        <c:lblAlgn val="ctr"/>
        <c:lblOffset val="100"/>
      </c:catAx>
      <c:valAx>
        <c:axId val="268198656"/>
        <c:scaling>
          <c:orientation val="minMax"/>
        </c:scaling>
        <c:delete val="1"/>
        <c:axPos val="l"/>
        <c:majorGridlines/>
        <c:numFmt formatCode="General" sourceLinked="1"/>
        <c:tickLblPos val="none"/>
        <c:crossAx val="234806272"/>
        <c:crosses val="autoZero"/>
        <c:crossBetween val="between"/>
      </c:valAx>
      <c:spPr>
        <a:noFill/>
        <a:ln w="25398">
          <a:noFill/>
        </a:ln>
      </c:spPr>
    </c:plotArea>
    <c:legend>
      <c:legendPos val="r"/>
      <c:layout>
        <c:manualLayout>
          <c:xMode val="edge"/>
          <c:yMode val="edge"/>
          <c:x val="0.71752836538065956"/>
          <c:y val="8.4158646835812215E-2"/>
          <c:w val="0.25598992915854191"/>
          <c:h val="0.74752470755970335"/>
        </c:manualLayout>
      </c:layout>
      <c:spPr>
        <a:solidFill>
          <a:sysClr val="window" lastClr="FFFFFF"/>
        </a:solidFill>
      </c:spPr>
      <c:txPr>
        <a:bodyPr/>
        <a:lstStyle/>
        <a:p>
          <a:pPr>
            <a:defRPr b="1">
              <a:latin typeface="Times New Roman" pitchFamily="18" charset="0"/>
              <a:cs typeface="Times New Roman" pitchFamily="18" charset="0"/>
            </a:defRPr>
          </a:pPr>
          <a:endParaRPr lang="lt-LT"/>
        </a:p>
      </c:txPr>
    </c:legend>
    <c:plotVisOnly val="1"/>
    <c:dispBlanksAs val="gap"/>
  </c:chart>
  <c:spPr>
    <a:solidFill>
      <a:sysClr val="window" lastClr="FFFFFF"/>
    </a:solidFill>
    <a:ln w="10675">
      <a:solidFill>
        <a:sysClr val="windowText" lastClr="000000"/>
      </a:solidFill>
    </a:ln>
    <a:effectLst>
      <a:softEdge rad="127000"/>
    </a:effectLst>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2.3655913978494984E-2"/>
          <c:y val="7.0785070785070792E-2"/>
          <c:w val="0.68645161290322665"/>
          <c:h val="0.72670527670528606"/>
        </c:manualLayout>
      </c:layout>
      <c:lineChart>
        <c:grouping val="standard"/>
        <c:ser>
          <c:idx val="0"/>
          <c:order val="0"/>
          <c:tx>
            <c:strRef>
              <c:f>Lapas1!$A$2</c:f>
              <c:strCache>
                <c:ptCount val="1"/>
                <c:pt idx="0">
                  <c:v>Lietuvos Respublika</c:v>
                </c:pt>
              </c:strCache>
            </c:strRef>
          </c:tx>
          <c:spPr>
            <a:ln w="49233"/>
          </c:spPr>
          <c:dLbls>
            <c:dLbl>
              <c:idx val="0"/>
              <c:layout>
                <c:manualLayout>
                  <c:x val="-2.150537634408603E-2"/>
                  <c:y val="-6.435006435006442E-2"/>
                </c:manualLayout>
              </c:layout>
              <c:dLblPos val="r"/>
              <c:showVal val="1"/>
            </c:dLbl>
            <c:dLbl>
              <c:idx val="1"/>
              <c:layout>
                <c:manualLayout>
                  <c:x val="-1.5053763440860221E-2"/>
                  <c:y val="-5.791505791505791E-2"/>
                </c:manualLayout>
              </c:layout>
              <c:dLblPos val="r"/>
              <c:showVal val="1"/>
            </c:dLbl>
            <c:dLbl>
              <c:idx val="2"/>
              <c:layout>
                <c:manualLayout>
                  <c:x val="-1.7204301075268782E-2"/>
                  <c:y val="-5.7915057915057924E-2"/>
                </c:manualLayout>
              </c:layout>
              <c:dLblPos val="r"/>
              <c:showVal val="1"/>
            </c:dLbl>
            <c:dLbl>
              <c:idx val="3"/>
              <c:layout>
                <c:manualLayout>
                  <c:x val="-1.5053763440860221E-2"/>
                  <c:y val="-5.7915057915057924E-2"/>
                </c:manualLayout>
              </c:layout>
              <c:dLblPos val="r"/>
              <c:showVal val="1"/>
            </c:dLbl>
            <c:dLbl>
              <c:idx val="4"/>
              <c:layout>
                <c:manualLayout>
                  <c:x val="-2.5806451612903236E-2"/>
                  <c:y val="-7.0785070785070792E-2"/>
                </c:manualLayout>
              </c:layout>
              <c:dLblPos val="r"/>
              <c:showVal val="1"/>
            </c:dLbl>
            <c:dLbl>
              <c:idx val="5"/>
              <c:layout>
                <c:manualLayout>
                  <c:x val="-3.4408602150537711E-2"/>
                  <c:y val="-0.10296010296010419"/>
                </c:manualLayout>
              </c:layout>
              <c:dLblPos val="r"/>
              <c:showVal val="1"/>
            </c:dLbl>
            <c:spPr>
              <a:noFill/>
              <a:ln w="25400">
                <a:noFill/>
              </a:ln>
            </c:spPr>
            <c:txPr>
              <a:bodyPr/>
              <a:lstStyle/>
              <a:p>
                <a:pPr>
                  <a:defRPr b="1">
                    <a:latin typeface="Times New Roman" pitchFamily="18" charset="0"/>
                    <a:cs typeface="Times New Roman" pitchFamily="18" charset="0"/>
                  </a:defRPr>
                </a:pPr>
                <a:endParaRPr lang="lt-LT"/>
              </a:p>
            </c:txPr>
            <c:showVal val="1"/>
          </c:dLbls>
          <c:cat>
            <c:strRef>
              <c:f>Lapas1!$B$1:$G$1</c:f>
              <c:strCache>
                <c:ptCount val="6"/>
                <c:pt idx="0">
                  <c:v>2004</c:v>
                </c:pt>
                <c:pt idx="1">
                  <c:v>2005</c:v>
                </c:pt>
                <c:pt idx="2">
                  <c:v>2006</c:v>
                </c:pt>
                <c:pt idx="3">
                  <c:v>2007</c:v>
                </c:pt>
                <c:pt idx="4">
                  <c:v>2008</c:v>
                </c:pt>
                <c:pt idx="5">
                  <c:v>2009</c:v>
                </c:pt>
              </c:strCache>
            </c:strRef>
          </c:cat>
          <c:val>
            <c:numRef>
              <c:f>Lapas1!$B$2:$G$2</c:f>
              <c:numCache>
                <c:formatCode>General</c:formatCode>
                <c:ptCount val="6"/>
                <c:pt idx="0">
                  <c:v>59</c:v>
                </c:pt>
                <c:pt idx="1">
                  <c:v>61.7</c:v>
                </c:pt>
                <c:pt idx="2">
                  <c:v>61.8</c:v>
                </c:pt>
                <c:pt idx="3">
                  <c:v>58.6</c:v>
                </c:pt>
                <c:pt idx="4">
                  <c:v>56.3</c:v>
                </c:pt>
                <c:pt idx="5">
                  <c:v>50.2</c:v>
                </c:pt>
              </c:numCache>
            </c:numRef>
          </c:val>
        </c:ser>
        <c:ser>
          <c:idx val="1"/>
          <c:order val="1"/>
          <c:tx>
            <c:strRef>
              <c:f>Lapas1!$A$3</c:f>
              <c:strCache>
                <c:ptCount val="1"/>
                <c:pt idx="0">
                  <c:v>Šiaulių miesto savivaldybė</c:v>
                </c:pt>
              </c:strCache>
            </c:strRef>
          </c:tx>
          <c:spPr>
            <a:ln w="36926">
              <a:solidFill>
                <a:srgbClr val="FF0000"/>
              </a:solidFill>
            </a:ln>
          </c:spPr>
          <c:marker>
            <c:spPr>
              <a:solidFill>
                <a:srgbClr val="FF0000"/>
              </a:solidFill>
              <a:ln w="2495">
                <a:solidFill>
                  <a:srgbClr val="FF0000"/>
                </a:solidFill>
              </a:ln>
            </c:spPr>
          </c:marker>
          <c:dLbls>
            <c:dLbl>
              <c:idx val="0"/>
              <c:layout>
                <c:manualLayout>
                  <c:x val="-4.5161290322580733E-2"/>
                  <c:y val="7.7220077220077218E-2"/>
                </c:manualLayout>
              </c:layout>
              <c:dLblPos val="r"/>
              <c:showVal val="1"/>
            </c:dLbl>
            <c:dLbl>
              <c:idx val="1"/>
              <c:layout>
                <c:manualLayout>
                  <c:x val="-3.6559139784946251E-2"/>
                  <c:y val="7.7220077220077218E-2"/>
                </c:manualLayout>
              </c:layout>
              <c:dLblPos val="r"/>
              <c:showVal val="1"/>
            </c:dLbl>
            <c:dLbl>
              <c:idx val="2"/>
              <c:layout>
                <c:manualLayout>
                  <c:x val="-3.2258064516129455E-2"/>
                  <c:y val="8.3655083655085491E-2"/>
                </c:manualLayout>
              </c:layout>
              <c:dLblPos val="r"/>
              <c:showVal val="1"/>
            </c:dLbl>
            <c:dLbl>
              <c:idx val="3"/>
              <c:layout>
                <c:manualLayout>
                  <c:x val="-4.3010752688172046E-2"/>
                  <c:y val="9.6525096525098913E-2"/>
                </c:manualLayout>
              </c:layout>
              <c:dLblPos val="r"/>
              <c:showVal val="1"/>
            </c:dLbl>
            <c:dLbl>
              <c:idx val="4"/>
              <c:layout>
                <c:manualLayout>
                  <c:x val="-3.8709677419355375E-2"/>
                  <c:y val="9.6525096525098913E-2"/>
                </c:manualLayout>
              </c:layout>
              <c:dLblPos val="r"/>
              <c:showVal val="1"/>
            </c:dLbl>
            <c:dLbl>
              <c:idx val="5"/>
              <c:layout>
                <c:manualLayout>
                  <c:x val="-4.9462365591397925E-2"/>
                  <c:y val="9.6525096525098913E-2"/>
                </c:manualLayout>
              </c:layout>
              <c:dLblPos val="r"/>
              <c:showVal val="1"/>
            </c:dLbl>
            <c:spPr>
              <a:noFill/>
              <a:ln w="25400">
                <a:noFill/>
              </a:ln>
            </c:spPr>
            <c:txPr>
              <a:bodyPr/>
              <a:lstStyle/>
              <a:p>
                <a:pPr>
                  <a:defRPr b="1">
                    <a:latin typeface="Times New Roman" pitchFamily="18" charset="0"/>
                    <a:cs typeface="Times New Roman" pitchFamily="18" charset="0"/>
                  </a:defRPr>
                </a:pPr>
                <a:endParaRPr lang="lt-LT"/>
              </a:p>
            </c:txPr>
            <c:showVal val="1"/>
          </c:dLbls>
          <c:cat>
            <c:strRef>
              <c:f>Lapas1!$B$1:$G$1</c:f>
              <c:strCache>
                <c:ptCount val="6"/>
                <c:pt idx="0">
                  <c:v>2004</c:v>
                </c:pt>
                <c:pt idx="1">
                  <c:v>2005</c:v>
                </c:pt>
                <c:pt idx="2">
                  <c:v>2006</c:v>
                </c:pt>
                <c:pt idx="3">
                  <c:v>2007</c:v>
                </c:pt>
                <c:pt idx="4">
                  <c:v>2008</c:v>
                </c:pt>
                <c:pt idx="5">
                  <c:v>2009</c:v>
                </c:pt>
              </c:strCache>
            </c:strRef>
          </c:cat>
          <c:val>
            <c:numRef>
              <c:f>Lapas1!$B$3:$G$3</c:f>
              <c:numCache>
                <c:formatCode>General</c:formatCode>
                <c:ptCount val="6"/>
                <c:pt idx="0">
                  <c:v>52.1</c:v>
                </c:pt>
                <c:pt idx="1">
                  <c:v>53.3</c:v>
                </c:pt>
                <c:pt idx="2">
                  <c:v>48.9</c:v>
                </c:pt>
                <c:pt idx="3">
                  <c:v>36.800000000000011</c:v>
                </c:pt>
                <c:pt idx="4">
                  <c:v>33.200000000000003</c:v>
                </c:pt>
                <c:pt idx="5">
                  <c:v>32.6</c:v>
                </c:pt>
              </c:numCache>
            </c:numRef>
          </c:val>
        </c:ser>
        <c:dLbls>
          <c:showVal val="1"/>
        </c:dLbls>
        <c:marker val="1"/>
        <c:axId val="264598272"/>
        <c:axId val="264599808"/>
      </c:lineChart>
      <c:catAx>
        <c:axId val="264598272"/>
        <c:scaling>
          <c:orientation val="minMax"/>
        </c:scaling>
        <c:axPos val="b"/>
        <c:majorGridlines/>
        <c:numFmt formatCode="General" sourceLinked="1"/>
        <c:majorTickMark val="none"/>
        <c:tickLblPos val="nextTo"/>
        <c:txPr>
          <a:bodyPr/>
          <a:lstStyle/>
          <a:p>
            <a:pPr>
              <a:defRPr b="1">
                <a:latin typeface="Times New Roman" pitchFamily="18" charset="0"/>
                <a:cs typeface="Times New Roman" pitchFamily="18" charset="0"/>
              </a:defRPr>
            </a:pPr>
            <a:endParaRPr lang="lt-LT"/>
          </a:p>
        </c:txPr>
        <c:crossAx val="264599808"/>
        <c:crosses val="autoZero"/>
        <c:auto val="1"/>
        <c:lblAlgn val="ctr"/>
        <c:lblOffset val="100"/>
      </c:catAx>
      <c:valAx>
        <c:axId val="264599808"/>
        <c:scaling>
          <c:orientation val="minMax"/>
        </c:scaling>
        <c:delete val="1"/>
        <c:axPos val="l"/>
        <c:numFmt formatCode="General" sourceLinked="1"/>
        <c:tickLblPos val="none"/>
        <c:crossAx val="264598272"/>
        <c:crosses val="autoZero"/>
        <c:crossBetween val="between"/>
      </c:valAx>
      <c:spPr>
        <a:noFill/>
        <a:ln w="25400">
          <a:noFill/>
        </a:ln>
      </c:spPr>
    </c:plotArea>
    <c:legend>
      <c:legendPos val="r"/>
      <c:layout>
        <c:manualLayout>
          <c:xMode val="edge"/>
          <c:yMode val="edge"/>
          <c:x val="0.69651739353014308"/>
          <c:y val="0.1730771153605799"/>
          <c:w val="0.28358206772141104"/>
          <c:h val="0.30769216347956507"/>
        </c:manualLayout>
      </c:layout>
      <c:txPr>
        <a:bodyPr/>
        <a:lstStyle/>
        <a:p>
          <a:pPr>
            <a:defRPr b="1">
              <a:latin typeface="Times New Roman" pitchFamily="18" charset="0"/>
              <a:cs typeface="Times New Roman" pitchFamily="18" charset="0"/>
            </a:defRPr>
          </a:pPr>
          <a:endParaRPr lang="lt-LT"/>
        </a:p>
      </c:txPr>
    </c:legend>
    <c:plotVisOnly val="1"/>
    <c:dispBlanksAs val="gap"/>
  </c:chart>
  <c:spPr>
    <a:solidFill>
      <a:sysClr val="window" lastClr="FFFFFF"/>
    </a:solidFill>
    <a:effectLst/>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barChart>
        <c:barDir val="col"/>
        <c:grouping val="clustered"/>
        <c:ser>
          <c:idx val="0"/>
          <c:order val="0"/>
          <c:tx>
            <c:strRef>
              <c:f>Lapas1!$B$1</c:f>
              <c:strCache>
                <c:ptCount val="1"/>
                <c:pt idx="0">
                  <c:v>Šiaulių miesto savivaldybė</c:v>
                </c:pt>
              </c:strCache>
            </c:strRef>
          </c:tx>
          <c:spPr>
            <a:solidFill>
              <a:srgbClr val="FF0000"/>
            </a:solidFill>
          </c:spPr>
          <c:dLbls>
            <c:dLbl>
              <c:idx val="0"/>
              <c:layout>
                <c:manualLayout>
                  <c:x val="-9.0211998195761228E-3"/>
                  <c:y val="2.2060941877215922E-2"/>
                </c:manualLayout>
              </c:layout>
              <c:spPr>
                <a:noFill/>
                <a:ln w="25386">
                  <a:noFill/>
                </a:ln>
              </c:spPr>
              <c:txPr>
                <a:bodyPr/>
                <a:lstStyle/>
                <a:p>
                  <a:pPr>
                    <a:defRPr/>
                  </a:pPr>
                  <a:endParaRPr lang="lt-LT"/>
                </a:p>
              </c:txPr>
              <c:dLblPos val="outEnd"/>
              <c:showVal val="1"/>
            </c:dLbl>
            <c:dLbl>
              <c:idx val="1"/>
              <c:layout>
                <c:manualLayout>
                  <c:x val="-8.1410256410256402E-3"/>
                  <c:y val="1.1747430249635052E-2"/>
                </c:manualLayout>
              </c:layout>
              <c:spPr>
                <a:noFill/>
                <a:ln w="25386">
                  <a:noFill/>
                </a:ln>
              </c:spPr>
              <c:txPr>
                <a:bodyPr/>
                <a:lstStyle/>
                <a:p>
                  <a:pPr>
                    <a:defRPr/>
                  </a:pPr>
                  <a:endParaRPr lang="lt-LT"/>
                </a:p>
              </c:txPr>
              <c:dLblPos val="outEnd"/>
              <c:showVal val="1"/>
            </c:dLbl>
            <c:dLbl>
              <c:idx val="2"/>
              <c:layout>
                <c:manualLayout>
                  <c:x val="-1.0854700854700855E-2"/>
                  <c:y val="1.174696775237897E-2"/>
                </c:manualLayout>
              </c:layout>
              <c:spPr>
                <a:noFill/>
                <a:ln w="25386">
                  <a:noFill/>
                </a:ln>
              </c:spPr>
              <c:txPr>
                <a:bodyPr/>
                <a:lstStyle/>
                <a:p>
                  <a:pPr>
                    <a:defRPr/>
                  </a:pPr>
                  <a:endParaRPr lang="lt-LT"/>
                </a:p>
              </c:txPr>
              <c:dLblPos val="outEnd"/>
              <c:showVal val="1"/>
            </c:dLbl>
            <c:spPr>
              <a:noFill/>
              <a:ln w="25386">
                <a:noFill/>
              </a:ln>
            </c:spPr>
            <c:showVal val="1"/>
          </c:dLbls>
          <c:cat>
            <c:numRef>
              <c:f>Lapas1!$A$2:$A$5</c:f>
              <c:numCache>
                <c:formatCode>General</c:formatCode>
                <c:ptCount val="4"/>
                <c:pt idx="0">
                  <c:v>2006</c:v>
                </c:pt>
                <c:pt idx="1">
                  <c:v>2007</c:v>
                </c:pt>
                <c:pt idx="2">
                  <c:v>2008</c:v>
                </c:pt>
                <c:pt idx="3">
                  <c:v>2009</c:v>
                </c:pt>
              </c:numCache>
            </c:numRef>
          </c:cat>
          <c:val>
            <c:numRef>
              <c:f>Lapas1!$B$2:$B$5</c:f>
              <c:numCache>
                <c:formatCode>General</c:formatCode>
                <c:ptCount val="4"/>
                <c:pt idx="0">
                  <c:v>0.15000000000000002</c:v>
                </c:pt>
                <c:pt idx="1">
                  <c:v>0.47000000000000003</c:v>
                </c:pt>
                <c:pt idx="2">
                  <c:v>8.0000000000000016E-2</c:v>
                </c:pt>
                <c:pt idx="3">
                  <c:v>1.6</c:v>
                </c:pt>
              </c:numCache>
            </c:numRef>
          </c:val>
        </c:ser>
        <c:ser>
          <c:idx val="1"/>
          <c:order val="1"/>
          <c:tx>
            <c:strRef>
              <c:f>Lapas1!$C$1</c:f>
              <c:strCache>
                <c:ptCount val="1"/>
                <c:pt idx="0">
                  <c:v>Lietuvos Respublika</c:v>
                </c:pt>
              </c:strCache>
            </c:strRef>
          </c:tx>
          <c:spPr>
            <a:solidFill>
              <a:srgbClr val="00B0F0"/>
            </a:solidFill>
          </c:spPr>
          <c:dLbls>
            <c:dLbl>
              <c:idx val="1"/>
              <c:layout>
                <c:manualLayout>
                  <c:x val="-9.7617195685451767E-4"/>
                  <c:y val="-4.1248000565585665E-3"/>
                </c:manualLayout>
              </c:layout>
              <c:spPr>
                <a:noFill/>
                <a:ln w="25386">
                  <a:noFill/>
                </a:ln>
              </c:spPr>
              <c:txPr>
                <a:bodyPr/>
                <a:lstStyle/>
                <a:p>
                  <a:pPr>
                    <a:defRPr/>
                  </a:pPr>
                  <a:endParaRPr lang="lt-LT"/>
                </a:p>
              </c:txPr>
              <c:dLblPos val="outEnd"/>
              <c:showVal val="1"/>
            </c:dLbl>
            <c:dLbl>
              <c:idx val="2"/>
              <c:layout>
                <c:manualLayout>
                  <c:x val="2.7136752136752151E-3"/>
                  <c:y val="2.3772358851619452E-3"/>
                </c:manualLayout>
              </c:layout>
              <c:spPr>
                <a:noFill/>
                <a:ln w="25386">
                  <a:noFill/>
                </a:ln>
              </c:spPr>
              <c:txPr>
                <a:bodyPr/>
                <a:lstStyle/>
                <a:p>
                  <a:pPr>
                    <a:defRPr/>
                  </a:pPr>
                  <a:endParaRPr lang="lt-LT"/>
                </a:p>
              </c:txPr>
              <c:dLblPos val="outEnd"/>
              <c:showVal val="1"/>
            </c:dLbl>
            <c:dLbl>
              <c:idx val="3"/>
              <c:layout>
                <c:manualLayout>
                  <c:x val="4.8270522341676168E-3"/>
                  <c:y val="1.1957722456410125E-2"/>
                </c:manualLayout>
              </c:layout>
              <c:spPr>
                <a:noFill/>
                <a:ln w="25386">
                  <a:noFill/>
                </a:ln>
              </c:spPr>
              <c:txPr>
                <a:bodyPr/>
                <a:lstStyle/>
                <a:p>
                  <a:pPr>
                    <a:defRPr/>
                  </a:pPr>
                  <a:endParaRPr lang="lt-LT"/>
                </a:p>
              </c:txPr>
              <c:dLblPos val="outEnd"/>
              <c:showVal val="1"/>
            </c:dLbl>
            <c:spPr>
              <a:noFill/>
              <a:ln w="25386">
                <a:noFill/>
              </a:ln>
            </c:spPr>
            <c:showVal val="1"/>
          </c:dLbls>
          <c:cat>
            <c:numRef>
              <c:f>Lapas1!$A$2:$A$5</c:f>
              <c:numCache>
                <c:formatCode>General</c:formatCode>
                <c:ptCount val="4"/>
                <c:pt idx="0">
                  <c:v>2006</c:v>
                </c:pt>
                <c:pt idx="1">
                  <c:v>2007</c:v>
                </c:pt>
                <c:pt idx="2">
                  <c:v>2008</c:v>
                </c:pt>
                <c:pt idx="3">
                  <c:v>2009</c:v>
                </c:pt>
              </c:numCache>
            </c:numRef>
          </c:cat>
          <c:val>
            <c:numRef>
              <c:f>Lapas1!$C$2:$C$5</c:f>
              <c:numCache>
                <c:formatCode>General</c:formatCode>
                <c:ptCount val="4"/>
                <c:pt idx="0">
                  <c:v>0.28000000000000008</c:v>
                </c:pt>
                <c:pt idx="1">
                  <c:v>0.27</c:v>
                </c:pt>
                <c:pt idx="2">
                  <c:v>0.28000000000000008</c:v>
                </c:pt>
                <c:pt idx="3">
                  <c:v>0.54</c:v>
                </c:pt>
              </c:numCache>
            </c:numRef>
          </c:val>
        </c:ser>
        <c:dLbls>
          <c:showVal val="1"/>
        </c:dLbls>
        <c:overlap val="-24"/>
        <c:axId val="234752256"/>
        <c:axId val="234782720"/>
      </c:barChart>
      <c:catAx>
        <c:axId val="234752256"/>
        <c:scaling>
          <c:orientation val="minMax"/>
        </c:scaling>
        <c:axPos val="b"/>
        <c:majorGridlines/>
        <c:numFmt formatCode="General" sourceLinked="1"/>
        <c:majorTickMark val="none"/>
        <c:tickLblPos val="nextTo"/>
        <c:crossAx val="234782720"/>
        <c:crosses val="autoZero"/>
        <c:auto val="1"/>
        <c:lblAlgn val="ctr"/>
        <c:lblOffset val="100"/>
      </c:catAx>
      <c:valAx>
        <c:axId val="234782720"/>
        <c:scaling>
          <c:orientation val="minMax"/>
        </c:scaling>
        <c:axPos val="l"/>
        <c:numFmt formatCode="General" sourceLinked="1"/>
        <c:tickLblPos val="nextTo"/>
        <c:crossAx val="234752256"/>
        <c:crosses val="autoZero"/>
        <c:crossBetween val="between"/>
      </c:valAx>
      <c:spPr>
        <a:noFill/>
        <a:ln w="25386">
          <a:noFill/>
        </a:ln>
      </c:spPr>
    </c:plotArea>
    <c:legend>
      <c:legendPos val="r"/>
      <c:layout>
        <c:manualLayout>
          <c:xMode val="edge"/>
          <c:yMode val="edge"/>
          <c:x val="0.67195762536261927"/>
          <c:y val="0.31683159975373448"/>
          <c:w val="0.28835975272827741"/>
          <c:h val="0.31683159975373448"/>
        </c:manualLayout>
      </c:layout>
    </c:legend>
    <c:plotVisOnly val="1"/>
    <c:dispBlanksAs val="gap"/>
  </c:chart>
  <c:spPr>
    <a:solidFill>
      <a:sysClr val="window" lastClr="FFFFFF"/>
    </a:solidFill>
    <a:effectLst/>
  </c:spPr>
  <c:txPr>
    <a:bodyPr/>
    <a:lstStyle/>
    <a:p>
      <a:pPr>
        <a:defRPr b="1">
          <a:latin typeface="Times New Roman" pitchFamily="18" charset="0"/>
          <a:cs typeface="Times New Roman" pitchFamily="18" charset="0"/>
        </a:defRPr>
      </a:pPr>
      <a:endParaRPr lang="lt-LT"/>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lt-LT"/>
  <c:style val="26"/>
  <c:chart>
    <c:plotArea>
      <c:layout>
        <c:manualLayout>
          <c:layoutTarget val="inner"/>
          <c:xMode val="edge"/>
          <c:yMode val="edge"/>
          <c:x val="2.4773158813664212E-2"/>
          <c:y val="5.8198646221853854E-2"/>
          <c:w val="0.68241642947665637"/>
          <c:h val="0.60895956553818098"/>
        </c:manualLayout>
      </c:layout>
      <c:barChart>
        <c:barDir val="col"/>
        <c:grouping val="clustered"/>
        <c:ser>
          <c:idx val="0"/>
          <c:order val="0"/>
          <c:tx>
            <c:strRef>
              <c:f>Lapas1!$B$1</c:f>
              <c:strCache>
                <c:ptCount val="1"/>
                <c:pt idx="0">
                  <c:v>Suaugusių sergamumas (18 m. ir vyresni)</c:v>
                </c:pt>
              </c:strCache>
            </c:strRef>
          </c:tx>
          <c:spPr>
            <a:solidFill>
              <a:srgbClr val="00B0F0"/>
            </a:solidFill>
          </c:spPr>
          <c:dLbls>
            <c:spPr>
              <a:noFill/>
              <a:ln w="25267">
                <a:noFill/>
              </a:ln>
            </c:spPr>
            <c:txPr>
              <a:bodyPr/>
              <a:lstStyle/>
              <a:p>
                <a:pPr>
                  <a:defRPr b="1">
                    <a:latin typeface="Times New Roman" pitchFamily="18" charset="0"/>
                    <a:cs typeface="Times New Roman" pitchFamily="18" charset="0"/>
                  </a:defRPr>
                </a:pPr>
                <a:endParaRPr lang="lt-LT"/>
              </a:p>
            </c:txPr>
            <c:showVal val="1"/>
          </c:dLbls>
          <c:cat>
            <c:strRef>
              <c:f>Lapas1!$A$2:$A$4</c:f>
              <c:strCache>
                <c:ptCount val="3"/>
                <c:pt idx="0">
                  <c:v>Lietuvos Respublika</c:v>
                </c:pt>
                <c:pt idx="1">
                  <c:v>Šiaulių miesto savivaldybė</c:v>
                </c:pt>
                <c:pt idx="2">
                  <c:v>Šiaulių apskritis</c:v>
                </c:pt>
              </c:strCache>
            </c:strRef>
          </c:cat>
          <c:val>
            <c:numRef>
              <c:f>Lapas1!$B$2:$B$4</c:f>
              <c:numCache>
                <c:formatCode>General</c:formatCode>
                <c:ptCount val="3"/>
                <c:pt idx="0">
                  <c:v>918.5</c:v>
                </c:pt>
                <c:pt idx="1">
                  <c:v>989.3</c:v>
                </c:pt>
                <c:pt idx="2">
                  <c:v>816.9</c:v>
                </c:pt>
              </c:numCache>
            </c:numRef>
          </c:val>
        </c:ser>
        <c:ser>
          <c:idx val="1"/>
          <c:order val="1"/>
          <c:tx>
            <c:strRef>
              <c:f>Lapas1!$C$1</c:f>
              <c:strCache>
                <c:ptCount val="1"/>
                <c:pt idx="0">
                  <c:v>Vaikų sergamumas (0-17 m.)</c:v>
                </c:pt>
              </c:strCache>
            </c:strRef>
          </c:tx>
          <c:spPr>
            <a:solidFill>
              <a:srgbClr val="FF0000"/>
            </a:solidFill>
          </c:spPr>
          <c:dLbls>
            <c:spPr>
              <a:noFill/>
              <a:ln w="25267">
                <a:noFill/>
              </a:ln>
            </c:spPr>
            <c:txPr>
              <a:bodyPr/>
              <a:lstStyle/>
              <a:p>
                <a:pPr>
                  <a:defRPr b="1">
                    <a:latin typeface="Times New Roman" pitchFamily="18" charset="0"/>
                    <a:cs typeface="Times New Roman" pitchFamily="18" charset="0"/>
                  </a:defRPr>
                </a:pPr>
                <a:endParaRPr lang="lt-LT"/>
              </a:p>
            </c:txPr>
            <c:showVal val="1"/>
          </c:dLbls>
          <c:cat>
            <c:strRef>
              <c:f>Lapas1!$A$2:$A$4</c:f>
              <c:strCache>
                <c:ptCount val="3"/>
                <c:pt idx="0">
                  <c:v>Lietuvos Respublika</c:v>
                </c:pt>
                <c:pt idx="1">
                  <c:v>Šiaulių miesto savivaldybė</c:v>
                </c:pt>
                <c:pt idx="2">
                  <c:v>Šiaulių apskritis</c:v>
                </c:pt>
              </c:strCache>
            </c:strRef>
          </c:cat>
          <c:val>
            <c:numRef>
              <c:f>Lapas1!$C$2:$C$4</c:f>
              <c:numCache>
                <c:formatCode>General</c:formatCode>
                <c:ptCount val="3"/>
                <c:pt idx="0">
                  <c:v>1869.1</c:v>
                </c:pt>
                <c:pt idx="1">
                  <c:v>2307.6</c:v>
                </c:pt>
                <c:pt idx="2">
                  <c:v>1726.3</c:v>
                </c:pt>
              </c:numCache>
            </c:numRef>
          </c:val>
        </c:ser>
        <c:dLbls>
          <c:showVal val="1"/>
        </c:dLbls>
        <c:overlap val="-25"/>
        <c:axId val="213248640"/>
        <c:axId val="213320064"/>
      </c:barChart>
      <c:catAx>
        <c:axId val="213248640"/>
        <c:scaling>
          <c:orientation val="minMax"/>
        </c:scaling>
        <c:axPos val="b"/>
        <c:majorGridlines/>
        <c:numFmt formatCode="General" sourceLinked="1"/>
        <c:majorTickMark val="none"/>
        <c:tickLblPos val="nextTo"/>
        <c:txPr>
          <a:bodyPr/>
          <a:lstStyle/>
          <a:p>
            <a:pPr>
              <a:defRPr b="1">
                <a:latin typeface="Times New Roman" pitchFamily="18" charset="0"/>
                <a:cs typeface="Times New Roman" pitchFamily="18" charset="0"/>
              </a:defRPr>
            </a:pPr>
            <a:endParaRPr lang="lt-LT"/>
          </a:p>
        </c:txPr>
        <c:crossAx val="213320064"/>
        <c:crosses val="autoZero"/>
        <c:auto val="1"/>
        <c:lblAlgn val="ctr"/>
        <c:lblOffset val="100"/>
      </c:catAx>
      <c:valAx>
        <c:axId val="213320064"/>
        <c:scaling>
          <c:orientation val="minMax"/>
        </c:scaling>
        <c:delete val="1"/>
        <c:axPos val="l"/>
        <c:numFmt formatCode="General" sourceLinked="1"/>
        <c:tickLblPos val="none"/>
        <c:crossAx val="213248640"/>
        <c:crosses val="autoZero"/>
        <c:crossBetween val="between"/>
      </c:valAx>
      <c:spPr>
        <a:noFill/>
        <a:ln w="25267">
          <a:noFill/>
        </a:ln>
      </c:spPr>
    </c:plotArea>
    <c:legend>
      <c:legendPos val="r"/>
      <c:layout>
        <c:manualLayout>
          <c:xMode val="edge"/>
          <c:yMode val="edge"/>
          <c:x val="0.75866663190280015"/>
          <c:y val="7.3298450596901182E-2"/>
          <c:w val="0.23733326380560049"/>
          <c:h val="0.61780103293539934"/>
        </c:manualLayout>
      </c:layout>
      <c:txPr>
        <a:bodyPr/>
        <a:lstStyle/>
        <a:p>
          <a:pPr>
            <a:defRPr b="1">
              <a:latin typeface="Times New Roman" pitchFamily="18" charset="0"/>
              <a:cs typeface="Times New Roman" pitchFamily="18" charset="0"/>
            </a:defRPr>
          </a:pPr>
          <a:endParaRPr lang="lt-LT"/>
        </a:p>
      </c:txPr>
    </c:legend>
    <c:plotVisOnly val="1"/>
    <c:dispBlanksAs val="gap"/>
  </c:chart>
  <c:spPr>
    <a:solidFill>
      <a:sysClr val="window" lastClr="FFFFFF"/>
    </a:solidFill>
    <a:ln>
      <a:solidFill>
        <a:sysClr val="windowText" lastClr="000000"/>
      </a:solidFill>
    </a:ln>
    <a:effectLst/>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41060185185185188"/>
          <c:y val="3.5714285714285712E-2"/>
          <c:w val="0.41634842519685838"/>
          <c:h val="0.83146825396825397"/>
        </c:manualLayout>
      </c:layout>
      <c:barChart>
        <c:barDir val="bar"/>
        <c:grouping val="clustered"/>
        <c:ser>
          <c:idx val="0"/>
          <c:order val="0"/>
          <c:tx>
            <c:strRef>
              <c:f>Lapas1!$B$1</c:f>
              <c:strCache>
                <c:ptCount val="1"/>
                <c:pt idx="0">
                  <c:v>Berniukai</c:v>
                </c:pt>
              </c:strCache>
            </c:strRef>
          </c:tx>
          <c:dLbls>
            <c:dLbl>
              <c:idx val="0"/>
              <c:layout>
                <c:manualLayout>
                  <c:x val="-1.3888888888889148E-2"/>
                  <c:y val="-3.9682539682539802E-3"/>
                </c:manualLayout>
              </c:layout>
              <c:dLblPos val="outEnd"/>
              <c:showVal val="1"/>
            </c:dLbl>
            <c:dLbl>
              <c:idx val="1"/>
              <c:layout>
                <c:manualLayout>
                  <c:x val="-9.2592592592595224E-3"/>
                  <c:y val="-1.1904761904761921E-2"/>
                </c:manualLayout>
              </c:layout>
              <c:dLblPos val="outEnd"/>
              <c:showVal val="1"/>
            </c:dLbl>
            <c:dLbl>
              <c:idx val="3"/>
              <c:layout>
                <c:manualLayout>
                  <c:x val="-2.3148148148148147E-3"/>
                  <c:y val="7.9365079365079413E-3"/>
                </c:manualLayout>
              </c:layout>
              <c:dLblPos val="outEnd"/>
              <c:showVal val="1"/>
            </c:dLbl>
            <c:dLbl>
              <c:idx val="7"/>
              <c:layout>
                <c:manualLayout>
                  <c:x val="0"/>
                  <c:y val="1.1904761904761921E-2"/>
                </c:manualLayout>
              </c:layout>
              <c:dLblPos val="outEnd"/>
              <c:showVal val="1"/>
            </c:dLbl>
            <c:dLbl>
              <c:idx val="8"/>
              <c:layout>
                <c:manualLayout>
                  <c:x val="-1.3888888888889148E-2"/>
                  <c:y val="7.9365079365079551E-3"/>
                </c:manualLayout>
              </c:layout>
              <c:dLblPos val="outEnd"/>
              <c:showVal val="1"/>
            </c:dLbl>
            <c:dLbl>
              <c:idx val="9"/>
              <c:layout>
                <c:manualLayout>
                  <c:x val="0"/>
                  <c:y val="1.5873015873015879E-2"/>
                </c:manualLayout>
              </c:layout>
              <c:dLblPos val="outEnd"/>
              <c:showVal val="1"/>
            </c:dLbl>
            <c:spPr>
              <a:noFill/>
              <a:ln w="25399">
                <a:noFill/>
              </a:ln>
            </c:spPr>
            <c:txPr>
              <a:bodyPr/>
              <a:lstStyle/>
              <a:p>
                <a:pPr>
                  <a:defRPr sz="988"/>
                </a:pPr>
                <a:endParaRPr lang="lt-LT"/>
              </a:p>
            </c:txPr>
            <c:showVal val="1"/>
          </c:dLbls>
          <c:cat>
            <c:strRef>
              <c:f>Lapas1!$A$2:$A$11</c:f>
              <c:strCache>
                <c:ptCount val="10"/>
                <c:pt idx="0">
                  <c:v>Širdies ir kraujagyslių s. sutrikimai</c:v>
                </c:pt>
                <c:pt idx="1">
                  <c:v>Kvėpavimo s. sutrikimai</c:v>
                </c:pt>
                <c:pt idx="2">
                  <c:v>Regos sutrikimai</c:v>
                </c:pt>
                <c:pt idx="3">
                  <c:v>Klausos sutrikimai</c:v>
                </c:pt>
                <c:pt idx="4">
                  <c:v>Virškinimo s. sutrikimai</c:v>
                </c:pt>
                <c:pt idx="5">
                  <c:v>Nervų s. sutrikimai</c:v>
                </c:pt>
                <c:pt idx="6">
                  <c:v>Endokrinininės s. sutrikimai</c:v>
                </c:pt>
                <c:pt idx="7">
                  <c:v>Urogenitalinės s. sutrikimai</c:v>
                </c:pt>
                <c:pt idx="8">
                  <c:v>Skeleto - raumenų s. sutrikimai</c:v>
                </c:pt>
                <c:pt idx="9">
                  <c:v> Alerginiai susirgimai</c:v>
                </c:pt>
              </c:strCache>
            </c:strRef>
          </c:cat>
          <c:val>
            <c:numRef>
              <c:f>Lapas1!$B$2:$B$11</c:f>
              <c:numCache>
                <c:formatCode>General</c:formatCode>
                <c:ptCount val="10"/>
                <c:pt idx="0">
                  <c:v>11.2</c:v>
                </c:pt>
                <c:pt idx="1">
                  <c:v>6.5</c:v>
                </c:pt>
                <c:pt idx="2">
                  <c:v>31.9</c:v>
                </c:pt>
                <c:pt idx="3">
                  <c:v>0.30000000000000004</c:v>
                </c:pt>
                <c:pt idx="4">
                  <c:v>1.1000000000000001</c:v>
                </c:pt>
                <c:pt idx="5">
                  <c:v>4.7</c:v>
                </c:pt>
                <c:pt idx="6">
                  <c:v>16.5</c:v>
                </c:pt>
                <c:pt idx="7">
                  <c:v>0.60000000000000009</c:v>
                </c:pt>
                <c:pt idx="8">
                  <c:v>19.399999999999999</c:v>
                </c:pt>
                <c:pt idx="9">
                  <c:v>5.0999999999999996</c:v>
                </c:pt>
              </c:numCache>
            </c:numRef>
          </c:val>
        </c:ser>
        <c:ser>
          <c:idx val="1"/>
          <c:order val="1"/>
          <c:tx>
            <c:strRef>
              <c:f>Lapas1!$C$1</c:f>
              <c:strCache>
                <c:ptCount val="1"/>
                <c:pt idx="0">
                  <c:v>Mergaitės</c:v>
                </c:pt>
              </c:strCache>
            </c:strRef>
          </c:tx>
          <c:dLbls>
            <c:dLbl>
              <c:idx val="0"/>
              <c:layout>
                <c:manualLayout>
                  <c:x val="-4.6296296296297014E-3"/>
                  <c:y val="-1.1904761904761921E-2"/>
                </c:manualLayout>
              </c:layout>
              <c:dLblPos val="outEnd"/>
              <c:showVal val="1"/>
            </c:dLbl>
            <c:dLbl>
              <c:idx val="1"/>
              <c:layout>
                <c:manualLayout>
                  <c:x val="-1.3888888888889169E-2"/>
                  <c:y val="-2.3809523809523812E-2"/>
                </c:manualLayout>
              </c:layout>
              <c:dLblPos val="outEnd"/>
              <c:showVal val="1"/>
            </c:dLbl>
            <c:dLbl>
              <c:idx val="2"/>
              <c:layout>
                <c:manualLayout>
                  <c:x val="-9.2304142148380824E-3"/>
                  <c:y val="7.2548957449742454E-17"/>
                </c:manualLayout>
              </c:layout>
              <c:dLblPos val="outEnd"/>
              <c:showVal val="1"/>
            </c:dLbl>
            <c:dLbl>
              <c:idx val="8"/>
              <c:layout>
                <c:manualLayout>
                  <c:x val="-4.6296296296297014E-3"/>
                  <c:y val="-1.1904761904761921E-2"/>
                </c:manualLayout>
              </c:layout>
              <c:dLblPos val="outEnd"/>
              <c:showVal val="1"/>
            </c:dLbl>
            <c:spPr>
              <a:noFill/>
              <a:ln w="25399">
                <a:noFill/>
              </a:ln>
            </c:spPr>
            <c:txPr>
              <a:bodyPr/>
              <a:lstStyle/>
              <a:p>
                <a:pPr>
                  <a:defRPr sz="988"/>
                </a:pPr>
                <a:endParaRPr lang="lt-LT"/>
              </a:p>
            </c:txPr>
            <c:showVal val="1"/>
          </c:dLbls>
          <c:cat>
            <c:strRef>
              <c:f>Lapas1!$A$2:$A$11</c:f>
              <c:strCache>
                <c:ptCount val="10"/>
                <c:pt idx="0">
                  <c:v>Širdies ir kraujagyslių s. sutrikimai</c:v>
                </c:pt>
                <c:pt idx="1">
                  <c:v>Kvėpavimo s. sutrikimai</c:v>
                </c:pt>
                <c:pt idx="2">
                  <c:v>Regos sutrikimai</c:v>
                </c:pt>
                <c:pt idx="3">
                  <c:v>Klausos sutrikimai</c:v>
                </c:pt>
                <c:pt idx="4">
                  <c:v>Virškinimo s. sutrikimai</c:v>
                </c:pt>
                <c:pt idx="5">
                  <c:v>Nervų s. sutrikimai</c:v>
                </c:pt>
                <c:pt idx="6">
                  <c:v>Endokrinininės s. sutrikimai</c:v>
                </c:pt>
                <c:pt idx="7">
                  <c:v>Urogenitalinės s. sutrikimai</c:v>
                </c:pt>
                <c:pt idx="8">
                  <c:v>Skeleto - raumenų s. sutrikimai</c:v>
                </c:pt>
                <c:pt idx="9">
                  <c:v> Alerginiai susirgimai</c:v>
                </c:pt>
              </c:strCache>
            </c:strRef>
          </c:cat>
          <c:val>
            <c:numRef>
              <c:f>Lapas1!$C$2:$C$11</c:f>
              <c:numCache>
                <c:formatCode>General</c:formatCode>
                <c:ptCount val="10"/>
                <c:pt idx="0">
                  <c:v>10.7</c:v>
                </c:pt>
                <c:pt idx="1">
                  <c:v>4.5</c:v>
                </c:pt>
                <c:pt idx="2">
                  <c:v>37.700000000000003</c:v>
                </c:pt>
                <c:pt idx="3">
                  <c:v>0.2</c:v>
                </c:pt>
                <c:pt idx="4">
                  <c:v>1</c:v>
                </c:pt>
                <c:pt idx="5">
                  <c:v>3.9</c:v>
                </c:pt>
                <c:pt idx="6">
                  <c:v>20.9</c:v>
                </c:pt>
                <c:pt idx="7">
                  <c:v>0.8</c:v>
                </c:pt>
                <c:pt idx="8">
                  <c:v>18.7</c:v>
                </c:pt>
                <c:pt idx="9">
                  <c:v>4.2</c:v>
                </c:pt>
              </c:numCache>
            </c:numRef>
          </c:val>
        </c:ser>
        <c:overlap val="-24"/>
        <c:axId val="213303680"/>
        <c:axId val="213305216"/>
      </c:barChart>
      <c:catAx>
        <c:axId val="213303680"/>
        <c:scaling>
          <c:orientation val="minMax"/>
        </c:scaling>
        <c:axPos val="l"/>
        <c:majorGridlines/>
        <c:numFmt formatCode="General" sourceLinked="1"/>
        <c:tickLblPos val="nextTo"/>
        <c:txPr>
          <a:bodyPr/>
          <a:lstStyle/>
          <a:p>
            <a:pPr>
              <a:defRPr sz="988"/>
            </a:pPr>
            <a:endParaRPr lang="lt-LT"/>
          </a:p>
        </c:txPr>
        <c:crossAx val="213305216"/>
        <c:crosses val="autoZero"/>
        <c:auto val="1"/>
        <c:lblAlgn val="ctr"/>
        <c:lblOffset val="100"/>
      </c:catAx>
      <c:valAx>
        <c:axId val="213305216"/>
        <c:scaling>
          <c:orientation val="minMax"/>
        </c:scaling>
        <c:axPos val="b"/>
        <c:numFmt formatCode="General" sourceLinked="1"/>
        <c:tickLblPos val="nextTo"/>
        <c:crossAx val="213303680"/>
        <c:crosses val="autoZero"/>
        <c:crossBetween val="between"/>
      </c:valAx>
      <c:spPr>
        <a:noFill/>
        <a:ln w="25399">
          <a:noFill/>
        </a:ln>
      </c:spPr>
    </c:plotArea>
    <c:legend>
      <c:legendPos val="r"/>
      <c:layout>
        <c:manualLayout>
          <c:xMode val="edge"/>
          <c:yMode val="edge"/>
          <c:x val="0.84793811831213417"/>
          <c:y val="0.40643265745627949"/>
          <c:w val="0.13273201426744752"/>
          <c:h val="0.14035091767375224"/>
        </c:manualLayout>
      </c:layout>
      <c:txPr>
        <a:bodyPr/>
        <a:lstStyle/>
        <a:p>
          <a:pPr>
            <a:defRPr sz="988"/>
          </a:pPr>
          <a:endParaRPr lang="lt-LT"/>
        </a:p>
      </c:txPr>
    </c:legend>
    <c:plotVisOnly val="1"/>
    <c:dispBlanksAs val="gap"/>
  </c:chart>
  <c:spPr>
    <a:noFill/>
  </c:spPr>
  <c:txPr>
    <a:bodyPr/>
    <a:lstStyle/>
    <a:p>
      <a:pPr>
        <a:defRPr sz="805" b="1" i="0" baseline="0">
          <a:latin typeface="Times New Roman" pitchFamily="18" charset="0"/>
        </a:defRPr>
      </a:pPr>
      <a:endParaRPr lang="lt-LT"/>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lt-LT"/>
  <c:style val="26"/>
  <c:chart>
    <c:plotArea>
      <c:layout>
        <c:manualLayout>
          <c:layoutTarget val="inner"/>
          <c:xMode val="edge"/>
          <c:yMode val="edge"/>
          <c:x val="0.28062946592642551"/>
          <c:y val="8.0409356725146208E-2"/>
          <c:w val="0.47278439637424646"/>
          <c:h val="0.68215741124464702"/>
        </c:manualLayout>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402">
                  <a:noFill/>
                </a:ln>
              </c:spPr>
              <c:txPr>
                <a:bodyPr/>
                <a:lstStyle/>
                <a:p>
                  <a:pPr>
                    <a:defRPr/>
                  </a:pPr>
                  <a:endParaRPr lang="lt-LT"/>
                </a:p>
              </c:txPr>
              <c:dLblPos val="outEnd"/>
              <c:showVal val="1"/>
            </c:dLbl>
            <c:dLbl>
              <c:idx val="2"/>
              <c:layout>
                <c:manualLayout>
                  <c:x val="-6.9156293222684753E-3"/>
                  <c:y val="-5.1915680351277034E-3"/>
                </c:manualLayout>
              </c:layout>
              <c:spPr>
                <a:noFill/>
                <a:ln w="25402">
                  <a:noFill/>
                </a:ln>
              </c:spPr>
              <c:txPr>
                <a:bodyPr/>
                <a:lstStyle/>
                <a:p>
                  <a:pPr>
                    <a:defRPr/>
                  </a:pPr>
                  <a:endParaRPr lang="lt-LT"/>
                </a:p>
              </c:txPr>
              <c:dLblPos val="outEnd"/>
              <c:showVal val="1"/>
            </c:dLbl>
            <c:spPr>
              <a:noFill/>
              <a:ln w="25402">
                <a:noFill/>
              </a:ln>
            </c:spPr>
            <c:showVal val="1"/>
          </c:dLbls>
          <c:cat>
            <c:strRef>
              <c:f>Lapas1!$A$2:$A$5</c:f>
              <c:strCache>
                <c:ptCount val="4"/>
                <c:pt idx="0">
                  <c:v>kiekvieną dieną</c:v>
                </c:pt>
                <c:pt idx="1">
                  <c:v>mažiausiai kartą per savaitę</c:v>
                </c:pt>
                <c:pt idx="2">
                  <c:v>rečiau nei kartą per savaitę</c:v>
                </c:pt>
                <c:pt idx="3">
                  <c:v>visai nerūkau</c:v>
                </c:pt>
              </c:strCache>
            </c:strRef>
          </c:cat>
          <c:val>
            <c:numRef>
              <c:f>Lapas1!$B$2:$B$5</c:f>
              <c:numCache>
                <c:formatCode>General</c:formatCode>
                <c:ptCount val="4"/>
                <c:pt idx="0">
                  <c:v>13.6</c:v>
                </c:pt>
                <c:pt idx="1">
                  <c:v>4.5999999999999996</c:v>
                </c:pt>
                <c:pt idx="2">
                  <c:v>5</c:v>
                </c:pt>
                <c:pt idx="3">
                  <c:v>76.8</c:v>
                </c:pt>
              </c:numCache>
            </c:numRef>
          </c:val>
        </c:ser>
        <c:ser>
          <c:idx val="1"/>
          <c:order val="1"/>
          <c:tx>
            <c:strRef>
              <c:f>Lapas1!$C$1</c:f>
              <c:strCache>
                <c:ptCount val="1"/>
                <c:pt idx="0">
                  <c:v>mergaitės</c:v>
                </c:pt>
              </c:strCache>
            </c:strRef>
          </c:tx>
          <c:spPr>
            <a:solidFill>
              <a:srgbClr val="FF0000"/>
            </a:solidFill>
          </c:spPr>
          <c:dLbls>
            <c:dLbl>
              <c:idx val="1"/>
              <c:layout>
                <c:manualLayout>
                  <c:x val="-6.9156293222684753E-3"/>
                  <c:y val="0"/>
                </c:manualLayout>
              </c:layout>
              <c:spPr>
                <a:noFill/>
                <a:ln w="25402">
                  <a:noFill/>
                </a:ln>
              </c:spPr>
              <c:txPr>
                <a:bodyPr/>
                <a:lstStyle/>
                <a:p>
                  <a:pPr>
                    <a:defRPr/>
                  </a:pPr>
                  <a:endParaRPr lang="lt-LT"/>
                </a:p>
              </c:txPr>
              <c:dLblPos val="outEnd"/>
              <c:showVal val="1"/>
            </c:dLbl>
            <c:dLbl>
              <c:idx val="2"/>
              <c:layout>
                <c:manualLayout>
                  <c:x val="-6.9156293222684753E-3"/>
                  <c:y val="0"/>
                </c:manualLayout>
              </c:layout>
              <c:spPr>
                <a:noFill/>
                <a:ln w="25402">
                  <a:noFill/>
                </a:ln>
              </c:spPr>
              <c:txPr>
                <a:bodyPr/>
                <a:lstStyle/>
                <a:p>
                  <a:pPr>
                    <a:defRPr/>
                  </a:pPr>
                  <a:endParaRPr lang="lt-LT"/>
                </a:p>
              </c:txPr>
              <c:dLblPos val="outEnd"/>
              <c:showVal val="1"/>
            </c:dLbl>
            <c:spPr>
              <a:noFill/>
              <a:ln w="25402">
                <a:noFill/>
              </a:ln>
            </c:spPr>
            <c:showVal val="1"/>
          </c:dLbls>
          <c:cat>
            <c:strRef>
              <c:f>Lapas1!$A$2:$A$5</c:f>
              <c:strCache>
                <c:ptCount val="4"/>
                <c:pt idx="0">
                  <c:v>kiekvieną dieną</c:v>
                </c:pt>
                <c:pt idx="1">
                  <c:v>mažiausiai kartą per savaitę</c:v>
                </c:pt>
                <c:pt idx="2">
                  <c:v>rečiau nei kartą per savaitę</c:v>
                </c:pt>
                <c:pt idx="3">
                  <c:v>visai nerūkau</c:v>
                </c:pt>
              </c:strCache>
            </c:strRef>
          </c:cat>
          <c:val>
            <c:numRef>
              <c:f>Lapas1!$C$2:$C$5</c:f>
              <c:numCache>
                <c:formatCode>General</c:formatCode>
                <c:ptCount val="4"/>
                <c:pt idx="0">
                  <c:v>6.9</c:v>
                </c:pt>
                <c:pt idx="1">
                  <c:v>3.8</c:v>
                </c:pt>
                <c:pt idx="2">
                  <c:v>6.7</c:v>
                </c:pt>
                <c:pt idx="3">
                  <c:v>82.6</c:v>
                </c:pt>
              </c:numCache>
            </c:numRef>
          </c:val>
        </c:ser>
        <c:overlap val="-25"/>
        <c:axId val="213276544"/>
        <c:axId val="213278080"/>
      </c:barChart>
      <c:catAx>
        <c:axId val="213276544"/>
        <c:scaling>
          <c:orientation val="minMax"/>
        </c:scaling>
        <c:axPos val="l"/>
        <c:majorGridlines/>
        <c:numFmt formatCode="General" sourceLinked="1"/>
        <c:tickLblPos val="nextTo"/>
        <c:crossAx val="213278080"/>
        <c:crosses val="autoZero"/>
        <c:auto val="1"/>
        <c:lblAlgn val="ctr"/>
        <c:lblOffset val="100"/>
      </c:catAx>
      <c:valAx>
        <c:axId val="213278080"/>
        <c:scaling>
          <c:orientation val="minMax"/>
        </c:scaling>
        <c:axPos val="b"/>
        <c:numFmt formatCode="General" sourceLinked="1"/>
        <c:tickLblPos val="nextTo"/>
        <c:crossAx val="213276544"/>
        <c:crosses val="autoZero"/>
        <c:crossBetween val="between"/>
      </c:valAx>
      <c:spPr>
        <a:noFill/>
        <a:ln w="25402">
          <a:noFill/>
        </a:ln>
      </c:spPr>
    </c:plotArea>
    <c:legend>
      <c:legendPos val="r"/>
      <c:layout>
        <c:manualLayout>
          <c:xMode val="edge"/>
          <c:yMode val="edge"/>
          <c:x val="0.84711784858668371"/>
          <c:y val="0.20833355830521183"/>
          <c:w val="0.13533838644001261"/>
          <c:h val="0.31944446944131988"/>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lt-LT"/>
  <c:style val="26"/>
  <c:chart>
    <c:plotArea>
      <c:layout>
        <c:manualLayout>
          <c:layoutTarget val="inner"/>
          <c:xMode val="edge"/>
          <c:yMode val="edge"/>
          <c:x val="0.17784270178897321"/>
          <c:y val="7.1895424836601579E-2"/>
          <c:w val="0.63278583389746113"/>
          <c:h val="0.71581133240698025"/>
        </c:manualLayout>
      </c:layout>
      <c:barChart>
        <c:barDir val="bar"/>
        <c:grouping val="clustered"/>
        <c:ser>
          <c:idx val="0"/>
          <c:order val="0"/>
          <c:tx>
            <c:strRef>
              <c:f>Lapas1!$B$1</c:f>
              <c:strCache>
                <c:ptCount val="1"/>
                <c:pt idx="0">
                  <c:v>2003</c:v>
                </c:pt>
              </c:strCache>
            </c:strRef>
          </c:tx>
          <c:spPr>
            <a:solidFill>
              <a:srgbClr val="00B0F0"/>
            </a:solidFill>
            <a:ln w="6993">
              <a:solidFill>
                <a:srgbClr val="00B0F0"/>
              </a:solidFill>
              <a:prstDash val="solid"/>
            </a:ln>
          </c:spPr>
          <c:dLbls>
            <c:spPr>
              <a:noFill/>
              <a:ln w="25398">
                <a:noFill/>
              </a:ln>
            </c:spPr>
            <c:showVal val="1"/>
          </c:dLbls>
          <c:cat>
            <c:strRef>
              <c:f>Lapas1!$A$2:$A$4</c:f>
              <c:strCache>
                <c:ptCount val="3"/>
                <c:pt idx="0">
                  <c:v>11 ir mažiau</c:v>
                </c:pt>
                <c:pt idx="1">
                  <c:v>12-13 m.</c:v>
                </c:pt>
                <c:pt idx="2">
                  <c:v>14-15 m.</c:v>
                </c:pt>
              </c:strCache>
            </c:strRef>
          </c:cat>
          <c:val>
            <c:numRef>
              <c:f>Lapas1!$B$2:$B$4</c:f>
              <c:numCache>
                <c:formatCode>General</c:formatCode>
                <c:ptCount val="3"/>
                <c:pt idx="0">
                  <c:v>26</c:v>
                </c:pt>
                <c:pt idx="1">
                  <c:v>29</c:v>
                </c:pt>
                <c:pt idx="2">
                  <c:v>24</c:v>
                </c:pt>
              </c:numCache>
            </c:numRef>
          </c:val>
        </c:ser>
        <c:ser>
          <c:idx val="1"/>
          <c:order val="1"/>
          <c:tx>
            <c:strRef>
              <c:f>Lapas1!$C$1</c:f>
              <c:strCache>
                <c:ptCount val="1"/>
                <c:pt idx="0">
                  <c:v>2007</c:v>
                </c:pt>
              </c:strCache>
            </c:strRef>
          </c:tx>
          <c:spPr>
            <a:solidFill>
              <a:srgbClr val="FF0000"/>
            </a:solidFill>
            <a:ln w="6993">
              <a:solidFill>
                <a:srgbClr val="FF0000"/>
              </a:solidFill>
              <a:prstDash val="solid"/>
            </a:ln>
          </c:spPr>
          <c:dLbls>
            <c:spPr>
              <a:noFill/>
              <a:ln w="25398">
                <a:noFill/>
              </a:ln>
            </c:spPr>
            <c:showVal val="1"/>
          </c:dLbls>
          <c:cat>
            <c:strRef>
              <c:f>Lapas1!$A$2:$A$4</c:f>
              <c:strCache>
                <c:ptCount val="3"/>
                <c:pt idx="0">
                  <c:v>11 ir mažiau</c:v>
                </c:pt>
                <c:pt idx="1">
                  <c:v>12-13 m.</c:v>
                </c:pt>
                <c:pt idx="2">
                  <c:v>14-15 m.</c:v>
                </c:pt>
              </c:strCache>
            </c:strRef>
          </c:cat>
          <c:val>
            <c:numRef>
              <c:f>Lapas1!$C$2:$C$4</c:f>
              <c:numCache>
                <c:formatCode>General</c:formatCode>
                <c:ptCount val="3"/>
                <c:pt idx="0">
                  <c:v>28</c:v>
                </c:pt>
                <c:pt idx="1">
                  <c:v>23</c:v>
                </c:pt>
                <c:pt idx="2">
                  <c:v>22</c:v>
                </c:pt>
              </c:numCache>
            </c:numRef>
          </c:val>
        </c:ser>
        <c:overlap val="-25"/>
        <c:axId val="213154048"/>
        <c:axId val="213164032"/>
      </c:barChart>
      <c:catAx>
        <c:axId val="213154048"/>
        <c:scaling>
          <c:orientation val="minMax"/>
        </c:scaling>
        <c:axPos val="l"/>
        <c:majorGridlines/>
        <c:numFmt formatCode="General" sourceLinked="1"/>
        <c:tickLblPos val="nextTo"/>
        <c:crossAx val="213164032"/>
        <c:crosses val="autoZero"/>
        <c:auto val="1"/>
        <c:lblAlgn val="ctr"/>
        <c:lblOffset val="100"/>
      </c:catAx>
      <c:valAx>
        <c:axId val="213164032"/>
        <c:scaling>
          <c:orientation val="minMax"/>
        </c:scaling>
        <c:axPos val="b"/>
        <c:numFmt formatCode="General" sourceLinked="1"/>
        <c:tickLblPos val="nextTo"/>
        <c:crossAx val="213154048"/>
        <c:crosses val="autoZero"/>
        <c:crossBetween val="between"/>
      </c:valAx>
      <c:spPr>
        <a:noFill/>
        <a:ln w="25398">
          <a:noFill/>
        </a:ln>
      </c:spPr>
    </c:plotArea>
    <c:legend>
      <c:legendPos val="r"/>
      <c:layout>
        <c:manualLayout>
          <c:xMode val="edge"/>
          <c:yMode val="edge"/>
          <c:x val="0.83333333333333348"/>
          <c:y val="0.31818189392992557"/>
          <c:w val="0.1422019300819336"/>
          <c:h val="0.21074365704286957"/>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26079108230737214"/>
          <c:y val="5.0335570469798703E-2"/>
          <c:w val="0.54010037736108685"/>
          <c:h val="0.74161073825503365"/>
        </c:manualLayout>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405">
                  <a:noFill/>
                </a:ln>
              </c:spPr>
              <c:txPr>
                <a:bodyPr/>
                <a:lstStyle/>
                <a:p>
                  <a:pPr>
                    <a:defRPr/>
                  </a:pPr>
                  <a:endParaRPr lang="lt-LT"/>
                </a:p>
              </c:txPr>
              <c:dLblPos val="outEnd"/>
              <c:showVal val="1"/>
            </c:dLbl>
            <c:dLbl>
              <c:idx val="2"/>
              <c:layout>
                <c:manualLayout>
                  <c:x val="-4.466570627973487E-3"/>
                  <c:y val="1.0288226355606479E-2"/>
                </c:manualLayout>
              </c:layout>
              <c:spPr>
                <a:noFill/>
                <a:ln w="25405">
                  <a:noFill/>
                </a:ln>
              </c:spPr>
              <c:txPr>
                <a:bodyPr/>
                <a:lstStyle/>
                <a:p>
                  <a:pPr>
                    <a:defRPr/>
                  </a:pPr>
                  <a:endParaRPr lang="lt-LT"/>
                </a:p>
              </c:txPr>
              <c:dLblPos val="outEnd"/>
              <c:showVal val="1"/>
            </c:dLbl>
            <c:dLbl>
              <c:idx val="3"/>
              <c:layout>
                <c:manualLayout>
                  <c:x val="-2.4491795248591792E-3"/>
                  <c:y val="1.0319917440660475E-2"/>
                </c:manualLayout>
              </c:layout>
              <c:spPr>
                <a:noFill/>
                <a:ln w="25405">
                  <a:noFill/>
                </a:ln>
              </c:spPr>
              <c:txPr>
                <a:bodyPr/>
                <a:lstStyle/>
                <a:p>
                  <a:pPr>
                    <a:defRPr/>
                  </a:pPr>
                  <a:endParaRPr lang="lt-LT"/>
                </a:p>
              </c:txPr>
              <c:dLblPos val="outEnd"/>
              <c:showVal val="1"/>
            </c:dLbl>
            <c:dLbl>
              <c:idx val="4"/>
              <c:layout>
                <c:manualLayout>
                  <c:x val="-2.4491795248591792E-3"/>
                  <c:y val="1.5479876160990712E-2"/>
                </c:manualLayout>
              </c:layout>
              <c:spPr>
                <a:noFill/>
                <a:ln w="25405">
                  <a:noFill/>
                </a:ln>
              </c:spPr>
              <c:txPr>
                <a:bodyPr/>
                <a:lstStyle/>
                <a:p>
                  <a:pPr>
                    <a:defRPr/>
                  </a:pPr>
                  <a:endParaRPr lang="lt-LT"/>
                </a:p>
              </c:txPr>
              <c:dLblPos val="outEnd"/>
              <c:showVal val="1"/>
            </c:dLbl>
            <c:spPr>
              <a:noFill/>
              <a:ln w="25405">
                <a:noFill/>
              </a:ln>
            </c:spPr>
            <c:showVal val="1"/>
          </c:dLbls>
          <c:cat>
            <c:strRef>
              <c:f>Lapas1!$A$2:$A$6</c:f>
              <c:strCache>
                <c:ptCount val="5"/>
                <c:pt idx="0">
                  <c:v>Nė karto</c:v>
                </c:pt>
                <c:pt idx="1">
                  <c:v>1 kartą</c:v>
                </c:pt>
                <c:pt idx="2">
                  <c:v>2 kartus</c:v>
                </c:pt>
                <c:pt idx="3">
                  <c:v>3 kartus</c:v>
                </c:pt>
                <c:pt idx="4">
                  <c:v>4 ir daugiau kartų</c:v>
                </c:pt>
              </c:strCache>
            </c:strRef>
          </c:cat>
          <c:val>
            <c:numRef>
              <c:f>Lapas1!$B$2:$B$6</c:f>
              <c:numCache>
                <c:formatCode>General</c:formatCode>
                <c:ptCount val="5"/>
                <c:pt idx="0">
                  <c:v>36.9</c:v>
                </c:pt>
                <c:pt idx="1">
                  <c:v>32</c:v>
                </c:pt>
                <c:pt idx="2">
                  <c:v>16.5</c:v>
                </c:pt>
                <c:pt idx="3">
                  <c:v>7.3</c:v>
                </c:pt>
                <c:pt idx="4">
                  <c:v>7.3</c:v>
                </c:pt>
              </c:numCache>
            </c:numRef>
          </c:val>
        </c:ser>
        <c:ser>
          <c:idx val="1"/>
          <c:order val="1"/>
          <c:tx>
            <c:strRef>
              <c:f>Lapas1!$C$1</c:f>
              <c:strCache>
                <c:ptCount val="1"/>
                <c:pt idx="0">
                  <c:v>mergaitės</c:v>
                </c:pt>
              </c:strCache>
            </c:strRef>
          </c:tx>
          <c:spPr>
            <a:solidFill>
              <a:srgbClr val="FF0000"/>
            </a:solidFill>
          </c:spPr>
          <c:dLbls>
            <c:dLbl>
              <c:idx val="0"/>
              <c:layout>
                <c:manualLayout>
                  <c:x val="0"/>
                  <c:y val="1.0319917440660475E-2"/>
                </c:manualLayout>
              </c:layout>
              <c:spPr>
                <a:noFill/>
                <a:ln w="25405">
                  <a:noFill/>
                </a:ln>
              </c:spPr>
              <c:txPr>
                <a:bodyPr/>
                <a:lstStyle/>
                <a:p>
                  <a:pPr>
                    <a:defRPr/>
                  </a:pPr>
                  <a:endParaRPr lang="lt-LT"/>
                </a:p>
              </c:txPr>
              <c:dLblPos val="outEnd"/>
              <c:showVal val="1"/>
            </c:dLbl>
            <c:dLbl>
              <c:idx val="1"/>
              <c:layout>
                <c:manualLayout>
                  <c:x val="4.3198127052635453E-4"/>
                  <c:y val="5.1599587203302374E-3"/>
                </c:manualLayout>
              </c:layout>
              <c:spPr>
                <a:noFill/>
                <a:ln w="25405">
                  <a:noFill/>
                </a:ln>
              </c:spPr>
              <c:txPr>
                <a:bodyPr/>
                <a:lstStyle/>
                <a:p>
                  <a:pPr>
                    <a:defRPr/>
                  </a:pPr>
                  <a:endParaRPr lang="lt-LT"/>
                </a:p>
              </c:txPr>
              <c:dLblPos val="outEnd"/>
              <c:showVal val="1"/>
            </c:dLbl>
            <c:dLbl>
              <c:idx val="2"/>
              <c:layout>
                <c:manualLayout>
                  <c:x val="2.8811607953855654E-3"/>
                  <c:y val="1.5479876160990712E-2"/>
                </c:manualLayout>
              </c:layout>
              <c:spPr>
                <a:noFill/>
                <a:ln w="25405">
                  <a:noFill/>
                </a:ln>
              </c:spPr>
              <c:txPr>
                <a:bodyPr/>
                <a:lstStyle/>
                <a:p>
                  <a:pPr>
                    <a:defRPr/>
                  </a:pPr>
                  <a:endParaRPr lang="lt-LT"/>
                </a:p>
              </c:txPr>
              <c:dLblPos val="outEnd"/>
              <c:showVal val="1"/>
            </c:dLbl>
            <c:spPr>
              <a:noFill/>
              <a:ln w="25405">
                <a:noFill/>
              </a:ln>
            </c:spPr>
            <c:showVal val="1"/>
          </c:dLbls>
          <c:cat>
            <c:strRef>
              <c:f>Lapas1!$A$2:$A$6</c:f>
              <c:strCache>
                <c:ptCount val="5"/>
                <c:pt idx="0">
                  <c:v>Nė karto</c:v>
                </c:pt>
                <c:pt idx="1">
                  <c:v>1 kartą</c:v>
                </c:pt>
                <c:pt idx="2">
                  <c:v>2 kartus</c:v>
                </c:pt>
                <c:pt idx="3">
                  <c:v>3 kartus</c:v>
                </c:pt>
                <c:pt idx="4">
                  <c:v>4 ir daugiau kartų</c:v>
                </c:pt>
              </c:strCache>
            </c:strRef>
          </c:cat>
          <c:val>
            <c:numRef>
              <c:f>Lapas1!$C$2:$C$6</c:f>
              <c:numCache>
                <c:formatCode>General</c:formatCode>
                <c:ptCount val="5"/>
                <c:pt idx="0">
                  <c:v>55.7</c:v>
                </c:pt>
                <c:pt idx="1">
                  <c:v>27</c:v>
                </c:pt>
                <c:pt idx="2">
                  <c:v>8.9</c:v>
                </c:pt>
                <c:pt idx="3">
                  <c:v>4.5</c:v>
                </c:pt>
                <c:pt idx="4">
                  <c:v>3.9</c:v>
                </c:pt>
              </c:numCache>
            </c:numRef>
          </c:val>
        </c:ser>
        <c:overlap val="-24"/>
        <c:axId val="213037440"/>
        <c:axId val="213038976"/>
      </c:barChart>
      <c:catAx>
        <c:axId val="213037440"/>
        <c:scaling>
          <c:orientation val="minMax"/>
        </c:scaling>
        <c:axPos val="l"/>
        <c:majorGridlines/>
        <c:numFmt formatCode="General" sourceLinked="1"/>
        <c:tickLblPos val="nextTo"/>
        <c:crossAx val="213038976"/>
        <c:crosses val="autoZero"/>
        <c:auto val="1"/>
        <c:lblAlgn val="ctr"/>
        <c:lblOffset val="100"/>
      </c:catAx>
      <c:valAx>
        <c:axId val="213038976"/>
        <c:scaling>
          <c:orientation val="minMax"/>
        </c:scaling>
        <c:axPos val="b"/>
        <c:numFmt formatCode="General" sourceLinked="1"/>
        <c:tickLblPos val="nextTo"/>
        <c:crossAx val="213037440"/>
        <c:crosses val="autoZero"/>
        <c:crossBetween val="between"/>
      </c:valAx>
      <c:spPr>
        <a:noFill/>
        <a:ln w="25405">
          <a:noFill/>
        </a:ln>
      </c:spPr>
    </c:plotArea>
    <c:legend>
      <c:legendPos val="r"/>
      <c:layout>
        <c:manualLayout>
          <c:xMode val="edge"/>
          <c:yMode val="edge"/>
          <c:x val="0.84020610404468654"/>
          <c:y val="0.215858786882409"/>
          <c:w val="0.13273201426744741"/>
          <c:h val="0.21145395287127577"/>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lt-LT"/>
  <c:style val="26"/>
  <c:chart>
    <c:plotArea>
      <c:layout>
        <c:manualLayout>
          <c:layoutTarget val="inner"/>
          <c:xMode val="edge"/>
          <c:yMode val="edge"/>
          <c:x val="8.913649025069656E-2"/>
          <c:y val="6.6326530612244902E-2"/>
          <c:w val="0.74930362116991645"/>
          <c:h val="0.48979591836734698"/>
        </c:manualLayout>
      </c:layout>
      <c:barChart>
        <c:barDir val="col"/>
        <c:grouping val="clustered"/>
        <c:ser>
          <c:idx val="0"/>
          <c:order val="0"/>
          <c:tx>
            <c:strRef>
              <c:f>Lapas1!$B$1</c:f>
              <c:strCache>
                <c:ptCount val="1"/>
                <c:pt idx="0">
                  <c:v>Vyrai</c:v>
                </c:pt>
              </c:strCache>
            </c:strRef>
          </c:tx>
          <c:spPr>
            <a:solidFill>
              <a:srgbClr val="00B0F0"/>
            </a:solidFill>
          </c:spPr>
          <c:dLbls>
            <c:spPr>
              <a:noFill/>
              <a:ln w="19308">
                <a:noFill/>
              </a:ln>
            </c:spPr>
            <c:showVal val="1"/>
          </c:dLbls>
          <c:cat>
            <c:strRef>
              <c:f>Lapas1!$A$2:$A$4</c:f>
              <c:strCache>
                <c:ptCount val="3"/>
                <c:pt idx="0">
                  <c:v>Šiaulių miesto savivaldybė</c:v>
                </c:pt>
                <c:pt idx="1">
                  <c:v>Lietuvos Respublika</c:v>
                </c:pt>
                <c:pt idx="2">
                  <c:v>ES</c:v>
                </c:pt>
              </c:strCache>
            </c:strRef>
          </c:cat>
          <c:val>
            <c:numRef>
              <c:f>Lapas1!$B$2:$B$4</c:f>
              <c:numCache>
                <c:formatCode>General</c:formatCode>
                <c:ptCount val="3"/>
                <c:pt idx="0">
                  <c:v>67.679999999999993</c:v>
                </c:pt>
                <c:pt idx="1">
                  <c:v>65.489999999999995</c:v>
                </c:pt>
                <c:pt idx="2">
                  <c:v>76.010000000000005</c:v>
                </c:pt>
              </c:numCache>
            </c:numRef>
          </c:val>
        </c:ser>
        <c:ser>
          <c:idx val="1"/>
          <c:order val="1"/>
          <c:tx>
            <c:strRef>
              <c:f>Lapas1!$C$1</c:f>
              <c:strCache>
                <c:ptCount val="1"/>
                <c:pt idx="0">
                  <c:v>Moterys</c:v>
                </c:pt>
              </c:strCache>
            </c:strRef>
          </c:tx>
          <c:spPr>
            <a:solidFill>
              <a:srgbClr val="FF0000"/>
            </a:solidFill>
          </c:spPr>
          <c:dLbls>
            <c:spPr>
              <a:noFill/>
              <a:ln w="19308">
                <a:noFill/>
              </a:ln>
            </c:spPr>
            <c:showVal val="1"/>
          </c:dLbls>
          <c:cat>
            <c:strRef>
              <c:f>Lapas1!$A$2:$A$4</c:f>
              <c:strCache>
                <c:ptCount val="3"/>
                <c:pt idx="0">
                  <c:v>Šiaulių miesto savivaldybė</c:v>
                </c:pt>
                <c:pt idx="1">
                  <c:v>Lietuvos Respublika</c:v>
                </c:pt>
                <c:pt idx="2">
                  <c:v>ES</c:v>
                </c:pt>
              </c:strCache>
            </c:strRef>
          </c:cat>
          <c:val>
            <c:numRef>
              <c:f>Lapas1!$C$2:$C$4</c:f>
              <c:numCache>
                <c:formatCode>General</c:formatCode>
                <c:ptCount val="3"/>
                <c:pt idx="0">
                  <c:v>77.95</c:v>
                </c:pt>
                <c:pt idx="1">
                  <c:v>77.3</c:v>
                </c:pt>
                <c:pt idx="2">
                  <c:v>82.16</c:v>
                </c:pt>
              </c:numCache>
            </c:numRef>
          </c:val>
        </c:ser>
        <c:overlap val="-25"/>
        <c:axId val="207256576"/>
        <c:axId val="207287040"/>
      </c:barChart>
      <c:catAx>
        <c:axId val="207256576"/>
        <c:scaling>
          <c:orientation val="minMax"/>
        </c:scaling>
        <c:axPos val="b"/>
        <c:majorGridlines/>
        <c:numFmt formatCode="General" sourceLinked="1"/>
        <c:tickLblPos val="nextTo"/>
        <c:crossAx val="207287040"/>
        <c:crosses val="autoZero"/>
        <c:auto val="1"/>
        <c:lblAlgn val="ctr"/>
        <c:lblOffset val="100"/>
      </c:catAx>
      <c:valAx>
        <c:axId val="207287040"/>
        <c:scaling>
          <c:orientation val="minMax"/>
        </c:scaling>
        <c:axPos val="l"/>
        <c:numFmt formatCode="General" sourceLinked="1"/>
        <c:tickLblPos val="nextTo"/>
        <c:crossAx val="207256576"/>
        <c:crosses val="autoZero"/>
        <c:crossBetween val="between"/>
      </c:valAx>
      <c:spPr>
        <a:noFill/>
        <a:ln w="19308">
          <a:noFill/>
        </a:ln>
      </c:spPr>
    </c:plotArea>
    <c:legend>
      <c:legendPos val="r"/>
      <c:layout>
        <c:manualLayout>
          <c:xMode val="edge"/>
          <c:yMode val="edge"/>
          <c:x val="0.86908081991481179"/>
          <c:y val="0.21938757655293092"/>
          <c:w val="0.11559890653806693"/>
          <c:h val="0.32653031578599845"/>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t-LT"/>
  <c:style val="26"/>
  <c:chart>
    <c:autoTitleDeleted val="1"/>
    <c:plotArea>
      <c:layout>
        <c:manualLayout>
          <c:layoutTarget val="inner"/>
          <c:xMode val="edge"/>
          <c:yMode val="edge"/>
          <c:x val="7.0312500000000777E-2"/>
          <c:y val="0.12027491408934708"/>
          <c:w val="0.89792942548848931"/>
          <c:h val="0.63573883161513156"/>
        </c:manualLayout>
      </c:layout>
      <c:barChart>
        <c:barDir val="col"/>
        <c:grouping val="clustered"/>
        <c:ser>
          <c:idx val="0"/>
          <c:order val="0"/>
          <c:tx>
            <c:strRef>
              <c:f>Lapas1!$B$1</c:f>
              <c:strCache>
                <c:ptCount val="1"/>
                <c:pt idx="0">
                  <c:v>1 seka</c:v>
                </c:pt>
              </c:strCache>
            </c:strRef>
          </c:tx>
          <c:spPr>
            <a:solidFill>
              <a:srgbClr val="FF0000"/>
            </a:solidFill>
            <a:ln w="7000">
              <a:solidFill>
                <a:srgbClr val="FF0000"/>
              </a:solidFill>
              <a:prstDash val="solid"/>
            </a:ln>
          </c:spPr>
          <c:dLbls>
            <c:spPr>
              <a:noFill/>
              <a:ln w="23098">
                <a:noFill/>
              </a:ln>
            </c:spPr>
            <c:showVal val="1"/>
          </c:dLbls>
          <c:cat>
            <c:strRef>
              <c:f>Lapas1!$A$2:$A$5</c:f>
              <c:strCache>
                <c:ptCount val="4"/>
                <c:pt idx="0">
                  <c:v>Europos sąjunga</c:v>
                </c:pt>
                <c:pt idx="1">
                  <c:v>Lietuva</c:v>
                </c:pt>
                <c:pt idx="2">
                  <c:v>Šiaulių apskritis</c:v>
                </c:pt>
                <c:pt idx="3">
                  <c:v>Šiaulių miesto savivaldybė</c:v>
                </c:pt>
              </c:strCache>
            </c:strRef>
          </c:cat>
          <c:val>
            <c:numRef>
              <c:f>Lapas1!$B$2:$B$5</c:f>
              <c:numCache>
                <c:formatCode>General</c:formatCode>
                <c:ptCount val="4"/>
                <c:pt idx="0">
                  <c:v>9.82</c:v>
                </c:pt>
                <c:pt idx="1">
                  <c:v>13.1</c:v>
                </c:pt>
                <c:pt idx="2">
                  <c:v>13</c:v>
                </c:pt>
                <c:pt idx="3">
                  <c:v>10.6</c:v>
                </c:pt>
              </c:numCache>
            </c:numRef>
          </c:val>
        </c:ser>
        <c:axId val="207238272"/>
        <c:axId val="207239808"/>
      </c:barChart>
      <c:catAx>
        <c:axId val="207238272"/>
        <c:scaling>
          <c:orientation val="minMax"/>
        </c:scaling>
        <c:axPos val="b"/>
        <c:majorGridlines/>
        <c:numFmt formatCode="General" sourceLinked="1"/>
        <c:tickLblPos val="nextTo"/>
        <c:crossAx val="207239808"/>
        <c:crosses val="autoZero"/>
        <c:auto val="1"/>
        <c:lblAlgn val="ctr"/>
        <c:lblOffset val="100"/>
      </c:catAx>
      <c:valAx>
        <c:axId val="207239808"/>
        <c:scaling>
          <c:orientation val="minMax"/>
        </c:scaling>
        <c:axPos val="l"/>
        <c:numFmt formatCode="General" sourceLinked="1"/>
        <c:tickLblPos val="nextTo"/>
        <c:crossAx val="207238272"/>
        <c:crosses val="autoZero"/>
        <c:crossBetween val="between"/>
      </c:valAx>
      <c:spPr>
        <a:noFill/>
        <a:ln w="23098">
          <a:noFill/>
        </a:ln>
      </c:spPr>
    </c:plotArea>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style val="10"/>
  <c:chart>
    <c:plotArea>
      <c:layout>
        <c:manualLayout>
          <c:layoutTarget val="inner"/>
          <c:xMode val="edge"/>
          <c:yMode val="edge"/>
          <c:x val="6.9495652173913111E-2"/>
          <c:y val="7.599309153713342E-2"/>
          <c:w val="0.70854492753623188"/>
          <c:h val="0.7065975820379965"/>
        </c:manualLayout>
      </c:layout>
      <c:lineChart>
        <c:grouping val="standard"/>
        <c:ser>
          <c:idx val="0"/>
          <c:order val="0"/>
          <c:tx>
            <c:strRef>
              <c:f>Lapas1!$B$1</c:f>
              <c:strCache>
                <c:ptCount val="1"/>
                <c:pt idx="0">
                  <c:v>Gimstamumas </c:v>
                </c:pt>
              </c:strCache>
            </c:strRef>
          </c:tx>
          <c:spPr>
            <a:ln>
              <a:solidFill>
                <a:srgbClr val="00B0F0"/>
              </a:solidFill>
            </a:ln>
          </c:spPr>
          <c:marker>
            <c:symbol val="none"/>
          </c:marker>
          <c:dLbls>
            <c:dLbl>
              <c:idx val="0"/>
              <c:layout>
                <c:manualLayout>
                  <c:x val="-2.6531596719730006E-2"/>
                  <c:y val="-4.1666666666666664E-2"/>
                </c:manualLayout>
              </c:layout>
              <c:spPr>
                <a:noFill/>
                <a:ln w="25286">
                  <a:noFill/>
                </a:ln>
              </c:spPr>
              <c:txPr>
                <a:bodyPr/>
                <a:lstStyle/>
                <a:p>
                  <a:pPr>
                    <a:defRPr/>
                  </a:pPr>
                  <a:endParaRPr lang="lt-LT"/>
                </a:p>
              </c:txPr>
              <c:dLblPos val="r"/>
              <c:showVal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3.6179450072358899E-2"/>
                  <c:y val="-4.1666666666666664E-2"/>
                </c:manualLayout>
              </c:layout>
              <c:spPr>
                <a:noFill/>
                <a:ln w="25286">
                  <a:noFill/>
                </a:ln>
              </c:spPr>
              <c:txPr>
                <a:bodyPr/>
                <a:lstStyle/>
                <a:p>
                  <a:pPr>
                    <a:defRPr/>
                  </a:pPr>
                  <a:endParaRPr lang="lt-LT"/>
                </a:p>
              </c:txPr>
              <c:dLblPos val="r"/>
              <c:showVal val="1"/>
            </c:dLbl>
            <c:spPr>
              <a:noFill/>
              <a:ln w="25286">
                <a:noFill/>
              </a:ln>
            </c:spPr>
            <c:showVal val="1"/>
          </c:dLbls>
          <c:cat>
            <c:numRef>
              <c:f>Lapas1!$A$2:$A$15</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Lapas1!$B$2:$B$15</c:f>
              <c:numCache>
                <c:formatCode>General</c:formatCode>
                <c:ptCount val="14"/>
                <c:pt idx="0">
                  <c:v>10.6</c:v>
                </c:pt>
                <c:pt idx="1">
                  <c:v>10.5</c:v>
                </c:pt>
                <c:pt idx="2">
                  <c:v>9.7000000000000011</c:v>
                </c:pt>
                <c:pt idx="3">
                  <c:v>9.3000000000000007</c:v>
                </c:pt>
                <c:pt idx="4">
                  <c:v>8.9</c:v>
                </c:pt>
                <c:pt idx="5">
                  <c:v>8.3000000000000007</c:v>
                </c:pt>
                <c:pt idx="6">
                  <c:v>7.5</c:v>
                </c:pt>
                <c:pt idx="7">
                  <c:v>7.7</c:v>
                </c:pt>
                <c:pt idx="8">
                  <c:v>8.4</c:v>
                </c:pt>
                <c:pt idx="9">
                  <c:v>8.2000000000000011</c:v>
                </c:pt>
                <c:pt idx="10">
                  <c:v>8.1</c:v>
                </c:pt>
                <c:pt idx="11">
                  <c:v>9.2000000000000011</c:v>
                </c:pt>
                <c:pt idx="12">
                  <c:v>10.3</c:v>
                </c:pt>
                <c:pt idx="13">
                  <c:v>10.9</c:v>
                </c:pt>
              </c:numCache>
            </c:numRef>
          </c:val>
        </c:ser>
        <c:ser>
          <c:idx val="1"/>
          <c:order val="1"/>
          <c:tx>
            <c:strRef>
              <c:f>Lapas1!$C$1</c:f>
              <c:strCache>
                <c:ptCount val="1"/>
                <c:pt idx="0">
                  <c:v>Mirtingumas</c:v>
                </c:pt>
              </c:strCache>
            </c:strRef>
          </c:tx>
          <c:spPr>
            <a:ln>
              <a:solidFill>
                <a:srgbClr val="FFFF00"/>
              </a:solidFill>
            </a:ln>
          </c:spPr>
          <c:marker>
            <c:symbol val="none"/>
          </c:marker>
          <c:dLbls>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1.0822510822510827E-2"/>
                  <c:y val="2.1231422505307896E-2"/>
                </c:manualLayout>
              </c:layout>
              <c:spPr>
                <a:noFill/>
                <a:ln w="25286">
                  <a:noFill/>
                </a:ln>
              </c:spPr>
              <c:txPr>
                <a:bodyPr/>
                <a:lstStyle/>
                <a:p>
                  <a:pPr>
                    <a:defRPr/>
                  </a:pPr>
                  <a:endParaRPr lang="lt-LT"/>
                </a:p>
              </c:txPr>
              <c:dLblPos val="r"/>
              <c:showVal val="1"/>
            </c:dLbl>
            <c:spPr>
              <a:noFill/>
              <a:ln w="25286">
                <a:noFill/>
              </a:ln>
            </c:spPr>
            <c:showVal val="1"/>
          </c:dLbls>
          <c:cat>
            <c:numRef>
              <c:f>Lapas1!$A$2:$A$15</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Lapas1!$C$2:$C$15</c:f>
              <c:numCache>
                <c:formatCode>General</c:formatCode>
                <c:ptCount val="14"/>
                <c:pt idx="0">
                  <c:v>8.3000000000000007</c:v>
                </c:pt>
                <c:pt idx="1">
                  <c:v>8.8000000000000007</c:v>
                </c:pt>
                <c:pt idx="2">
                  <c:v>8.8000000000000007</c:v>
                </c:pt>
                <c:pt idx="3">
                  <c:v>9.2000000000000011</c:v>
                </c:pt>
                <c:pt idx="4">
                  <c:v>8.9</c:v>
                </c:pt>
                <c:pt idx="5">
                  <c:v>9.4</c:v>
                </c:pt>
                <c:pt idx="6">
                  <c:v>9.6</c:v>
                </c:pt>
                <c:pt idx="7">
                  <c:v>9.5</c:v>
                </c:pt>
                <c:pt idx="8">
                  <c:v>10</c:v>
                </c:pt>
                <c:pt idx="9">
                  <c:v>10.7</c:v>
                </c:pt>
                <c:pt idx="10">
                  <c:v>11.2</c:v>
                </c:pt>
                <c:pt idx="11">
                  <c:v>11.3</c:v>
                </c:pt>
                <c:pt idx="12">
                  <c:v>10.9</c:v>
                </c:pt>
                <c:pt idx="13">
                  <c:v>10.6</c:v>
                </c:pt>
              </c:numCache>
            </c:numRef>
          </c:val>
        </c:ser>
        <c:marker val="1"/>
        <c:axId val="270621312"/>
        <c:axId val="269287808"/>
      </c:lineChart>
      <c:catAx>
        <c:axId val="270621312"/>
        <c:scaling>
          <c:orientation val="minMax"/>
        </c:scaling>
        <c:axPos val="b"/>
        <c:numFmt formatCode="General" sourceLinked="1"/>
        <c:tickLblPos val="nextTo"/>
        <c:crossAx val="269287808"/>
        <c:crosses val="autoZero"/>
        <c:auto val="1"/>
        <c:lblAlgn val="ctr"/>
        <c:lblOffset val="100"/>
      </c:catAx>
      <c:valAx>
        <c:axId val="269287808"/>
        <c:scaling>
          <c:orientation val="minMax"/>
          <c:min val="5"/>
        </c:scaling>
        <c:axPos val="l"/>
        <c:majorGridlines/>
        <c:numFmt formatCode="General" sourceLinked="1"/>
        <c:tickLblPos val="nextTo"/>
        <c:crossAx val="270621312"/>
        <c:crosses val="autoZero"/>
        <c:crossBetween val="between"/>
      </c:valAx>
      <c:spPr>
        <a:noFill/>
        <a:ln w="25286">
          <a:noFill/>
        </a:ln>
      </c:spPr>
    </c:plotArea>
    <c:legend>
      <c:legendPos val="r"/>
      <c:layout>
        <c:manualLayout>
          <c:xMode val="edge"/>
          <c:yMode val="edge"/>
          <c:x val="0.7625698089822105"/>
          <c:y val="0.27192970443911901"/>
          <c:w val="0.22765365266841642"/>
          <c:h val="0.30263151888622619"/>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2862520049577138"/>
          <c:y val="2.9474812433012445E-2"/>
          <c:w val="0.65806065908429201"/>
          <c:h val="0.73243432373068151"/>
        </c:manualLayout>
      </c:layout>
      <c:barChart>
        <c:barDir val="bar"/>
        <c:grouping val="clustered"/>
        <c:ser>
          <c:idx val="0"/>
          <c:order val="0"/>
          <c:tx>
            <c:strRef>
              <c:f>Lapas1!$B$1</c:f>
              <c:strCache>
                <c:ptCount val="1"/>
                <c:pt idx="0">
                  <c:v>niekada</c:v>
                </c:pt>
              </c:strCache>
            </c:strRef>
          </c:tx>
          <c:spPr>
            <a:solidFill>
              <a:srgbClr val="0000FF"/>
            </a:solidFill>
          </c:spPr>
          <c:dLbls>
            <c:dLbl>
              <c:idx val="2"/>
              <c:layout>
                <c:manualLayout>
                  <c:x val="0"/>
                  <c:y val="1.5772870662461028E-2"/>
                </c:manualLayout>
              </c:layout>
              <c:dLblPos val="outEnd"/>
              <c:showVal val="1"/>
            </c:dLbl>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Lapas1!$B$2:$B$8</c:f>
              <c:numCache>
                <c:formatCode>General</c:formatCode>
                <c:ptCount val="7"/>
                <c:pt idx="0">
                  <c:v>0.8</c:v>
                </c:pt>
                <c:pt idx="1">
                  <c:v>2.2999999999999998</c:v>
                </c:pt>
                <c:pt idx="2">
                  <c:v>1.4</c:v>
                </c:pt>
                <c:pt idx="3">
                  <c:v>4.0999999999999996</c:v>
                </c:pt>
                <c:pt idx="4">
                  <c:v>17</c:v>
                </c:pt>
                <c:pt idx="5">
                  <c:v>16.2</c:v>
                </c:pt>
                <c:pt idx="6">
                  <c:v>26</c:v>
                </c:pt>
              </c:numCache>
            </c:numRef>
          </c:val>
        </c:ser>
        <c:ser>
          <c:idx val="1"/>
          <c:order val="1"/>
          <c:tx>
            <c:strRef>
              <c:f>Lapas1!$C$1</c:f>
              <c:strCache>
                <c:ptCount val="1"/>
                <c:pt idx="0">
                  <c:v>rečiau nei kartą per savaitę</c:v>
                </c:pt>
              </c:strCache>
            </c:strRef>
          </c:tx>
          <c:spPr>
            <a:solidFill>
              <a:srgbClr val="FF0000"/>
            </a:solidFill>
          </c:spPr>
          <c:dLbls>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Lapas1!$C$2:$C$8</c:f>
              <c:numCache>
                <c:formatCode>General</c:formatCode>
                <c:ptCount val="7"/>
                <c:pt idx="0">
                  <c:v>9.9</c:v>
                </c:pt>
                <c:pt idx="1">
                  <c:v>11.9</c:v>
                </c:pt>
                <c:pt idx="2">
                  <c:v>16.600000000000001</c:v>
                </c:pt>
                <c:pt idx="3">
                  <c:v>42</c:v>
                </c:pt>
                <c:pt idx="4">
                  <c:v>42</c:v>
                </c:pt>
                <c:pt idx="5">
                  <c:v>46.8</c:v>
                </c:pt>
                <c:pt idx="6">
                  <c:v>47.6</c:v>
                </c:pt>
              </c:numCache>
            </c:numRef>
          </c:val>
        </c:ser>
        <c:ser>
          <c:idx val="2"/>
          <c:order val="2"/>
          <c:tx>
            <c:strRef>
              <c:f>Lapas1!$D$1</c:f>
              <c:strCache>
                <c:ptCount val="1"/>
                <c:pt idx="0">
                  <c:v>kartą per savaitę</c:v>
                </c:pt>
              </c:strCache>
            </c:strRef>
          </c:tx>
          <c:spPr>
            <a:solidFill>
              <a:srgbClr val="FF00FF"/>
            </a:solidFill>
          </c:spPr>
          <c:dLbls>
            <c:dLbl>
              <c:idx val="3"/>
              <c:layout>
                <c:manualLayout>
                  <c:x val="-4.6296296296295513E-3"/>
                  <c:y val="-2.3877745940782801E-3"/>
                </c:manualLayout>
              </c:layout>
              <c:dLblPos val="outEnd"/>
              <c:showVal val="1"/>
            </c:dLbl>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Lapas1!$D$2:$D$8</c:f>
              <c:numCache>
                <c:formatCode>General</c:formatCode>
                <c:ptCount val="7"/>
                <c:pt idx="0">
                  <c:v>16.5</c:v>
                </c:pt>
                <c:pt idx="1">
                  <c:v>13.5</c:v>
                </c:pt>
                <c:pt idx="2">
                  <c:v>17.899999999999999</c:v>
                </c:pt>
                <c:pt idx="3">
                  <c:v>24.1</c:v>
                </c:pt>
                <c:pt idx="4">
                  <c:v>15.5</c:v>
                </c:pt>
                <c:pt idx="5">
                  <c:v>17.2</c:v>
                </c:pt>
                <c:pt idx="6">
                  <c:v>12</c:v>
                </c:pt>
              </c:numCache>
            </c:numRef>
          </c:val>
        </c:ser>
        <c:ser>
          <c:idx val="3"/>
          <c:order val="3"/>
          <c:tx>
            <c:strRef>
              <c:f>Lapas1!$E$1</c:f>
              <c:strCache>
                <c:ptCount val="1"/>
                <c:pt idx="0">
                  <c:v>2-4 d./sav.</c:v>
                </c:pt>
              </c:strCache>
            </c:strRef>
          </c:tx>
          <c:spPr>
            <a:solidFill>
              <a:srgbClr val="00B0F0"/>
            </a:solidFill>
          </c:spPr>
          <c:dLbls>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Lapas1!$E$2:$E$8</c:f>
              <c:numCache>
                <c:formatCode>General</c:formatCode>
                <c:ptCount val="7"/>
                <c:pt idx="0">
                  <c:v>31.2</c:v>
                </c:pt>
                <c:pt idx="1">
                  <c:v>28.3</c:v>
                </c:pt>
                <c:pt idx="2">
                  <c:v>25.1</c:v>
                </c:pt>
                <c:pt idx="3">
                  <c:v>14.8</c:v>
                </c:pt>
                <c:pt idx="4">
                  <c:v>10.8</c:v>
                </c:pt>
                <c:pt idx="5">
                  <c:v>9.6</c:v>
                </c:pt>
                <c:pt idx="6">
                  <c:v>7.6</c:v>
                </c:pt>
              </c:numCache>
            </c:numRef>
          </c:val>
        </c:ser>
        <c:ser>
          <c:idx val="4"/>
          <c:order val="4"/>
          <c:tx>
            <c:strRef>
              <c:f>Lapas1!$F$1</c:f>
              <c:strCache>
                <c:ptCount val="1"/>
                <c:pt idx="0">
                  <c:v>5-6 d./sav.</c:v>
                </c:pt>
              </c:strCache>
            </c:strRef>
          </c:tx>
          <c:spPr>
            <a:solidFill>
              <a:srgbClr val="00FF00"/>
            </a:solidFill>
          </c:spPr>
          <c:dLbls>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Lapas1!$F$2:$F$8</c:f>
              <c:numCache>
                <c:formatCode>General</c:formatCode>
                <c:ptCount val="7"/>
                <c:pt idx="0">
                  <c:v>14.6</c:v>
                </c:pt>
                <c:pt idx="1">
                  <c:v>20</c:v>
                </c:pt>
                <c:pt idx="2">
                  <c:v>15.5</c:v>
                </c:pt>
                <c:pt idx="3">
                  <c:v>8</c:v>
                </c:pt>
                <c:pt idx="4">
                  <c:v>5.3</c:v>
                </c:pt>
                <c:pt idx="5">
                  <c:v>4.3</c:v>
                </c:pt>
                <c:pt idx="6">
                  <c:v>2.7</c:v>
                </c:pt>
              </c:numCache>
            </c:numRef>
          </c:val>
        </c:ser>
        <c:ser>
          <c:idx val="5"/>
          <c:order val="5"/>
          <c:tx>
            <c:strRef>
              <c:f>Lapas1!$G$1</c:f>
              <c:strCache>
                <c:ptCount val="1"/>
                <c:pt idx="0">
                  <c:v>kasdien, kartą per dieną</c:v>
                </c:pt>
              </c:strCache>
            </c:strRef>
          </c:tx>
          <c:spPr>
            <a:solidFill>
              <a:srgbClr val="7030A0"/>
            </a:solidFill>
          </c:spPr>
          <c:dLbls>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Lapas1!$G$2:$G$8</c:f>
              <c:numCache>
                <c:formatCode>General</c:formatCode>
                <c:ptCount val="7"/>
                <c:pt idx="0">
                  <c:v>12</c:v>
                </c:pt>
                <c:pt idx="1">
                  <c:v>13.4</c:v>
                </c:pt>
                <c:pt idx="2">
                  <c:v>9.9</c:v>
                </c:pt>
                <c:pt idx="3">
                  <c:v>3.9</c:v>
                </c:pt>
                <c:pt idx="4">
                  <c:v>3.7</c:v>
                </c:pt>
                <c:pt idx="5">
                  <c:v>2.7</c:v>
                </c:pt>
                <c:pt idx="6">
                  <c:v>1.6</c:v>
                </c:pt>
              </c:numCache>
            </c:numRef>
          </c:val>
        </c:ser>
        <c:ser>
          <c:idx val="6"/>
          <c:order val="6"/>
          <c:tx>
            <c:strRef>
              <c:f>Lapas1!$H$1</c:f>
              <c:strCache>
                <c:ptCount val="1"/>
                <c:pt idx="0">
                  <c:v>kasdien, kelis kartus per dieną</c:v>
                </c:pt>
              </c:strCache>
            </c:strRef>
          </c:tx>
          <c:spPr>
            <a:solidFill>
              <a:srgbClr val="FFFF00"/>
            </a:solidFill>
          </c:spPr>
          <c:dLbls>
            <c:spPr>
              <a:noFill/>
              <a:ln w="25415">
                <a:noFill/>
              </a:ln>
            </c:spPr>
            <c:txPr>
              <a:bodyPr/>
              <a:lstStyle/>
              <a:p>
                <a:pPr>
                  <a:defRPr sz="821"/>
                </a:pPr>
                <a:endParaRPr lang="lt-LT"/>
              </a:p>
            </c:txPr>
            <c:showVal val="1"/>
          </c:dLbls>
          <c:cat>
            <c:strRef>
              <c:f>Lapas1!$A$2:$A$8</c:f>
              <c:strCache>
                <c:ptCount val="7"/>
                <c:pt idx="0">
                  <c:v>vaisiai*</c:v>
                </c:pt>
                <c:pt idx="1">
                  <c:v>daržovės*</c:v>
                </c:pt>
                <c:pt idx="2">
                  <c:v>saldainiai, šokoladas*</c:v>
                </c:pt>
                <c:pt idx="3">
                  <c:v>pyragaičiai, sausainiai</c:v>
                </c:pt>
                <c:pt idx="4">
                  <c:v>kokakola ir kt. gazuoti saldūs gėrimai*</c:v>
                </c:pt>
                <c:pt idx="5">
                  <c:v>bulvių traškučiai*</c:v>
                </c:pt>
                <c:pt idx="6">
                  <c:v>greito maisto produktai*</c:v>
                </c:pt>
              </c:strCache>
            </c:strRef>
          </c:cat>
          <c:val>
            <c:numRef>
              <c:f>Lapas1!$H$2:$H$8</c:f>
              <c:numCache>
                <c:formatCode>General</c:formatCode>
                <c:ptCount val="7"/>
                <c:pt idx="0">
                  <c:v>14.9</c:v>
                </c:pt>
                <c:pt idx="1">
                  <c:v>10.7</c:v>
                </c:pt>
                <c:pt idx="2">
                  <c:v>13.6</c:v>
                </c:pt>
                <c:pt idx="3">
                  <c:v>3.2</c:v>
                </c:pt>
                <c:pt idx="4">
                  <c:v>5.8</c:v>
                </c:pt>
                <c:pt idx="5">
                  <c:v>3.1</c:v>
                </c:pt>
                <c:pt idx="6">
                  <c:v>2.5</c:v>
                </c:pt>
              </c:numCache>
            </c:numRef>
          </c:val>
        </c:ser>
        <c:overlap val="-25"/>
        <c:axId val="171151360"/>
        <c:axId val="171152896"/>
      </c:barChart>
      <c:catAx>
        <c:axId val="171151360"/>
        <c:scaling>
          <c:orientation val="minMax"/>
        </c:scaling>
        <c:axPos val="l"/>
        <c:majorGridlines/>
        <c:numFmt formatCode="General" sourceLinked="1"/>
        <c:tickLblPos val="nextTo"/>
        <c:crossAx val="171152896"/>
        <c:crosses val="autoZero"/>
        <c:auto val="1"/>
        <c:lblAlgn val="ctr"/>
        <c:lblOffset val="100"/>
      </c:catAx>
      <c:valAx>
        <c:axId val="171152896"/>
        <c:scaling>
          <c:orientation val="minMax"/>
        </c:scaling>
        <c:axPos val="b"/>
        <c:numFmt formatCode="General" sourceLinked="1"/>
        <c:tickLblPos val="nextTo"/>
        <c:txPr>
          <a:bodyPr/>
          <a:lstStyle/>
          <a:p>
            <a:pPr>
              <a:defRPr sz="821"/>
            </a:pPr>
            <a:endParaRPr lang="lt-LT"/>
          </a:p>
        </c:txPr>
        <c:crossAx val="171151360"/>
        <c:crosses val="autoZero"/>
        <c:crossBetween val="between"/>
      </c:valAx>
      <c:spPr>
        <a:noFill/>
        <a:ln w="25415">
          <a:noFill/>
        </a:ln>
      </c:spPr>
    </c:plotArea>
    <c:legend>
      <c:legendPos val="r"/>
      <c:layout>
        <c:manualLayout>
          <c:xMode val="edge"/>
          <c:yMode val="edge"/>
          <c:x val="0.16356387883946941"/>
          <c:y val="0.83013297051103907"/>
          <c:w val="0.80186174363339735"/>
          <c:h val="0.15952736606453632"/>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29642225315758836"/>
          <c:y val="3.2333921222810216E-2"/>
          <c:w val="0.66211373094937764"/>
          <c:h val="0.77503952063355153"/>
        </c:manualLayout>
      </c:layout>
      <c:barChart>
        <c:barDir val="bar"/>
        <c:grouping val="clustered"/>
        <c:ser>
          <c:idx val="0"/>
          <c:order val="0"/>
          <c:tx>
            <c:strRef>
              <c:f>Lapas1!$B$1</c:f>
              <c:strCache>
                <c:ptCount val="1"/>
                <c:pt idx="0">
                  <c:v>kasdien</c:v>
                </c:pt>
              </c:strCache>
            </c:strRef>
          </c:tx>
          <c:spPr>
            <a:solidFill>
              <a:srgbClr val="FF0000"/>
            </a:solidFill>
          </c:spPr>
          <c:dLbls>
            <c:dLbl>
              <c:idx val="1"/>
              <c:layout>
                <c:manualLayout>
                  <c:x val="-6.9060773480663978E-3"/>
                  <c:y val="0"/>
                </c:manualLayout>
              </c:layout>
              <c:dLblPos val="outEnd"/>
              <c:showVal val="1"/>
            </c:dLbl>
            <c:dLbl>
              <c:idx val="2"/>
              <c:layout>
                <c:manualLayout>
                  <c:x val="-6.9060773480663978E-3"/>
                  <c:y val="-1.8638873844473477E-3"/>
                </c:manualLayout>
              </c:layout>
              <c:dLblPos val="outEnd"/>
              <c:showVal val="1"/>
            </c:dLbl>
            <c:spPr>
              <a:noFill/>
              <a:ln w="25402">
                <a:noFill/>
              </a:ln>
            </c:spPr>
            <c:txPr>
              <a:bodyPr/>
              <a:lstStyle/>
              <a:p>
                <a:pPr>
                  <a:defRPr sz="776"/>
                </a:pPr>
                <a:endParaRPr lang="lt-LT"/>
              </a:p>
            </c:txPr>
            <c:showVal val="1"/>
          </c:dLbls>
          <c:cat>
            <c:strRef>
              <c:f>Lapas1!$A$2:$A$7</c:f>
              <c:strCache>
                <c:ptCount val="6"/>
                <c:pt idx="0">
                  <c:v>alus*</c:v>
                </c:pt>
                <c:pt idx="1">
                  <c:v>vynas</c:v>
                </c:pt>
                <c:pt idx="2">
                  <c:v>šampanas</c:v>
                </c:pt>
                <c:pt idx="3">
                  <c:v>likeris</c:v>
                </c:pt>
                <c:pt idx="4">
                  <c:v>degtinė, kiti stiprūs gėrimai</c:v>
                </c:pt>
                <c:pt idx="5">
                  <c:v>silpni alkoholiniai gėrimai*</c:v>
                </c:pt>
              </c:strCache>
            </c:strRef>
          </c:cat>
          <c:val>
            <c:numRef>
              <c:f>Lapas1!$B$2:$B$7</c:f>
              <c:numCache>
                <c:formatCode>General</c:formatCode>
                <c:ptCount val="6"/>
                <c:pt idx="0">
                  <c:v>1.5</c:v>
                </c:pt>
                <c:pt idx="1">
                  <c:v>0.70000000000000007</c:v>
                </c:pt>
                <c:pt idx="2">
                  <c:v>1.1000000000000001</c:v>
                </c:pt>
                <c:pt idx="3">
                  <c:v>1.1000000000000001</c:v>
                </c:pt>
                <c:pt idx="4">
                  <c:v>0.9</c:v>
                </c:pt>
                <c:pt idx="5">
                  <c:v>1.6</c:v>
                </c:pt>
              </c:numCache>
            </c:numRef>
          </c:val>
        </c:ser>
        <c:ser>
          <c:idx val="1"/>
          <c:order val="1"/>
          <c:tx>
            <c:strRef>
              <c:f>Lapas1!$C$1</c:f>
              <c:strCache>
                <c:ptCount val="1"/>
                <c:pt idx="0">
                  <c:v>kiekvieną savaitę</c:v>
                </c:pt>
              </c:strCache>
            </c:strRef>
          </c:tx>
          <c:spPr>
            <a:solidFill>
              <a:srgbClr val="00B0F0"/>
            </a:solidFill>
          </c:spPr>
          <c:dLbls>
            <c:dLbl>
              <c:idx val="1"/>
              <c:layout>
                <c:manualLayout>
                  <c:x val="-9.2081031307550652E-3"/>
                  <c:y val="2.9394473838918267E-3"/>
                </c:manualLayout>
              </c:layout>
              <c:dLblPos val="outEnd"/>
              <c:showVal val="1"/>
            </c:dLbl>
            <c:spPr>
              <a:noFill/>
              <a:ln w="25402">
                <a:noFill/>
              </a:ln>
            </c:spPr>
            <c:txPr>
              <a:bodyPr/>
              <a:lstStyle/>
              <a:p>
                <a:pPr>
                  <a:defRPr sz="776"/>
                </a:pPr>
                <a:endParaRPr lang="lt-LT"/>
              </a:p>
            </c:txPr>
            <c:showVal val="1"/>
          </c:dLbls>
          <c:cat>
            <c:strRef>
              <c:f>Lapas1!$A$2:$A$7</c:f>
              <c:strCache>
                <c:ptCount val="6"/>
                <c:pt idx="0">
                  <c:v>alus*</c:v>
                </c:pt>
                <c:pt idx="1">
                  <c:v>vynas</c:v>
                </c:pt>
                <c:pt idx="2">
                  <c:v>šampanas</c:v>
                </c:pt>
                <c:pt idx="3">
                  <c:v>likeris</c:v>
                </c:pt>
                <c:pt idx="4">
                  <c:v>degtinė, kiti stiprūs gėrimai</c:v>
                </c:pt>
                <c:pt idx="5">
                  <c:v>silpni alkoholiniai gėrimai*</c:v>
                </c:pt>
              </c:strCache>
            </c:strRef>
          </c:cat>
          <c:val>
            <c:numRef>
              <c:f>Lapas1!$C$2:$C$7</c:f>
              <c:numCache>
                <c:formatCode>General</c:formatCode>
                <c:ptCount val="6"/>
                <c:pt idx="0">
                  <c:v>3.9</c:v>
                </c:pt>
                <c:pt idx="1">
                  <c:v>0.2</c:v>
                </c:pt>
                <c:pt idx="2">
                  <c:v>0.70000000000000007</c:v>
                </c:pt>
                <c:pt idx="3">
                  <c:v>0.1</c:v>
                </c:pt>
                <c:pt idx="4">
                  <c:v>1.9000000000000001</c:v>
                </c:pt>
                <c:pt idx="5">
                  <c:v>5</c:v>
                </c:pt>
              </c:numCache>
            </c:numRef>
          </c:val>
        </c:ser>
        <c:ser>
          <c:idx val="2"/>
          <c:order val="2"/>
          <c:tx>
            <c:strRef>
              <c:f>Lapas1!$D$1</c:f>
              <c:strCache>
                <c:ptCount val="1"/>
                <c:pt idx="0">
                  <c:v>kiekvieną mėnesį</c:v>
                </c:pt>
              </c:strCache>
            </c:strRef>
          </c:tx>
          <c:spPr>
            <a:solidFill>
              <a:srgbClr val="66FF33"/>
            </a:solidFill>
          </c:spPr>
          <c:dLbls>
            <c:dLbl>
              <c:idx val="1"/>
              <c:layout>
                <c:manualLayout>
                  <c:x val="-6.9060773480663978E-3"/>
                  <c:y val="0"/>
                </c:manualLayout>
              </c:layout>
              <c:dLblPos val="outEnd"/>
              <c:showVal val="1"/>
            </c:dLbl>
            <c:spPr>
              <a:noFill/>
              <a:ln w="25402">
                <a:noFill/>
              </a:ln>
            </c:spPr>
            <c:txPr>
              <a:bodyPr/>
              <a:lstStyle/>
              <a:p>
                <a:pPr>
                  <a:defRPr sz="776"/>
                </a:pPr>
                <a:endParaRPr lang="lt-LT"/>
              </a:p>
            </c:txPr>
            <c:showVal val="1"/>
          </c:dLbls>
          <c:cat>
            <c:strRef>
              <c:f>Lapas1!$A$2:$A$7</c:f>
              <c:strCache>
                <c:ptCount val="6"/>
                <c:pt idx="0">
                  <c:v>alus*</c:v>
                </c:pt>
                <c:pt idx="1">
                  <c:v>vynas</c:v>
                </c:pt>
                <c:pt idx="2">
                  <c:v>šampanas</c:v>
                </c:pt>
                <c:pt idx="3">
                  <c:v>likeris</c:v>
                </c:pt>
                <c:pt idx="4">
                  <c:v>degtinė, kiti stiprūs gėrimai</c:v>
                </c:pt>
                <c:pt idx="5">
                  <c:v>silpni alkoholiniai gėrimai*</c:v>
                </c:pt>
              </c:strCache>
            </c:strRef>
          </c:cat>
          <c:val>
            <c:numRef>
              <c:f>Lapas1!$D$2:$D$7</c:f>
              <c:numCache>
                <c:formatCode>General</c:formatCode>
                <c:ptCount val="6"/>
                <c:pt idx="0">
                  <c:v>4.7</c:v>
                </c:pt>
                <c:pt idx="1">
                  <c:v>2</c:v>
                </c:pt>
                <c:pt idx="2">
                  <c:v>3</c:v>
                </c:pt>
                <c:pt idx="3">
                  <c:v>1.4</c:v>
                </c:pt>
                <c:pt idx="4">
                  <c:v>5.0999999999999996</c:v>
                </c:pt>
                <c:pt idx="5">
                  <c:v>9.6</c:v>
                </c:pt>
              </c:numCache>
            </c:numRef>
          </c:val>
        </c:ser>
        <c:ser>
          <c:idx val="3"/>
          <c:order val="3"/>
          <c:tx>
            <c:strRef>
              <c:f>Lapas1!$E$1</c:f>
              <c:strCache>
                <c:ptCount val="1"/>
                <c:pt idx="0">
                  <c:v>retai</c:v>
                </c:pt>
              </c:strCache>
            </c:strRef>
          </c:tx>
          <c:spPr>
            <a:solidFill>
              <a:srgbClr val="FFFF00"/>
            </a:solidFill>
          </c:spPr>
          <c:dLbls>
            <c:spPr>
              <a:noFill/>
              <a:ln w="25402">
                <a:noFill/>
              </a:ln>
            </c:spPr>
            <c:txPr>
              <a:bodyPr/>
              <a:lstStyle/>
              <a:p>
                <a:pPr>
                  <a:defRPr sz="776"/>
                </a:pPr>
                <a:endParaRPr lang="lt-LT"/>
              </a:p>
            </c:txPr>
            <c:showVal val="1"/>
          </c:dLbls>
          <c:cat>
            <c:strRef>
              <c:f>Lapas1!$A$2:$A$7</c:f>
              <c:strCache>
                <c:ptCount val="6"/>
                <c:pt idx="0">
                  <c:v>alus*</c:v>
                </c:pt>
                <c:pt idx="1">
                  <c:v>vynas</c:v>
                </c:pt>
                <c:pt idx="2">
                  <c:v>šampanas</c:v>
                </c:pt>
                <c:pt idx="3">
                  <c:v>likeris</c:v>
                </c:pt>
                <c:pt idx="4">
                  <c:v>degtinė, kiti stiprūs gėrimai</c:v>
                </c:pt>
                <c:pt idx="5">
                  <c:v>silpni alkoholiniai gėrimai*</c:v>
                </c:pt>
              </c:strCache>
            </c:strRef>
          </c:cat>
          <c:val>
            <c:numRef>
              <c:f>Lapas1!$E$2:$E$7</c:f>
              <c:numCache>
                <c:formatCode>General</c:formatCode>
                <c:ptCount val="6"/>
                <c:pt idx="0">
                  <c:v>27.7</c:v>
                </c:pt>
                <c:pt idx="1">
                  <c:v>17.399999999999999</c:v>
                </c:pt>
                <c:pt idx="2">
                  <c:v>40.4</c:v>
                </c:pt>
                <c:pt idx="3">
                  <c:v>13.9</c:v>
                </c:pt>
                <c:pt idx="4">
                  <c:v>14.8</c:v>
                </c:pt>
                <c:pt idx="5">
                  <c:v>32.6</c:v>
                </c:pt>
              </c:numCache>
            </c:numRef>
          </c:val>
        </c:ser>
        <c:ser>
          <c:idx val="4"/>
          <c:order val="4"/>
          <c:tx>
            <c:strRef>
              <c:f>Lapas1!$F$1</c:f>
              <c:strCache>
                <c:ptCount val="1"/>
                <c:pt idx="0">
                  <c:v>niekada</c:v>
                </c:pt>
              </c:strCache>
            </c:strRef>
          </c:tx>
          <c:spPr>
            <a:solidFill>
              <a:srgbClr val="7030A0"/>
            </a:solidFill>
          </c:spPr>
          <c:dLbls>
            <c:spPr>
              <a:noFill/>
              <a:ln w="25402">
                <a:noFill/>
              </a:ln>
            </c:spPr>
            <c:txPr>
              <a:bodyPr/>
              <a:lstStyle/>
              <a:p>
                <a:pPr>
                  <a:defRPr sz="776"/>
                </a:pPr>
                <a:endParaRPr lang="lt-LT"/>
              </a:p>
            </c:txPr>
            <c:showVal val="1"/>
          </c:dLbls>
          <c:cat>
            <c:strRef>
              <c:f>Lapas1!$A$2:$A$7</c:f>
              <c:strCache>
                <c:ptCount val="6"/>
                <c:pt idx="0">
                  <c:v>alus*</c:v>
                </c:pt>
                <c:pt idx="1">
                  <c:v>vynas</c:v>
                </c:pt>
                <c:pt idx="2">
                  <c:v>šampanas</c:v>
                </c:pt>
                <c:pt idx="3">
                  <c:v>likeris</c:v>
                </c:pt>
                <c:pt idx="4">
                  <c:v>degtinė, kiti stiprūs gėrimai</c:v>
                </c:pt>
                <c:pt idx="5">
                  <c:v>silpni alkoholiniai gėrimai*</c:v>
                </c:pt>
              </c:strCache>
            </c:strRef>
          </c:cat>
          <c:val>
            <c:numRef>
              <c:f>Lapas1!$F$2:$F$7</c:f>
              <c:numCache>
                <c:formatCode>General</c:formatCode>
                <c:ptCount val="6"/>
                <c:pt idx="0">
                  <c:v>62.2</c:v>
                </c:pt>
                <c:pt idx="1">
                  <c:v>79.599999999999994</c:v>
                </c:pt>
                <c:pt idx="2">
                  <c:v>54.8</c:v>
                </c:pt>
                <c:pt idx="3">
                  <c:v>83.4</c:v>
                </c:pt>
                <c:pt idx="4">
                  <c:v>77.3</c:v>
                </c:pt>
                <c:pt idx="5">
                  <c:v>51.2</c:v>
                </c:pt>
              </c:numCache>
            </c:numRef>
          </c:val>
        </c:ser>
        <c:overlap val="-25"/>
        <c:axId val="234749312"/>
        <c:axId val="171070592"/>
      </c:barChart>
      <c:catAx>
        <c:axId val="234749312"/>
        <c:scaling>
          <c:orientation val="minMax"/>
        </c:scaling>
        <c:axPos val="l"/>
        <c:majorGridlines/>
        <c:numFmt formatCode="General" sourceLinked="1"/>
        <c:tickLblPos val="nextTo"/>
        <c:crossAx val="171070592"/>
        <c:crosses val="autoZero"/>
        <c:auto val="1"/>
        <c:lblAlgn val="ctr"/>
        <c:lblOffset val="100"/>
      </c:catAx>
      <c:valAx>
        <c:axId val="171070592"/>
        <c:scaling>
          <c:orientation val="minMax"/>
          <c:max val="85"/>
          <c:min val="0"/>
        </c:scaling>
        <c:axPos val="b"/>
        <c:numFmt formatCode="General" sourceLinked="1"/>
        <c:tickLblPos val="nextTo"/>
        <c:crossAx val="234749312"/>
        <c:crosses val="autoZero"/>
        <c:crossBetween val="between"/>
      </c:valAx>
      <c:spPr>
        <a:noFill/>
        <a:ln w="25402">
          <a:noFill/>
        </a:ln>
      </c:spPr>
    </c:plotArea>
    <c:legend>
      <c:legendPos val="r"/>
      <c:layout>
        <c:manualLayout>
          <c:xMode val="edge"/>
          <c:yMode val="edge"/>
          <c:x val="0.10275696846305428"/>
          <c:y val="0.92922380404455174"/>
          <c:w val="0.79573936435515646"/>
          <c:h val="5.479442576841187E-2"/>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lt-LT"/>
  <c:style val="26"/>
  <c:chart>
    <c:plotArea>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396">
                  <a:noFill/>
                </a:ln>
              </c:spPr>
              <c:txPr>
                <a:bodyPr/>
                <a:lstStyle/>
                <a:p>
                  <a:pPr>
                    <a:defRPr/>
                  </a:pPr>
                  <a:endParaRPr lang="lt-LT"/>
                </a:p>
              </c:txPr>
              <c:dLblPos val="outEnd"/>
              <c:showVal val="1"/>
            </c:dLbl>
            <c:dLbl>
              <c:idx val="2"/>
              <c:layout>
                <c:manualLayout>
                  <c:x val="-6.9156293222684831E-3"/>
                  <c:y val="-5.1915680351277034E-3"/>
                </c:manualLayout>
              </c:layout>
              <c:spPr>
                <a:noFill/>
                <a:ln w="25396">
                  <a:noFill/>
                </a:ln>
              </c:spPr>
              <c:txPr>
                <a:bodyPr/>
                <a:lstStyle/>
                <a:p>
                  <a:pPr>
                    <a:defRPr/>
                  </a:pPr>
                  <a:endParaRPr lang="lt-LT"/>
                </a:p>
              </c:txPr>
              <c:dLblPos val="outEnd"/>
              <c:showVal val="1"/>
            </c:dLbl>
            <c:spPr>
              <a:noFill/>
              <a:ln w="25396">
                <a:noFill/>
              </a:ln>
            </c:spPr>
            <c:showVal val="1"/>
          </c:dLbls>
          <c:cat>
            <c:strRef>
              <c:f>Lapas1!$A$2:$A$6</c:f>
              <c:strCache>
                <c:ptCount val="5"/>
                <c:pt idx="0">
                  <c:v>niekada</c:v>
                </c:pt>
                <c:pt idx="1">
                  <c:v>vieną kartą</c:v>
                </c:pt>
                <c:pt idx="2">
                  <c:v>2-3 kartus</c:v>
                </c:pt>
                <c:pt idx="3">
                  <c:v>4-10 kartų</c:v>
                </c:pt>
                <c:pt idx="4">
                  <c:v>daugiau nei 10 kartų</c:v>
                </c:pt>
              </c:strCache>
            </c:strRef>
          </c:cat>
          <c:val>
            <c:numRef>
              <c:f>Lapas1!$B$2:$B$6</c:f>
              <c:numCache>
                <c:formatCode>General</c:formatCode>
                <c:ptCount val="5"/>
                <c:pt idx="0">
                  <c:v>53.1</c:v>
                </c:pt>
                <c:pt idx="1">
                  <c:v>18.399999999999999</c:v>
                </c:pt>
                <c:pt idx="2">
                  <c:v>11.6</c:v>
                </c:pt>
                <c:pt idx="3">
                  <c:v>5</c:v>
                </c:pt>
                <c:pt idx="4">
                  <c:v>11.8</c:v>
                </c:pt>
              </c:numCache>
            </c:numRef>
          </c:val>
        </c:ser>
        <c:ser>
          <c:idx val="1"/>
          <c:order val="1"/>
          <c:tx>
            <c:strRef>
              <c:f>Lapas1!$C$1</c:f>
              <c:strCache>
                <c:ptCount val="1"/>
                <c:pt idx="0">
                  <c:v>mergaitės</c:v>
                </c:pt>
              </c:strCache>
            </c:strRef>
          </c:tx>
          <c:spPr>
            <a:solidFill>
              <a:srgbClr val="FF0000"/>
            </a:solidFill>
          </c:spPr>
          <c:dLbls>
            <c:dLbl>
              <c:idx val="1"/>
              <c:layout>
                <c:manualLayout>
                  <c:x val="-6.9156293222684831E-3"/>
                  <c:y val="0"/>
                </c:manualLayout>
              </c:layout>
              <c:spPr>
                <a:noFill/>
                <a:ln w="25396">
                  <a:noFill/>
                </a:ln>
              </c:spPr>
              <c:txPr>
                <a:bodyPr/>
                <a:lstStyle/>
                <a:p>
                  <a:pPr>
                    <a:defRPr/>
                  </a:pPr>
                  <a:endParaRPr lang="lt-LT"/>
                </a:p>
              </c:txPr>
              <c:dLblPos val="outEnd"/>
              <c:showVal val="1"/>
            </c:dLbl>
            <c:dLbl>
              <c:idx val="2"/>
              <c:layout>
                <c:manualLayout>
                  <c:x val="-6.9156293222684831E-3"/>
                  <c:y val="0"/>
                </c:manualLayout>
              </c:layout>
              <c:spPr>
                <a:noFill/>
                <a:ln w="25396">
                  <a:noFill/>
                </a:ln>
              </c:spPr>
              <c:txPr>
                <a:bodyPr/>
                <a:lstStyle/>
                <a:p>
                  <a:pPr>
                    <a:defRPr/>
                  </a:pPr>
                  <a:endParaRPr lang="lt-LT"/>
                </a:p>
              </c:txPr>
              <c:dLblPos val="outEnd"/>
              <c:showVal val="1"/>
            </c:dLbl>
            <c:spPr>
              <a:noFill/>
              <a:ln w="25396">
                <a:noFill/>
              </a:ln>
            </c:spPr>
            <c:showVal val="1"/>
          </c:dLbls>
          <c:cat>
            <c:strRef>
              <c:f>Lapas1!$A$2:$A$6</c:f>
              <c:strCache>
                <c:ptCount val="5"/>
                <c:pt idx="0">
                  <c:v>niekada</c:v>
                </c:pt>
                <c:pt idx="1">
                  <c:v>vieną kartą</c:v>
                </c:pt>
                <c:pt idx="2">
                  <c:v>2-3 kartus</c:v>
                </c:pt>
                <c:pt idx="3">
                  <c:v>4-10 kartų</c:v>
                </c:pt>
                <c:pt idx="4">
                  <c:v>daugiau nei 10 kartų</c:v>
                </c:pt>
              </c:strCache>
            </c:strRef>
          </c:cat>
          <c:val>
            <c:numRef>
              <c:f>Lapas1!$C$2:$C$6</c:f>
              <c:numCache>
                <c:formatCode>General</c:formatCode>
                <c:ptCount val="5"/>
                <c:pt idx="0">
                  <c:v>61.3</c:v>
                </c:pt>
                <c:pt idx="1">
                  <c:v>16.399999999999999</c:v>
                </c:pt>
                <c:pt idx="2">
                  <c:v>11.8</c:v>
                </c:pt>
                <c:pt idx="3">
                  <c:v>5.0999999999999996</c:v>
                </c:pt>
                <c:pt idx="4">
                  <c:v>5.5</c:v>
                </c:pt>
              </c:numCache>
            </c:numRef>
          </c:val>
        </c:ser>
        <c:overlap val="-25"/>
        <c:axId val="232449536"/>
        <c:axId val="232451072"/>
      </c:barChart>
      <c:catAx>
        <c:axId val="232449536"/>
        <c:scaling>
          <c:orientation val="minMax"/>
        </c:scaling>
        <c:axPos val="l"/>
        <c:majorGridlines/>
        <c:numFmt formatCode="General" sourceLinked="1"/>
        <c:tickLblPos val="nextTo"/>
        <c:crossAx val="232451072"/>
        <c:crosses val="autoZero"/>
        <c:auto val="1"/>
        <c:lblAlgn val="ctr"/>
        <c:lblOffset val="100"/>
      </c:catAx>
      <c:valAx>
        <c:axId val="232451072"/>
        <c:scaling>
          <c:orientation val="minMax"/>
        </c:scaling>
        <c:axPos val="b"/>
        <c:numFmt formatCode="General" sourceLinked="1"/>
        <c:tickLblPos val="nextTo"/>
        <c:crossAx val="232449536"/>
        <c:crosses val="autoZero"/>
        <c:crossBetween val="between"/>
      </c:valAx>
      <c:spPr>
        <a:noFill/>
        <a:ln w="25396">
          <a:noFill/>
        </a:ln>
      </c:spPr>
    </c:plotArea>
    <c:legend>
      <c:legendPos val="r"/>
      <c:layout>
        <c:manualLayout>
          <c:xMode val="edge"/>
          <c:yMode val="edge"/>
          <c:x val="0.81692098832473525"/>
          <c:y val="0.30031958005249354"/>
          <c:w val="0.12898760068784509"/>
          <c:h val="0.22044724409448796"/>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barChart>
        <c:barDir val="bar"/>
        <c:grouping val="clustered"/>
        <c:ser>
          <c:idx val="0"/>
          <c:order val="0"/>
          <c:tx>
            <c:strRef>
              <c:f>Lapas1!$B$1</c:f>
              <c:strCache>
                <c:ptCount val="1"/>
                <c:pt idx="0">
                  <c:v>berniukai</c:v>
                </c:pt>
              </c:strCache>
            </c:strRef>
          </c:tx>
          <c:spPr>
            <a:solidFill>
              <a:srgbClr val="00B0F0"/>
            </a:solidFill>
            <a:ln w="6257">
              <a:solidFill>
                <a:srgbClr val="00B0F0"/>
              </a:solidFill>
              <a:prstDash val="solid"/>
            </a:ln>
          </c:spPr>
          <c:dLbls>
            <c:spPr>
              <a:noFill/>
              <a:ln w="21555">
                <a:noFill/>
              </a:ln>
            </c:spPr>
            <c:showVal val="1"/>
          </c:dLbls>
          <c:cat>
            <c:strRef>
              <c:f>Lapas1!$A$2:$A$6</c:f>
              <c:strCache>
                <c:ptCount val="5"/>
                <c:pt idx="0">
                  <c:v>Aš nepatyriau patyčių</c:v>
                </c:pt>
                <c:pt idx="1">
                  <c:v>Iš viso 1-2 kartus</c:v>
                </c:pt>
                <c:pt idx="2">
                  <c:v>2-3 kartus per mėn.</c:v>
                </c:pt>
                <c:pt idx="3">
                  <c:v>Maždaug kartą per savaitę</c:v>
                </c:pt>
                <c:pt idx="4">
                  <c:v>Keleta kartų per savaitę</c:v>
                </c:pt>
              </c:strCache>
            </c:strRef>
          </c:cat>
          <c:val>
            <c:numRef>
              <c:f>Lapas1!$B$2:$B$6</c:f>
              <c:numCache>
                <c:formatCode>General</c:formatCode>
                <c:ptCount val="5"/>
                <c:pt idx="0">
                  <c:v>44.8</c:v>
                </c:pt>
                <c:pt idx="1">
                  <c:v>27</c:v>
                </c:pt>
                <c:pt idx="2">
                  <c:v>9.5</c:v>
                </c:pt>
                <c:pt idx="3">
                  <c:v>7.9</c:v>
                </c:pt>
                <c:pt idx="4">
                  <c:v>10.8</c:v>
                </c:pt>
              </c:numCache>
            </c:numRef>
          </c:val>
        </c:ser>
        <c:ser>
          <c:idx val="1"/>
          <c:order val="1"/>
          <c:tx>
            <c:strRef>
              <c:f>Lapas1!$C$1</c:f>
              <c:strCache>
                <c:ptCount val="1"/>
                <c:pt idx="0">
                  <c:v>mergaitės</c:v>
                </c:pt>
              </c:strCache>
            </c:strRef>
          </c:tx>
          <c:spPr>
            <a:solidFill>
              <a:srgbClr val="FF0000"/>
            </a:solidFill>
            <a:ln w="6257">
              <a:solidFill>
                <a:srgbClr val="FF0000"/>
              </a:solidFill>
              <a:prstDash val="solid"/>
            </a:ln>
          </c:spPr>
          <c:dLbls>
            <c:spPr>
              <a:noFill/>
              <a:ln w="21555">
                <a:noFill/>
              </a:ln>
            </c:spPr>
            <c:showVal val="1"/>
          </c:dLbls>
          <c:cat>
            <c:strRef>
              <c:f>Lapas1!$A$2:$A$6</c:f>
              <c:strCache>
                <c:ptCount val="5"/>
                <c:pt idx="0">
                  <c:v>Aš nepatyriau patyčių</c:v>
                </c:pt>
                <c:pt idx="1">
                  <c:v>Iš viso 1-2 kartus</c:v>
                </c:pt>
                <c:pt idx="2">
                  <c:v>2-3 kartus per mėn.</c:v>
                </c:pt>
                <c:pt idx="3">
                  <c:v>Maždaug kartą per savaitę</c:v>
                </c:pt>
                <c:pt idx="4">
                  <c:v>Keleta kartų per savaitę</c:v>
                </c:pt>
              </c:strCache>
            </c:strRef>
          </c:cat>
          <c:val>
            <c:numRef>
              <c:f>Lapas1!$C$2:$C$6</c:f>
              <c:numCache>
                <c:formatCode>General</c:formatCode>
                <c:ptCount val="5"/>
                <c:pt idx="0">
                  <c:v>50.8</c:v>
                </c:pt>
                <c:pt idx="1">
                  <c:v>27.3</c:v>
                </c:pt>
                <c:pt idx="2">
                  <c:v>7.8</c:v>
                </c:pt>
                <c:pt idx="3">
                  <c:v>4.9000000000000004</c:v>
                </c:pt>
                <c:pt idx="4">
                  <c:v>9.2000000000000011</c:v>
                </c:pt>
              </c:numCache>
            </c:numRef>
          </c:val>
        </c:ser>
        <c:overlap val="-25"/>
        <c:axId val="232391808"/>
        <c:axId val="232393344"/>
      </c:barChart>
      <c:catAx>
        <c:axId val="232391808"/>
        <c:scaling>
          <c:orientation val="minMax"/>
        </c:scaling>
        <c:axPos val="l"/>
        <c:majorGridlines/>
        <c:numFmt formatCode="General" sourceLinked="1"/>
        <c:tickLblPos val="nextTo"/>
        <c:crossAx val="232393344"/>
        <c:crosses val="autoZero"/>
        <c:auto val="1"/>
        <c:lblAlgn val="ctr"/>
        <c:lblOffset val="100"/>
      </c:catAx>
      <c:valAx>
        <c:axId val="232393344"/>
        <c:scaling>
          <c:orientation val="minMax"/>
        </c:scaling>
        <c:axPos val="b"/>
        <c:numFmt formatCode="General" sourceLinked="1"/>
        <c:tickLblPos val="nextTo"/>
        <c:crossAx val="232391808"/>
        <c:crosses val="autoZero"/>
        <c:crossBetween val="between"/>
      </c:valAx>
      <c:spPr>
        <a:noFill/>
        <a:ln w="21555">
          <a:noFill/>
        </a:ln>
      </c:spPr>
    </c:plotArea>
    <c:legend>
      <c:legendPos val="r"/>
      <c:layout>
        <c:manualLayout>
          <c:xMode val="edge"/>
          <c:yMode val="edge"/>
          <c:x val="0.82098779477660344"/>
          <c:y val="0.3171643822299991"/>
          <c:w val="0.14351845753121184"/>
          <c:h val="0.22014921745892857"/>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barChart>
        <c:barDir val="bar"/>
        <c:grouping val="clustered"/>
        <c:ser>
          <c:idx val="0"/>
          <c:order val="0"/>
          <c:tx>
            <c:strRef>
              <c:f>Lapas1!$B$1</c:f>
              <c:strCache>
                <c:ptCount val="1"/>
                <c:pt idx="0">
                  <c:v>berniukai</c:v>
                </c:pt>
              </c:strCache>
            </c:strRef>
          </c:tx>
          <c:spPr>
            <a:solidFill>
              <a:srgbClr val="00B0F0"/>
            </a:solidFill>
            <a:ln w="8187">
              <a:solidFill>
                <a:srgbClr val="00B0F0"/>
              </a:solidFill>
              <a:prstDash val="solid"/>
            </a:ln>
          </c:spPr>
          <c:dLbls>
            <c:spPr>
              <a:noFill/>
              <a:ln w="25486">
                <a:noFill/>
              </a:ln>
            </c:spPr>
            <c:txPr>
              <a:bodyPr/>
              <a:lstStyle/>
              <a:p>
                <a:pPr>
                  <a:defRPr sz="913" b="1" i="0" u="none" strike="noStrike" baseline="0">
                    <a:solidFill>
                      <a:srgbClr val="000000"/>
                    </a:solidFill>
                    <a:latin typeface="Calibri"/>
                    <a:ea typeface="Calibri"/>
                    <a:cs typeface="Calibri"/>
                  </a:defRPr>
                </a:pPr>
                <a:endParaRPr lang="lt-LT"/>
              </a:p>
            </c:txPr>
            <c:showVal val="1"/>
          </c:dLbls>
          <c:cat>
            <c:strRef>
              <c:f>Lapas1!$A$2:$A$6</c:f>
              <c:strCache>
                <c:ptCount val="5"/>
                <c:pt idx="0">
                  <c:v>Aš nesityčiojau iš kitų</c:v>
                </c:pt>
                <c:pt idx="1">
                  <c:v>Iš viso 1-2 kartus</c:v>
                </c:pt>
                <c:pt idx="2">
                  <c:v>2-3 kartus per mėn.</c:v>
                </c:pt>
                <c:pt idx="3">
                  <c:v>Maždaug kartą per savaitę</c:v>
                </c:pt>
                <c:pt idx="4">
                  <c:v>Keleta kartų per savaitę</c:v>
                </c:pt>
              </c:strCache>
            </c:strRef>
          </c:cat>
          <c:val>
            <c:numRef>
              <c:f>Lapas1!$B$2:$B$6</c:f>
              <c:numCache>
                <c:formatCode>General</c:formatCode>
                <c:ptCount val="5"/>
                <c:pt idx="0">
                  <c:v>44.4</c:v>
                </c:pt>
                <c:pt idx="1">
                  <c:v>28.5</c:v>
                </c:pt>
                <c:pt idx="2">
                  <c:v>10.8</c:v>
                </c:pt>
                <c:pt idx="3">
                  <c:v>7.5</c:v>
                </c:pt>
                <c:pt idx="4">
                  <c:v>8.8000000000000007</c:v>
                </c:pt>
              </c:numCache>
            </c:numRef>
          </c:val>
        </c:ser>
        <c:ser>
          <c:idx val="1"/>
          <c:order val="1"/>
          <c:tx>
            <c:strRef>
              <c:f>Lapas1!$C$1</c:f>
              <c:strCache>
                <c:ptCount val="1"/>
                <c:pt idx="0">
                  <c:v>mergaitės</c:v>
                </c:pt>
              </c:strCache>
            </c:strRef>
          </c:tx>
          <c:spPr>
            <a:solidFill>
              <a:srgbClr val="FF0000"/>
            </a:solidFill>
            <a:ln w="8187">
              <a:solidFill>
                <a:srgbClr val="FF0000"/>
              </a:solidFill>
              <a:prstDash val="solid"/>
            </a:ln>
          </c:spPr>
          <c:dLbls>
            <c:spPr>
              <a:noFill/>
              <a:ln w="25486">
                <a:noFill/>
              </a:ln>
            </c:spPr>
            <c:txPr>
              <a:bodyPr/>
              <a:lstStyle/>
              <a:p>
                <a:pPr>
                  <a:defRPr sz="913" b="1" i="0" u="none" strike="noStrike" baseline="0">
                    <a:solidFill>
                      <a:srgbClr val="000000"/>
                    </a:solidFill>
                    <a:latin typeface="Calibri"/>
                    <a:ea typeface="Calibri"/>
                    <a:cs typeface="Calibri"/>
                  </a:defRPr>
                </a:pPr>
                <a:endParaRPr lang="lt-LT"/>
              </a:p>
            </c:txPr>
            <c:showVal val="1"/>
          </c:dLbls>
          <c:cat>
            <c:strRef>
              <c:f>Lapas1!$A$2:$A$6</c:f>
              <c:strCache>
                <c:ptCount val="5"/>
                <c:pt idx="0">
                  <c:v>Aš nesityčiojau iš kitų</c:v>
                </c:pt>
                <c:pt idx="1">
                  <c:v>Iš viso 1-2 kartus</c:v>
                </c:pt>
                <c:pt idx="2">
                  <c:v>2-3 kartus per mėn.</c:v>
                </c:pt>
                <c:pt idx="3">
                  <c:v>Maždaug kartą per savaitę</c:v>
                </c:pt>
                <c:pt idx="4">
                  <c:v>Keleta kartų per savaitę</c:v>
                </c:pt>
              </c:strCache>
            </c:strRef>
          </c:cat>
          <c:val>
            <c:numRef>
              <c:f>Lapas1!$C$2:$C$6</c:f>
              <c:numCache>
                <c:formatCode>General</c:formatCode>
                <c:ptCount val="5"/>
                <c:pt idx="0">
                  <c:v>58.1</c:v>
                </c:pt>
                <c:pt idx="1">
                  <c:v>29.9</c:v>
                </c:pt>
                <c:pt idx="2">
                  <c:v>6.1</c:v>
                </c:pt>
                <c:pt idx="3">
                  <c:v>2.5</c:v>
                </c:pt>
                <c:pt idx="4">
                  <c:v>3.5</c:v>
                </c:pt>
              </c:numCache>
            </c:numRef>
          </c:val>
        </c:ser>
        <c:overlap val="-25"/>
        <c:axId val="232622720"/>
        <c:axId val="232636800"/>
      </c:barChart>
      <c:catAx>
        <c:axId val="232622720"/>
        <c:scaling>
          <c:orientation val="minMax"/>
        </c:scaling>
        <c:axPos val="l"/>
        <c:majorGridlines/>
        <c:numFmt formatCode="General" sourceLinked="1"/>
        <c:tickLblPos val="nextTo"/>
        <c:crossAx val="232636800"/>
        <c:crosses val="autoZero"/>
        <c:auto val="1"/>
        <c:lblAlgn val="ctr"/>
        <c:lblOffset val="100"/>
      </c:catAx>
      <c:valAx>
        <c:axId val="232636800"/>
        <c:scaling>
          <c:orientation val="minMax"/>
        </c:scaling>
        <c:axPos val="b"/>
        <c:numFmt formatCode="General" sourceLinked="1"/>
        <c:tickLblPos val="nextTo"/>
        <c:crossAx val="232622720"/>
        <c:crosses val="autoZero"/>
        <c:crossBetween val="between"/>
      </c:valAx>
      <c:spPr>
        <a:noFill/>
        <a:ln w="25486">
          <a:noFill/>
        </a:ln>
      </c:spPr>
    </c:plotArea>
    <c:legend>
      <c:legendPos val="r"/>
      <c:layout>
        <c:manualLayout>
          <c:xMode val="edge"/>
          <c:yMode val="edge"/>
          <c:x val="0.81957186910571544"/>
          <c:y val="0.3299320277273034"/>
          <c:w val="0.14220193008193371"/>
          <c:h val="0.21768714808084882"/>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41558441558442044"/>
          <c:y val="4.6357615894039833E-2"/>
          <c:w val="0.37806637806637838"/>
          <c:h val="0.70198675496688745"/>
        </c:manualLayout>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353">
                  <a:noFill/>
                </a:ln>
              </c:spPr>
              <c:txPr>
                <a:bodyPr/>
                <a:lstStyle/>
                <a:p>
                  <a:pPr>
                    <a:defRPr/>
                  </a:pPr>
                  <a:endParaRPr lang="lt-LT"/>
                </a:p>
              </c:txPr>
              <c:dLblPos val="outEnd"/>
              <c:showVal val="1"/>
            </c:dLbl>
            <c:dLbl>
              <c:idx val="2"/>
              <c:layout>
                <c:manualLayout>
                  <c:x val="-4.466570627973487E-3"/>
                  <c:y val="1.0288226355606479E-2"/>
                </c:manualLayout>
              </c:layout>
              <c:spPr>
                <a:noFill/>
                <a:ln w="25353">
                  <a:noFill/>
                </a:ln>
              </c:spPr>
              <c:txPr>
                <a:bodyPr/>
                <a:lstStyle/>
                <a:p>
                  <a:pPr>
                    <a:defRPr/>
                  </a:pPr>
                  <a:endParaRPr lang="lt-LT"/>
                </a:p>
              </c:txPr>
              <c:dLblPos val="outEnd"/>
              <c:showVal val="1"/>
            </c:dLbl>
            <c:dLbl>
              <c:idx val="3"/>
              <c:layout>
                <c:manualLayout>
                  <c:x val="-2.4491795248591792E-3"/>
                  <c:y val="1.0319917440660475E-2"/>
                </c:manualLayout>
              </c:layout>
              <c:spPr>
                <a:noFill/>
                <a:ln w="25353">
                  <a:noFill/>
                </a:ln>
              </c:spPr>
              <c:txPr>
                <a:bodyPr/>
                <a:lstStyle/>
                <a:p>
                  <a:pPr>
                    <a:defRPr/>
                  </a:pPr>
                  <a:endParaRPr lang="lt-LT"/>
                </a:p>
              </c:txPr>
              <c:dLblPos val="outEnd"/>
              <c:showVal val="1"/>
            </c:dLbl>
            <c:dLbl>
              <c:idx val="4"/>
              <c:layout>
                <c:manualLayout>
                  <c:x val="-2.4491795248591792E-3"/>
                  <c:y val="1.5479876160990712E-2"/>
                </c:manualLayout>
              </c:layout>
              <c:spPr>
                <a:noFill/>
                <a:ln w="25353">
                  <a:noFill/>
                </a:ln>
              </c:spPr>
              <c:txPr>
                <a:bodyPr/>
                <a:lstStyle/>
                <a:p>
                  <a:pPr>
                    <a:defRPr/>
                  </a:pPr>
                  <a:endParaRPr lang="lt-LT"/>
                </a:p>
              </c:txPr>
              <c:dLblPos val="outEnd"/>
              <c:showVal val="1"/>
            </c:dLbl>
            <c:spPr>
              <a:noFill/>
              <a:ln w="25353">
                <a:noFill/>
              </a:ln>
            </c:spPr>
            <c:showVal val="1"/>
          </c:dLbls>
          <c:cat>
            <c:strRef>
              <c:f>Lapas1!$A$2:$A$6</c:f>
              <c:strCache>
                <c:ptCount val="5"/>
                <c:pt idx="0">
                  <c:v>Niekada apie tai negalvojau</c:v>
                </c:pt>
                <c:pt idx="1">
                  <c:v>Kartais kildavo tokios mintys</c:v>
                </c:pt>
                <c:pt idx="2">
                  <c:v>Dažnai kyla tokios mintys</c:v>
                </c:pt>
                <c:pt idx="3">
                  <c:v>Esu galvojęs labai rimtai ir kūręs planus</c:v>
                </c:pt>
                <c:pt idx="4">
                  <c:v>Esu bandęs nusižudyti</c:v>
                </c:pt>
              </c:strCache>
            </c:strRef>
          </c:cat>
          <c:val>
            <c:numRef>
              <c:f>Lapas1!$B$2:$B$6</c:f>
              <c:numCache>
                <c:formatCode>General</c:formatCode>
                <c:ptCount val="5"/>
                <c:pt idx="0">
                  <c:v>69.900000000000006</c:v>
                </c:pt>
                <c:pt idx="1">
                  <c:v>21.1</c:v>
                </c:pt>
                <c:pt idx="2">
                  <c:v>3.5</c:v>
                </c:pt>
                <c:pt idx="3">
                  <c:v>2.8</c:v>
                </c:pt>
                <c:pt idx="4">
                  <c:v>2.6</c:v>
                </c:pt>
              </c:numCache>
            </c:numRef>
          </c:val>
        </c:ser>
        <c:ser>
          <c:idx val="1"/>
          <c:order val="1"/>
          <c:tx>
            <c:strRef>
              <c:f>Lapas1!$C$1</c:f>
              <c:strCache>
                <c:ptCount val="1"/>
                <c:pt idx="0">
                  <c:v>mergaitės</c:v>
                </c:pt>
              </c:strCache>
            </c:strRef>
          </c:tx>
          <c:spPr>
            <a:solidFill>
              <a:srgbClr val="FF0000"/>
            </a:solidFill>
          </c:spPr>
          <c:dLbls>
            <c:dLbl>
              <c:idx val="0"/>
              <c:layout>
                <c:manualLayout>
                  <c:x val="0"/>
                  <c:y val="1.0319917440660475E-2"/>
                </c:manualLayout>
              </c:layout>
              <c:spPr>
                <a:noFill/>
                <a:ln w="25353">
                  <a:noFill/>
                </a:ln>
              </c:spPr>
              <c:txPr>
                <a:bodyPr/>
                <a:lstStyle/>
                <a:p>
                  <a:pPr>
                    <a:defRPr/>
                  </a:pPr>
                  <a:endParaRPr lang="lt-LT"/>
                </a:p>
              </c:txPr>
              <c:dLblPos val="outEnd"/>
              <c:showVal val="1"/>
            </c:dLbl>
            <c:dLbl>
              <c:idx val="1"/>
              <c:layout>
                <c:manualLayout>
                  <c:x val="4.3198127052635507E-4"/>
                  <c:y val="5.1599587203302374E-3"/>
                </c:manualLayout>
              </c:layout>
              <c:spPr>
                <a:noFill/>
                <a:ln w="25353">
                  <a:noFill/>
                </a:ln>
              </c:spPr>
              <c:txPr>
                <a:bodyPr/>
                <a:lstStyle/>
                <a:p>
                  <a:pPr>
                    <a:defRPr/>
                  </a:pPr>
                  <a:endParaRPr lang="lt-LT"/>
                </a:p>
              </c:txPr>
              <c:dLblPos val="outEnd"/>
              <c:showVal val="1"/>
            </c:dLbl>
            <c:dLbl>
              <c:idx val="2"/>
              <c:layout>
                <c:manualLayout>
                  <c:x val="2.8811607953855667E-3"/>
                  <c:y val="1.5479876160990712E-2"/>
                </c:manualLayout>
              </c:layout>
              <c:spPr>
                <a:noFill/>
                <a:ln w="25353">
                  <a:noFill/>
                </a:ln>
              </c:spPr>
              <c:txPr>
                <a:bodyPr/>
                <a:lstStyle/>
                <a:p>
                  <a:pPr>
                    <a:defRPr/>
                  </a:pPr>
                  <a:endParaRPr lang="lt-LT"/>
                </a:p>
              </c:txPr>
              <c:dLblPos val="outEnd"/>
              <c:showVal val="1"/>
            </c:dLbl>
            <c:spPr>
              <a:noFill/>
              <a:ln w="25353">
                <a:noFill/>
              </a:ln>
            </c:spPr>
            <c:showVal val="1"/>
          </c:dLbls>
          <c:cat>
            <c:strRef>
              <c:f>Lapas1!$A$2:$A$6</c:f>
              <c:strCache>
                <c:ptCount val="5"/>
                <c:pt idx="0">
                  <c:v>Niekada apie tai negalvojau</c:v>
                </c:pt>
                <c:pt idx="1">
                  <c:v>Kartais kildavo tokios mintys</c:v>
                </c:pt>
                <c:pt idx="2">
                  <c:v>Dažnai kyla tokios mintys</c:v>
                </c:pt>
                <c:pt idx="3">
                  <c:v>Esu galvojęs labai rimtai ir kūręs planus</c:v>
                </c:pt>
                <c:pt idx="4">
                  <c:v>Esu bandęs nusižudyti</c:v>
                </c:pt>
              </c:strCache>
            </c:strRef>
          </c:cat>
          <c:val>
            <c:numRef>
              <c:f>Lapas1!$C$2:$C$6</c:f>
              <c:numCache>
                <c:formatCode>General</c:formatCode>
                <c:ptCount val="5"/>
                <c:pt idx="0">
                  <c:v>61.9</c:v>
                </c:pt>
                <c:pt idx="1">
                  <c:v>28.3</c:v>
                </c:pt>
                <c:pt idx="2">
                  <c:v>4.5</c:v>
                </c:pt>
                <c:pt idx="3">
                  <c:v>3.3</c:v>
                </c:pt>
                <c:pt idx="4">
                  <c:v>2</c:v>
                </c:pt>
              </c:numCache>
            </c:numRef>
          </c:val>
        </c:ser>
        <c:overlap val="-24"/>
        <c:axId val="225874304"/>
        <c:axId val="225875840"/>
      </c:barChart>
      <c:catAx>
        <c:axId val="225874304"/>
        <c:scaling>
          <c:orientation val="minMax"/>
        </c:scaling>
        <c:axPos val="l"/>
        <c:majorGridlines/>
        <c:numFmt formatCode="General" sourceLinked="1"/>
        <c:tickLblPos val="nextTo"/>
        <c:crossAx val="225875840"/>
        <c:crosses val="autoZero"/>
        <c:auto val="1"/>
        <c:lblAlgn val="ctr"/>
        <c:lblOffset val="100"/>
      </c:catAx>
      <c:valAx>
        <c:axId val="225875840"/>
        <c:scaling>
          <c:orientation val="minMax"/>
        </c:scaling>
        <c:axPos val="b"/>
        <c:numFmt formatCode="General" sourceLinked="1"/>
        <c:tickLblPos val="nextTo"/>
        <c:crossAx val="225874304"/>
        <c:crosses val="autoZero"/>
        <c:crossBetween val="between"/>
      </c:valAx>
      <c:spPr>
        <a:noFill/>
        <a:ln w="25353">
          <a:noFill/>
        </a:ln>
      </c:spPr>
    </c:plotArea>
    <c:legend>
      <c:legendPos val="r"/>
      <c:layout>
        <c:manualLayout>
          <c:xMode val="edge"/>
          <c:yMode val="edge"/>
          <c:x val="0.82108190786496504"/>
          <c:y val="0.25242697485394983"/>
          <c:w val="0.12898760068784521"/>
          <c:h val="0.20711963423926844"/>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32329401146678849"/>
          <c:y val="5.2688892611827777E-2"/>
          <c:w val="0.51098929496413981"/>
          <c:h val="0.82549878887247052"/>
        </c:manualLayout>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353">
                  <a:noFill/>
                </a:ln>
              </c:spPr>
              <c:txPr>
                <a:bodyPr/>
                <a:lstStyle/>
                <a:p>
                  <a:pPr>
                    <a:defRPr/>
                  </a:pPr>
                  <a:endParaRPr lang="lt-LT"/>
                </a:p>
              </c:txPr>
              <c:dLblPos val="outEnd"/>
              <c:showVal val="1"/>
            </c:dLbl>
            <c:dLbl>
              <c:idx val="2"/>
              <c:layout>
                <c:manualLayout>
                  <c:x val="-4.466570627973487E-3"/>
                  <c:y val="1.0288226355606479E-2"/>
                </c:manualLayout>
              </c:layout>
              <c:spPr>
                <a:noFill/>
                <a:ln w="25353">
                  <a:noFill/>
                </a:ln>
              </c:spPr>
              <c:txPr>
                <a:bodyPr/>
                <a:lstStyle/>
                <a:p>
                  <a:pPr>
                    <a:defRPr/>
                  </a:pPr>
                  <a:endParaRPr lang="lt-LT"/>
                </a:p>
              </c:txPr>
              <c:dLblPos val="outEnd"/>
              <c:showVal val="1"/>
            </c:dLbl>
            <c:dLbl>
              <c:idx val="3"/>
              <c:layout>
                <c:manualLayout>
                  <c:x val="-2.4491795248591792E-3"/>
                  <c:y val="1.0319917440660475E-2"/>
                </c:manualLayout>
              </c:layout>
              <c:spPr>
                <a:noFill/>
                <a:ln w="25353">
                  <a:noFill/>
                </a:ln>
              </c:spPr>
              <c:txPr>
                <a:bodyPr/>
                <a:lstStyle/>
                <a:p>
                  <a:pPr>
                    <a:defRPr/>
                  </a:pPr>
                  <a:endParaRPr lang="lt-LT"/>
                </a:p>
              </c:txPr>
              <c:dLblPos val="outEnd"/>
              <c:showVal val="1"/>
            </c:dLbl>
            <c:dLbl>
              <c:idx val="4"/>
              <c:layout>
                <c:manualLayout>
                  <c:x val="-2.4491795248591792E-3"/>
                  <c:y val="1.5479876160990712E-2"/>
                </c:manualLayout>
              </c:layout>
              <c:spPr>
                <a:noFill/>
                <a:ln w="25353">
                  <a:noFill/>
                </a:ln>
              </c:spPr>
              <c:txPr>
                <a:bodyPr/>
                <a:lstStyle/>
                <a:p>
                  <a:pPr>
                    <a:defRPr/>
                  </a:pPr>
                  <a:endParaRPr lang="lt-LT"/>
                </a:p>
              </c:txPr>
              <c:dLblPos val="outEnd"/>
              <c:showVal val="1"/>
            </c:dLbl>
            <c:spPr>
              <a:noFill/>
              <a:ln w="25353">
                <a:noFill/>
              </a:ln>
            </c:spPr>
            <c:showVal val="1"/>
          </c:dLbls>
          <c:cat>
            <c:strRef>
              <c:f>Lapas1!$A$2:$A$8</c:f>
              <c:strCache>
                <c:ptCount val="7"/>
                <c:pt idx="0">
                  <c:v>Nebuvau susižeidęs</c:v>
                </c:pt>
                <c:pt idx="1">
                  <c:v>Namuose</c:v>
                </c:pt>
                <c:pt idx="2">
                  <c:v>Mokykloje per pamoką</c:v>
                </c:pt>
                <c:pt idx="3">
                  <c:v>Mokykloje po pamokų</c:v>
                </c:pt>
                <c:pt idx="4">
                  <c:v>Sporto aikštelėje, salėje</c:v>
                </c:pt>
                <c:pt idx="5">
                  <c:v>Gatvėje, kelyje</c:v>
                </c:pt>
                <c:pt idx="6">
                  <c:v>Kitoje vietoje</c:v>
                </c:pt>
              </c:strCache>
            </c:strRef>
          </c:cat>
          <c:val>
            <c:numRef>
              <c:f>Lapas1!$B$2:$B$8</c:f>
              <c:numCache>
                <c:formatCode>General</c:formatCode>
                <c:ptCount val="7"/>
                <c:pt idx="0">
                  <c:v>35.200000000000003</c:v>
                </c:pt>
                <c:pt idx="1">
                  <c:v>23.7</c:v>
                </c:pt>
                <c:pt idx="2">
                  <c:v>9.9</c:v>
                </c:pt>
                <c:pt idx="3">
                  <c:v>4.0999999999999996</c:v>
                </c:pt>
                <c:pt idx="4">
                  <c:v>13.6</c:v>
                </c:pt>
                <c:pt idx="5">
                  <c:v>4.3</c:v>
                </c:pt>
                <c:pt idx="6">
                  <c:v>9.3000000000000007</c:v>
                </c:pt>
              </c:numCache>
            </c:numRef>
          </c:val>
        </c:ser>
        <c:ser>
          <c:idx val="1"/>
          <c:order val="1"/>
          <c:tx>
            <c:strRef>
              <c:f>Lapas1!$C$1</c:f>
              <c:strCache>
                <c:ptCount val="1"/>
                <c:pt idx="0">
                  <c:v>mergaitės</c:v>
                </c:pt>
              </c:strCache>
            </c:strRef>
          </c:tx>
          <c:spPr>
            <a:solidFill>
              <a:srgbClr val="FF0000"/>
            </a:solidFill>
          </c:spPr>
          <c:dLbls>
            <c:dLbl>
              <c:idx val="0"/>
              <c:layout>
                <c:manualLayout>
                  <c:x val="0"/>
                  <c:y val="1.0319917440660475E-2"/>
                </c:manualLayout>
              </c:layout>
              <c:spPr>
                <a:noFill/>
                <a:ln w="25353">
                  <a:noFill/>
                </a:ln>
              </c:spPr>
              <c:txPr>
                <a:bodyPr/>
                <a:lstStyle/>
                <a:p>
                  <a:pPr>
                    <a:defRPr/>
                  </a:pPr>
                  <a:endParaRPr lang="lt-LT"/>
                </a:p>
              </c:txPr>
              <c:dLblPos val="outEnd"/>
              <c:showVal val="1"/>
            </c:dLbl>
            <c:dLbl>
              <c:idx val="1"/>
              <c:layout>
                <c:manualLayout>
                  <c:x val="4.3198127052635534E-4"/>
                  <c:y val="5.1599587203302374E-3"/>
                </c:manualLayout>
              </c:layout>
              <c:spPr>
                <a:noFill/>
                <a:ln w="25353">
                  <a:noFill/>
                </a:ln>
              </c:spPr>
              <c:txPr>
                <a:bodyPr/>
                <a:lstStyle/>
                <a:p>
                  <a:pPr>
                    <a:defRPr/>
                  </a:pPr>
                  <a:endParaRPr lang="lt-LT"/>
                </a:p>
              </c:txPr>
              <c:dLblPos val="outEnd"/>
              <c:showVal val="1"/>
            </c:dLbl>
            <c:dLbl>
              <c:idx val="2"/>
              <c:layout>
                <c:manualLayout>
                  <c:x val="2.8811607953855892E-3"/>
                  <c:y val="2.1821075557045466E-3"/>
                </c:manualLayout>
              </c:layout>
              <c:spPr>
                <a:noFill/>
                <a:ln w="25353">
                  <a:noFill/>
                </a:ln>
              </c:spPr>
              <c:txPr>
                <a:bodyPr/>
                <a:lstStyle/>
                <a:p>
                  <a:pPr>
                    <a:defRPr/>
                  </a:pPr>
                  <a:endParaRPr lang="lt-LT"/>
                </a:p>
              </c:txPr>
              <c:dLblPos val="outEnd"/>
              <c:showVal val="1"/>
            </c:dLbl>
            <c:spPr>
              <a:noFill/>
              <a:ln w="25353">
                <a:noFill/>
              </a:ln>
            </c:spPr>
            <c:showVal val="1"/>
          </c:dLbls>
          <c:cat>
            <c:strRef>
              <c:f>Lapas1!$A$2:$A$8</c:f>
              <c:strCache>
                <c:ptCount val="7"/>
                <c:pt idx="0">
                  <c:v>Nebuvau susižeidęs</c:v>
                </c:pt>
                <c:pt idx="1">
                  <c:v>Namuose</c:v>
                </c:pt>
                <c:pt idx="2">
                  <c:v>Mokykloje per pamoką</c:v>
                </c:pt>
                <c:pt idx="3">
                  <c:v>Mokykloje po pamokų</c:v>
                </c:pt>
                <c:pt idx="4">
                  <c:v>Sporto aikštelėje, salėje</c:v>
                </c:pt>
                <c:pt idx="5">
                  <c:v>Gatvėje, kelyje</c:v>
                </c:pt>
                <c:pt idx="6">
                  <c:v>Kitoje vietoje</c:v>
                </c:pt>
              </c:strCache>
            </c:strRef>
          </c:cat>
          <c:val>
            <c:numRef>
              <c:f>Lapas1!$C$2:$C$8</c:f>
              <c:numCache>
                <c:formatCode>General</c:formatCode>
                <c:ptCount val="7"/>
                <c:pt idx="0">
                  <c:v>50.8</c:v>
                </c:pt>
                <c:pt idx="1">
                  <c:v>24.4</c:v>
                </c:pt>
                <c:pt idx="2">
                  <c:v>5</c:v>
                </c:pt>
                <c:pt idx="3">
                  <c:v>1.7</c:v>
                </c:pt>
                <c:pt idx="4">
                  <c:v>4.2</c:v>
                </c:pt>
                <c:pt idx="5">
                  <c:v>4.5999999999999996</c:v>
                </c:pt>
                <c:pt idx="6">
                  <c:v>9.4</c:v>
                </c:pt>
              </c:numCache>
            </c:numRef>
          </c:val>
        </c:ser>
        <c:overlap val="-24"/>
        <c:axId val="232147968"/>
        <c:axId val="232174336"/>
      </c:barChart>
      <c:catAx>
        <c:axId val="232147968"/>
        <c:scaling>
          <c:orientation val="minMax"/>
        </c:scaling>
        <c:axPos val="l"/>
        <c:majorGridlines/>
        <c:numFmt formatCode="General" sourceLinked="1"/>
        <c:tickLblPos val="nextTo"/>
        <c:crossAx val="232174336"/>
        <c:crosses val="autoZero"/>
        <c:auto val="1"/>
        <c:lblAlgn val="ctr"/>
        <c:lblOffset val="100"/>
      </c:catAx>
      <c:valAx>
        <c:axId val="232174336"/>
        <c:scaling>
          <c:orientation val="minMax"/>
        </c:scaling>
        <c:axPos val="b"/>
        <c:numFmt formatCode="General" sourceLinked="1"/>
        <c:tickLblPos val="nextTo"/>
        <c:crossAx val="232147968"/>
        <c:crosses val="autoZero"/>
        <c:crossBetween val="between"/>
      </c:valAx>
      <c:spPr>
        <a:noFill/>
        <a:ln w="25353">
          <a:noFill/>
        </a:ln>
      </c:spPr>
    </c:plotArea>
    <c:legend>
      <c:legendPos val="r"/>
      <c:layout>
        <c:manualLayout>
          <c:xMode val="edge"/>
          <c:yMode val="edge"/>
          <c:x val="0.82390749079687742"/>
          <c:y val="0.3268609770552876"/>
          <c:w val="0.13239079939288723"/>
          <c:h val="0.19093853187706356"/>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31104811384249947"/>
          <c:y val="3.5980370874693988E-2"/>
          <c:w val="0.52078601306359074"/>
          <c:h val="0.82235724471448945"/>
        </c:manualLayout>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696">
                  <a:noFill/>
                </a:ln>
              </c:spPr>
              <c:txPr>
                <a:bodyPr/>
                <a:lstStyle/>
                <a:p>
                  <a:pPr>
                    <a:defRPr/>
                  </a:pPr>
                  <a:endParaRPr lang="lt-LT"/>
                </a:p>
              </c:txPr>
              <c:dLblPos val="outEnd"/>
              <c:showVal val="1"/>
            </c:dLbl>
            <c:dLbl>
              <c:idx val="2"/>
              <c:layout>
                <c:manualLayout>
                  <c:x val="-4.466570627973487E-3"/>
                  <c:y val="1.0288226355606479E-2"/>
                </c:manualLayout>
              </c:layout>
              <c:spPr>
                <a:noFill/>
                <a:ln w="25696">
                  <a:noFill/>
                </a:ln>
              </c:spPr>
              <c:txPr>
                <a:bodyPr/>
                <a:lstStyle/>
                <a:p>
                  <a:pPr>
                    <a:defRPr/>
                  </a:pPr>
                  <a:endParaRPr lang="lt-LT"/>
                </a:p>
              </c:txPr>
              <c:dLblPos val="outEnd"/>
              <c:showVal val="1"/>
            </c:dLbl>
            <c:dLbl>
              <c:idx val="3"/>
              <c:layout>
                <c:manualLayout>
                  <c:x val="-2.4491795248591792E-3"/>
                  <c:y val="1.0319917440660475E-2"/>
                </c:manualLayout>
              </c:layout>
              <c:spPr>
                <a:noFill/>
                <a:ln w="25696">
                  <a:noFill/>
                </a:ln>
              </c:spPr>
              <c:txPr>
                <a:bodyPr/>
                <a:lstStyle/>
                <a:p>
                  <a:pPr>
                    <a:defRPr/>
                  </a:pPr>
                  <a:endParaRPr lang="lt-LT"/>
                </a:p>
              </c:txPr>
              <c:dLblPos val="outEnd"/>
              <c:showVal val="1"/>
            </c:dLbl>
            <c:dLbl>
              <c:idx val="4"/>
              <c:layout>
                <c:manualLayout>
                  <c:x val="-2.4491795248591792E-3"/>
                  <c:y val="1.5479876160990712E-2"/>
                </c:manualLayout>
              </c:layout>
              <c:spPr>
                <a:noFill/>
                <a:ln w="25696">
                  <a:noFill/>
                </a:ln>
              </c:spPr>
              <c:txPr>
                <a:bodyPr/>
                <a:lstStyle/>
                <a:p>
                  <a:pPr>
                    <a:defRPr/>
                  </a:pPr>
                  <a:endParaRPr lang="lt-LT"/>
                </a:p>
              </c:txPr>
              <c:dLblPos val="outEnd"/>
              <c:showVal val="1"/>
            </c:dLbl>
            <c:spPr>
              <a:noFill/>
              <a:ln w="25696">
                <a:noFill/>
              </a:ln>
            </c:spPr>
            <c:showVal val="1"/>
          </c:dLbls>
          <c:cat>
            <c:strRef>
              <c:f>Lapas1!$A$2:$A$6</c:f>
              <c:strCache>
                <c:ptCount val="5"/>
                <c:pt idx="0">
                  <c:v>Visada</c:v>
                </c:pt>
                <c:pt idx="1">
                  <c:v>Kartais</c:v>
                </c:pt>
                <c:pt idx="2">
                  <c:v>Neturiu šalmo</c:v>
                </c:pt>
                <c:pt idx="3">
                  <c:v>Manau, kad nebūtina</c:v>
                </c:pt>
                <c:pt idx="4">
                  <c:v>Nevažinėju dviračiu</c:v>
                </c:pt>
              </c:strCache>
            </c:strRef>
          </c:cat>
          <c:val>
            <c:numRef>
              <c:f>Lapas1!$B$2:$B$6</c:f>
              <c:numCache>
                <c:formatCode>General</c:formatCode>
                <c:ptCount val="5"/>
                <c:pt idx="0">
                  <c:v>5.0999999999999996</c:v>
                </c:pt>
                <c:pt idx="1">
                  <c:v>9.1</c:v>
                </c:pt>
                <c:pt idx="2">
                  <c:v>28.5</c:v>
                </c:pt>
                <c:pt idx="3">
                  <c:v>50.2</c:v>
                </c:pt>
                <c:pt idx="4">
                  <c:v>7.1</c:v>
                </c:pt>
              </c:numCache>
            </c:numRef>
          </c:val>
        </c:ser>
        <c:ser>
          <c:idx val="1"/>
          <c:order val="1"/>
          <c:tx>
            <c:strRef>
              <c:f>Lapas1!$C$1</c:f>
              <c:strCache>
                <c:ptCount val="1"/>
                <c:pt idx="0">
                  <c:v>mergaitės</c:v>
                </c:pt>
              </c:strCache>
            </c:strRef>
          </c:tx>
          <c:spPr>
            <a:solidFill>
              <a:srgbClr val="FF0000"/>
            </a:solidFill>
          </c:spPr>
          <c:dLbls>
            <c:dLbl>
              <c:idx val="0"/>
              <c:layout>
                <c:manualLayout>
                  <c:x val="0"/>
                  <c:y val="1.0319917440660475E-2"/>
                </c:manualLayout>
              </c:layout>
              <c:spPr>
                <a:noFill/>
                <a:ln w="25696">
                  <a:noFill/>
                </a:ln>
              </c:spPr>
              <c:txPr>
                <a:bodyPr/>
                <a:lstStyle/>
                <a:p>
                  <a:pPr>
                    <a:defRPr/>
                  </a:pPr>
                  <a:endParaRPr lang="lt-LT"/>
                </a:p>
              </c:txPr>
              <c:dLblPos val="outEnd"/>
              <c:showVal val="1"/>
            </c:dLbl>
            <c:dLbl>
              <c:idx val="1"/>
              <c:layout>
                <c:manualLayout>
                  <c:x val="4.3198127052635594E-4"/>
                  <c:y val="5.1599587203302374E-3"/>
                </c:manualLayout>
              </c:layout>
              <c:spPr>
                <a:noFill/>
                <a:ln w="25696">
                  <a:noFill/>
                </a:ln>
              </c:spPr>
              <c:txPr>
                <a:bodyPr/>
                <a:lstStyle/>
                <a:p>
                  <a:pPr>
                    <a:defRPr/>
                  </a:pPr>
                  <a:endParaRPr lang="lt-LT"/>
                </a:p>
              </c:txPr>
              <c:dLblPos val="outEnd"/>
              <c:showVal val="1"/>
            </c:dLbl>
            <c:dLbl>
              <c:idx val="2"/>
              <c:layout>
                <c:manualLayout>
                  <c:x val="2.8811607953855892E-3"/>
                  <c:y val="2.1821075557045496E-3"/>
                </c:manualLayout>
              </c:layout>
              <c:spPr>
                <a:noFill/>
                <a:ln w="25696">
                  <a:noFill/>
                </a:ln>
              </c:spPr>
              <c:txPr>
                <a:bodyPr/>
                <a:lstStyle/>
                <a:p>
                  <a:pPr>
                    <a:defRPr/>
                  </a:pPr>
                  <a:endParaRPr lang="lt-LT"/>
                </a:p>
              </c:txPr>
              <c:dLblPos val="outEnd"/>
              <c:showVal val="1"/>
            </c:dLbl>
            <c:spPr>
              <a:noFill/>
              <a:ln w="25696">
                <a:noFill/>
              </a:ln>
            </c:spPr>
            <c:showVal val="1"/>
          </c:dLbls>
          <c:cat>
            <c:strRef>
              <c:f>Lapas1!$A$2:$A$6</c:f>
              <c:strCache>
                <c:ptCount val="5"/>
                <c:pt idx="0">
                  <c:v>Visada</c:v>
                </c:pt>
                <c:pt idx="1">
                  <c:v>Kartais</c:v>
                </c:pt>
                <c:pt idx="2">
                  <c:v>Neturiu šalmo</c:v>
                </c:pt>
                <c:pt idx="3">
                  <c:v>Manau, kad nebūtina</c:v>
                </c:pt>
                <c:pt idx="4">
                  <c:v>Nevažinėju dviračiu</c:v>
                </c:pt>
              </c:strCache>
            </c:strRef>
          </c:cat>
          <c:val>
            <c:numRef>
              <c:f>Lapas1!$C$2:$C$6</c:f>
              <c:numCache>
                <c:formatCode>General</c:formatCode>
                <c:ptCount val="5"/>
                <c:pt idx="0">
                  <c:v>4.3</c:v>
                </c:pt>
                <c:pt idx="1">
                  <c:v>11.8</c:v>
                </c:pt>
                <c:pt idx="2">
                  <c:v>36.6</c:v>
                </c:pt>
                <c:pt idx="3">
                  <c:v>36.6</c:v>
                </c:pt>
                <c:pt idx="4">
                  <c:v>10.8</c:v>
                </c:pt>
              </c:numCache>
            </c:numRef>
          </c:val>
        </c:ser>
        <c:overlap val="-25"/>
        <c:axId val="229808000"/>
        <c:axId val="229809536"/>
      </c:barChart>
      <c:catAx>
        <c:axId val="229808000"/>
        <c:scaling>
          <c:orientation val="minMax"/>
        </c:scaling>
        <c:axPos val="l"/>
        <c:majorGridlines/>
        <c:numFmt formatCode="General" sourceLinked="1"/>
        <c:tickLblPos val="nextTo"/>
        <c:crossAx val="229809536"/>
        <c:crosses val="autoZero"/>
        <c:auto val="1"/>
        <c:lblAlgn val="ctr"/>
        <c:lblOffset val="100"/>
      </c:catAx>
      <c:valAx>
        <c:axId val="229809536"/>
        <c:scaling>
          <c:orientation val="minMax"/>
        </c:scaling>
        <c:axPos val="b"/>
        <c:numFmt formatCode="General" sourceLinked="1"/>
        <c:tickLblPos val="nextTo"/>
        <c:crossAx val="229808000"/>
        <c:crosses val="autoZero"/>
        <c:crossBetween val="between"/>
      </c:valAx>
      <c:spPr>
        <a:noFill/>
        <a:ln w="25696">
          <a:noFill/>
        </a:ln>
      </c:spPr>
    </c:plotArea>
    <c:legend>
      <c:legendPos val="r"/>
      <c:layout>
        <c:manualLayout>
          <c:xMode val="edge"/>
          <c:yMode val="edge"/>
          <c:x val="0.81932764501998223"/>
          <c:y val="0.27906968566728207"/>
          <c:w val="0.13025213311750661"/>
          <c:h val="0.20542616383478374"/>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31104811384249964"/>
          <c:y val="3.5980370874694016E-2"/>
          <c:w val="0.52078601306359096"/>
          <c:h val="0.82235724471448945"/>
        </c:manualLayout>
      </c:layout>
      <c:barChart>
        <c:barDir val="bar"/>
        <c:grouping val="clustered"/>
        <c:ser>
          <c:idx val="0"/>
          <c:order val="0"/>
          <c:tx>
            <c:strRef>
              <c:f>Lapas1!$B$1</c:f>
              <c:strCache>
                <c:ptCount val="1"/>
                <c:pt idx="0">
                  <c:v>berniukai</c:v>
                </c:pt>
              </c:strCache>
            </c:strRef>
          </c:tx>
          <c:spPr>
            <a:solidFill>
              <a:srgbClr val="00B0F0"/>
            </a:solidFill>
          </c:spPr>
          <c:dLbls>
            <c:dLbl>
              <c:idx val="1"/>
              <c:layout>
                <c:manualLayout>
                  <c:x val="-4.6104195481787855E-3"/>
                  <c:y val="0"/>
                </c:manualLayout>
              </c:layout>
              <c:spPr>
                <a:noFill/>
                <a:ln w="25443">
                  <a:noFill/>
                </a:ln>
              </c:spPr>
              <c:txPr>
                <a:bodyPr/>
                <a:lstStyle/>
                <a:p>
                  <a:pPr>
                    <a:defRPr/>
                  </a:pPr>
                  <a:endParaRPr lang="lt-LT"/>
                </a:p>
              </c:txPr>
              <c:dLblPos val="outEnd"/>
              <c:showVal val="1"/>
            </c:dLbl>
            <c:dLbl>
              <c:idx val="2"/>
              <c:layout>
                <c:manualLayout>
                  <c:x val="-4.4665706279734905E-3"/>
                  <c:y val="1.0288226355606479E-2"/>
                </c:manualLayout>
              </c:layout>
              <c:spPr>
                <a:noFill/>
                <a:ln w="25443">
                  <a:noFill/>
                </a:ln>
              </c:spPr>
              <c:txPr>
                <a:bodyPr/>
                <a:lstStyle/>
                <a:p>
                  <a:pPr>
                    <a:defRPr/>
                  </a:pPr>
                  <a:endParaRPr lang="lt-LT"/>
                </a:p>
              </c:txPr>
              <c:dLblPos val="outEnd"/>
              <c:showVal val="1"/>
            </c:dLbl>
            <c:dLbl>
              <c:idx val="3"/>
              <c:layout>
                <c:manualLayout>
                  <c:x val="-2.4491795248591792E-3"/>
                  <c:y val="1.0319917440660475E-2"/>
                </c:manualLayout>
              </c:layout>
              <c:spPr>
                <a:noFill/>
                <a:ln w="25443">
                  <a:noFill/>
                </a:ln>
              </c:spPr>
              <c:txPr>
                <a:bodyPr/>
                <a:lstStyle/>
                <a:p>
                  <a:pPr>
                    <a:defRPr/>
                  </a:pPr>
                  <a:endParaRPr lang="lt-LT"/>
                </a:p>
              </c:txPr>
              <c:dLblPos val="outEnd"/>
              <c:showVal val="1"/>
            </c:dLbl>
            <c:dLbl>
              <c:idx val="4"/>
              <c:layout>
                <c:manualLayout>
                  <c:x val="-2.4491795248591792E-3"/>
                  <c:y val="1.5479876160990719E-2"/>
                </c:manualLayout>
              </c:layout>
              <c:spPr>
                <a:noFill/>
                <a:ln w="25443">
                  <a:noFill/>
                </a:ln>
              </c:spPr>
              <c:txPr>
                <a:bodyPr/>
                <a:lstStyle/>
                <a:p>
                  <a:pPr>
                    <a:defRPr/>
                  </a:pPr>
                  <a:endParaRPr lang="lt-LT"/>
                </a:p>
              </c:txPr>
              <c:dLblPos val="outEnd"/>
              <c:showVal val="1"/>
            </c:dLbl>
            <c:spPr>
              <a:noFill/>
              <a:ln w="25443">
                <a:noFill/>
              </a:ln>
            </c:spPr>
            <c:showVal val="1"/>
          </c:dLbls>
          <c:cat>
            <c:strRef>
              <c:f>Lapas1!$A$2:$A$5</c:f>
              <c:strCache>
                <c:ptCount val="4"/>
                <c:pt idx="0">
                  <c:v>Visada</c:v>
                </c:pt>
                <c:pt idx="1">
                  <c:v>Kartais</c:v>
                </c:pt>
                <c:pt idx="2">
                  <c:v>Ne, nes neturiu atšvaito</c:v>
                </c:pt>
                <c:pt idx="3">
                  <c:v>Ne, nes manau, kad jis nebūtina</c:v>
                </c:pt>
              </c:strCache>
            </c:strRef>
          </c:cat>
          <c:val>
            <c:numRef>
              <c:f>Lapas1!$B$2:$B$5</c:f>
              <c:numCache>
                <c:formatCode>General</c:formatCode>
                <c:ptCount val="4"/>
                <c:pt idx="0">
                  <c:v>22</c:v>
                </c:pt>
                <c:pt idx="1">
                  <c:v>32.1</c:v>
                </c:pt>
                <c:pt idx="2">
                  <c:v>23.2</c:v>
                </c:pt>
                <c:pt idx="3">
                  <c:v>22.8</c:v>
                </c:pt>
              </c:numCache>
            </c:numRef>
          </c:val>
        </c:ser>
        <c:ser>
          <c:idx val="1"/>
          <c:order val="1"/>
          <c:tx>
            <c:strRef>
              <c:f>Lapas1!$C$1</c:f>
              <c:strCache>
                <c:ptCount val="1"/>
                <c:pt idx="0">
                  <c:v>mergaitės</c:v>
                </c:pt>
              </c:strCache>
            </c:strRef>
          </c:tx>
          <c:spPr>
            <a:solidFill>
              <a:srgbClr val="FF0000"/>
            </a:solidFill>
          </c:spPr>
          <c:dLbls>
            <c:dLbl>
              <c:idx val="0"/>
              <c:layout>
                <c:manualLayout>
                  <c:x val="0"/>
                  <c:y val="1.0319917440660475E-2"/>
                </c:manualLayout>
              </c:layout>
              <c:spPr>
                <a:noFill/>
                <a:ln w="25443">
                  <a:noFill/>
                </a:ln>
              </c:spPr>
              <c:txPr>
                <a:bodyPr/>
                <a:lstStyle/>
                <a:p>
                  <a:pPr>
                    <a:defRPr/>
                  </a:pPr>
                  <a:endParaRPr lang="lt-LT"/>
                </a:p>
              </c:txPr>
              <c:dLblPos val="outEnd"/>
              <c:showVal val="1"/>
            </c:dLbl>
            <c:dLbl>
              <c:idx val="1"/>
              <c:layout>
                <c:manualLayout>
                  <c:x val="4.3198127052635675E-4"/>
                  <c:y val="5.1599587203302417E-3"/>
                </c:manualLayout>
              </c:layout>
              <c:spPr>
                <a:noFill/>
                <a:ln w="25443">
                  <a:noFill/>
                </a:ln>
              </c:spPr>
              <c:txPr>
                <a:bodyPr/>
                <a:lstStyle/>
                <a:p>
                  <a:pPr>
                    <a:defRPr/>
                  </a:pPr>
                  <a:endParaRPr lang="lt-LT"/>
                </a:p>
              </c:txPr>
              <c:dLblPos val="outEnd"/>
              <c:showVal val="1"/>
            </c:dLbl>
            <c:dLbl>
              <c:idx val="2"/>
              <c:layout>
                <c:manualLayout>
                  <c:x val="2.8811607953855892E-3"/>
                  <c:y val="2.1821075557045518E-3"/>
                </c:manualLayout>
              </c:layout>
              <c:spPr>
                <a:noFill/>
                <a:ln w="25443">
                  <a:noFill/>
                </a:ln>
              </c:spPr>
              <c:txPr>
                <a:bodyPr/>
                <a:lstStyle/>
                <a:p>
                  <a:pPr>
                    <a:defRPr/>
                  </a:pPr>
                  <a:endParaRPr lang="lt-LT"/>
                </a:p>
              </c:txPr>
              <c:dLblPos val="outEnd"/>
              <c:showVal val="1"/>
            </c:dLbl>
            <c:spPr>
              <a:noFill/>
              <a:ln w="25443">
                <a:noFill/>
              </a:ln>
            </c:spPr>
            <c:showVal val="1"/>
          </c:dLbls>
          <c:cat>
            <c:strRef>
              <c:f>Lapas1!$A$2:$A$5</c:f>
              <c:strCache>
                <c:ptCount val="4"/>
                <c:pt idx="0">
                  <c:v>Visada</c:v>
                </c:pt>
                <c:pt idx="1">
                  <c:v>Kartais</c:v>
                </c:pt>
                <c:pt idx="2">
                  <c:v>Ne, nes neturiu atšvaito</c:v>
                </c:pt>
                <c:pt idx="3">
                  <c:v>Ne, nes manau, kad jis nebūtina</c:v>
                </c:pt>
              </c:strCache>
            </c:strRef>
          </c:cat>
          <c:val>
            <c:numRef>
              <c:f>Lapas1!$C$2:$C$5</c:f>
              <c:numCache>
                <c:formatCode>General</c:formatCode>
                <c:ptCount val="4"/>
                <c:pt idx="0">
                  <c:v>26</c:v>
                </c:pt>
                <c:pt idx="1">
                  <c:v>40.700000000000003</c:v>
                </c:pt>
                <c:pt idx="2">
                  <c:v>18.5</c:v>
                </c:pt>
                <c:pt idx="3">
                  <c:v>14.8</c:v>
                </c:pt>
              </c:numCache>
            </c:numRef>
          </c:val>
        </c:ser>
        <c:overlap val="-25"/>
        <c:axId val="227709696"/>
        <c:axId val="227711232"/>
      </c:barChart>
      <c:catAx>
        <c:axId val="227709696"/>
        <c:scaling>
          <c:orientation val="minMax"/>
        </c:scaling>
        <c:axPos val="l"/>
        <c:majorGridlines/>
        <c:numFmt formatCode="General" sourceLinked="1"/>
        <c:tickLblPos val="nextTo"/>
        <c:crossAx val="227711232"/>
        <c:crosses val="autoZero"/>
        <c:auto val="1"/>
        <c:lblAlgn val="ctr"/>
        <c:lblOffset val="100"/>
      </c:catAx>
      <c:valAx>
        <c:axId val="227711232"/>
        <c:scaling>
          <c:orientation val="minMax"/>
        </c:scaling>
        <c:axPos val="b"/>
        <c:numFmt formatCode="General" sourceLinked="1"/>
        <c:tickLblPos val="nextTo"/>
        <c:crossAx val="227709696"/>
        <c:crosses val="autoZero"/>
        <c:crossBetween val="between"/>
      </c:valAx>
      <c:spPr>
        <a:noFill/>
        <a:ln w="25443">
          <a:noFill/>
        </a:ln>
      </c:spPr>
    </c:plotArea>
    <c:legend>
      <c:legendPos val="r"/>
      <c:layout>
        <c:manualLayout>
          <c:xMode val="edge"/>
          <c:yMode val="edge"/>
          <c:x val="0.8144611415098536"/>
          <c:y val="0.28793761356753483"/>
          <c:w val="0.13369705058054204"/>
          <c:h val="0.19844336765596626"/>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barChart>
        <c:barDir val="col"/>
        <c:grouping val="clustered"/>
        <c:ser>
          <c:idx val="0"/>
          <c:order val="0"/>
          <c:tx>
            <c:strRef>
              <c:f>Lapas1!$B$1</c:f>
              <c:strCache>
                <c:ptCount val="1"/>
                <c:pt idx="0">
                  <c:v>berniukai</c:v>
                </c:pt>
              </c:strCache>
            </c:strRef>
          </c:tx>
          <c:spPr>
            <a:solidFill>
              <a:srgbClr val="00B0F0"/>
            </a:solidFill>
          </c:spPr>
          <c:dLbls>
            <c:dLbl>
              <c:idx val="2"/>
              <c:layout>
                <c:manualLayout>
                  <c:x val="0"/>
                  <c:y val="1.5772870662461039E-2"/>
                </c:manualLayout>
              </c:layout>
              <c:spPr>
                <a:noFill/>
                <a:ln w="18836">
                  <a:noFill/>
                </a:ln>
              </c:spPr>
              <c:txPr>
                <a:bodyPr/>
                <a:lstStyle/>
                <a:p>
                  <a:pPr>
                    <a:defRPr/>
                  </a:pPr>
                  <a:endParaRPr lang="lt-LT"/>
                </a:p>
              </c:txPr>
              <c:dLblPos val="outEnd"/>
              <c:showVal val="1"/>
            </c:dLbl>
            <c:spPr>
              <a:noFill/>
              <a:ln w="18836">
                <a:noFill/>
              </a:ln>
            </c:spPr>
            <c:showVal val="1"/>
          </c:dLbls>
          <c:cat>
            <c:strRef>
              <c:f>Lapas1!$A$2:$A$6</c:f>
              <c:strCache>
                <c:ptCount val="5"/>
                <c:pt idx="0">
                  <c:v>dažniau nei kartą per dieną</c:v>
                </c:pt>
                <c:pt idx="1">
                  <c:v>kartą per dieną</c:v>
                </c:pt>
                <c:pt idx="2">
                  <c:v>nors kartą per savaitę</c:v>
                </c:pt>
                <c:pt idx="3">
                  <c:v>rečiau nei kartą per savaitę</c:v>
                </c:pt>
                <c:pt idx="4">
                  <c:v>niekada</c:v>
                </c:pt>
              </c:strCache>
            </c:strRef>
          </c:cat>
          <c:val>
            <c:numRef>
              <c:f>Lapas1!$B$2:$B$6</c:f>
              <c:numCache>
                <c:formatCode>General</c:formatCode>
                <c:ptCount val="5"/>
                <c:pt idx="0">
                  <c:v>42.6</c:v>
                </c:pt>
                <c:pt idx="1">
                  <c:v>41.2</c:v>
                </c:pt>
                <c:pt idx="2">
                  <c:v>10.6</c:v>
                </c:pt>
                <c:pt idx="3">
                  <c:v>3.4</c:v>
                </c:pt>
                <c:pt idx="4">
                  <c:v>2.2000000000000002</c:v>
                </c:pt>
              </c:numCache>
            </c:numRef>
          </c:val>
        </c:ser>
        <c:ser>
          <c:idx val="1"/>
          <c:order val="1"/>
          <c:tx>
            <c:strRef>
              <c:f>Lapas1!$C$1</c:f>
              <c:strCache>
                <c:ptCount val="1"/>
                <c:pt idx="0">
                  <c:v>mergaitės</c:v>
                </c:pt>
              </c:strCache>
            </c:strRef>
          </c:tx>
          <c:spPr>
            <a:solidFill>
              <a:srgbClr val="FF0000"/>
            </a:solidFill>
          </c:spPr>
          <c:dLbls>
            <c:spPr>
              <a:noFill/>
              <a:ln w="18836">
                <a:noFill/>
              </a:ln>
            </c:spPr>
            <c:showVal val="1"/>
          </c:dLbls>
          <c:cat>
            <c:strRef>
              <c:f>Lapas1!$A$2:$A$6</c:f>
              <c:strCache>
                <c:ptCount val="5"/>
                <c:pt idx="0">
                  <c:v>dažniau nei kartą per dieną</c:v>
                </c:pt>
                <c:pt idx="1">
                  <c:v>kartą per dieną</c:v>
                </c:pt>
                <c:pt idx="2">
                  <c:v>nors kartą per savaitę</c:v>
                </c:pt>
                <c:pt idx="3">
                  <c:v>rečiau nei kartą per savaitę</c:v>
                </c:pt>
                <c:pt idx="4">
                  <c:v>niekada</c:v>
                </c:pt>
              </c:strCache>
            </c:strRef>
          </c:cat>
          <c:val>
            <c:numRef>
              <c:f>Lapas1!$C$2:$C$6</c:f>
              <c:numCache>
                <c:formatCode>General</c:formatCode>
                <c:ptCount val="5"/>
                <c:pt idx="0">
                  <c:v>64.400000000000006</c:v>
                </c:pt>
                <c:pt idx="1">
                  <c:v>31</c:v>
                </c:pt>
                <c:pt idx="2">
                  <c:v>3.5</c:v>
                </c:pt>
                <c:pt idx="3">
                  <c:v>0.8</c:v>
                </c:pt>
                <c:pt idx="4">
                  <c:v>0.4</c:v>
                </c:pt>
              </c:numCache>
            </c:numRef>
          </c:val>
        </c:ser>
        <c:overlap val="-25"/>
        <c:axId val="225754496"/>
        <c:axId val="225756288"/>
      </c:barChart>
      <c:catAx>
        <c:axId val="225754496"/>
        <c:scaling>
          <c:orientation val="minMax"/>
        </c:scaling>
        <c:axPos val="b"/>
        <c:majorGridlines/>
        <c:numFmt formatCode="General" sourceLinked="1"/>
        <c:tickLblPos val="nextTo"/>
        <c:crossAx val="225756288"/>
        <c:crosses val="autoZero"/>
        <c:auto val="1"/>
        <c:lblAlgn val="ctr"/>
        <c:lblOffset val="100"/>
      </c:catAx>
      <c:valAx>
        <c:axId val="225756288"/>
        <c:scaling>
          <c:orientation val="minMax"/>
        </c:scaling>
        <c:axPos val="l"/>
        <c:numFmt formatCode="General" sourceLinked="1"/>
        <c:tickLblPos val="nextTo"/>
        <c:crossAx val="225754496"/>
        <c:crosses val="autoZero"/>
        <c:crossBetween val="between"/>
      </c:valAx>
      <c:spPr>
        <a:noFill/>
        <a:ln w="18836">
          <a:noFill/>
        </a:ln>
      </c:spPr>
    </c:plotArea>
    <c:legend>
      <c:legendPos val="r"/>
      <c:layout>
        <c:manualLayout>
          <c:xMode val="edge"/>
          <c:yMode val="edge"/>
          <c:x val="0.85782747603833875"/>
          <c:y val="0.26027397260273971"/>
          <c:w val="0.12619808306709271"/>
          <c:h val="0.21917808219178084"/>
        </c:manualLayout>
      </c:layout>
    </c:legend>
    <c:plotVisOnly val="1"/>
    <c:dispBlanksAs val="gap"/>
  </c:chart>
  <c:spPr>
    <a:solidFill>
      <a:sysClr val="window" lastClr="FFFFFF"/>
    </a:solidFill>
  </c:spPr>
  <c:txPr>
    <a:bodyPr/>
    <a:lstStyle/>
    <a:p>
      <a:pPr>
        <a:defRPr b="1"/>
      </a:pPr>
      <a:endParaRPr lang="lt-LT"/>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lt-LT"/>
  <c:style val="26"/>
  <c:chart>
    <c:plotArea>
      <c:layout>
        <c:manualLayout>
          <c:layoutTarget val="inner"/>
          <c:xMode val="edge"/>
          <c:yMode val="edge"/>
          <c:x val="9.1755319148936282E-2"/>
          <c:y val="5.4298642533936715E-2"/>
          <c:w val="0.74867021276595791"/>
          <c:h val="0.53846153846153855"/>
        </c:manualLayout>
      </c:layout>
      <c:barChart>
        <c:barDir val="col"/>
        <c:grouping val="clustered"/>
        <c:ser>
          <c:idx val="0"/>
          <c:order val="0"/>
          <c:tx>
            <c:strRef>
              <c:f>Lapas1!$B$1</c:f>
              <c:strCache>
                <c:ptCount val="1"/>
                <c:pt idx="0">
                  <c:v>2006</c:v>
                </c:pt>
              </c:strCache>
            </c:strRef>
          </c:tx>
          <c:spPr>
            <a:solidFill>
              <a:srgbClr val="00B0F0"/>
            </a:solidFill>
          </c:spPr>
          <c:dLbls>
            <c:spPr>
              <a:noFill/>
              <a:ln w="25187">
                <a:noFill/>
              </a:ln>
            </c:spPr>
            <c:showVal val="1"/>
          </c:dLbls>
          <c:cat>
            <c:strRef>
              <c:f>Lapas1!$A$2:$A$3</c:f>
              <c:strCache>
                <c:ptCount val="2"/>
                <c:pt idx="0">
                  <c:v>Lietuvos Respublika</c:v>
                </c:pt>
                <c:pt idx="1">
                  <c:v>Šiaulių miesto savivaldybė</c:v>
                </c:pt>
              </c:strCache>
            </c:strRef>
          </c:cat>
          <c:val>
            <c:numRef>
              <c:f>Lapas1!$B$2:$B$3</c:f>
              <c:numCache>
                <c:formatCode>General</c:formatCode>
                <c:ptCount val="2"/>
                <c:pt idx="0">
                  <c:v>6.8</c:v>
                </c:pt>
                <c:pt idx="1">
                  <c:v>5.7</c:v>
                </c:pt>
              </c:numCache>
            </c:numRef>
          </c:val>
        </c:ser>
        <c:ser>
          <c:idx val="1"/>
          <c:order val="1"/>
          <c:tx>
            <c:strRef>
              <c:f>Lapas1!$C$1</c:f>
              <c:strCache>
                <c:ptCount val="1"/>
                <c:pt idx="0">
                  <c:v>2007</c:v>
                </c:pt>
              </c:strCache>
            </c:strRef>
          </c:tx>
          <c:spPr>
            <a:solidFill>
              <a:srgbClr val="FFFF00"/>
            </a:solidFill>
          </c:spPr>
          <c:dLbls>
            <c:spPr>
              <a:noFill/>
              <a:ln w="25187">
                <a:noFill/>
              </a:ln>
            </c:spPr>
            <c:showVal val="1"/>
          </c:dLbls>
          <c:cat>
            <c:strRef>
              <c:f>Lapas1!$A$2:$A$3</c:f>
              <c:strCache>
                <c:ptCount val="2"/>
                <c:pt idx="0">
                  <c:v>Lietuvos Respublika</c:v>
                </c:pt>
                <c:pt idx="1">
                  <c:v>Šiaulių miesto savivaldybė</c:v>
                </c:pt>
              </c:strCache>
            </c:strRef>
          </c:cat>
          <c:val>
            <c:numRef>
              <c:f>Lapas1!$C$2:$C$3</c:f>
              <c:numCache>
                <c:formatCode>General</c:formatCode>
                <c:ptCount val="2"/>
                <c:pt idx="0">
                  <c:v>5.9</c:v>
                </c:pt>
                <c:pt idx="1">
                  <c:v>5.0999999999999996</c:v>
                </c:pt>
              </c:numCache>
            </c:numRef>
          </c:val>
        </c:ser>
        <c:ser>
          <c:idx val="2"/>
          <c:order val="2"/>
          <c:tx>
            <c:strRef>
              <c:f>Lapas1!$D$1</c:f>
              <c:strCache>
                <c:ptCount val="1"/>
                <c:pt idx="0">
                  <c:v>2008</c:v>
                </c:pt>
              </c:strCache>
            </c:strRef>
          </c:tx>
          <c:spPr>
            <a:solidFill>
              <a:srgbClr val="00FF00"/>
            </a:solidFill>
          </c:spPr>
          <c:dLbls>
            <c:spPr>
              <a:noFill/>
              <a:ln w="25187">
                <a:noFill/>
              </a:ln>
            </c:spPr>
            <c:showVal val="1"/>
          </c:dLbls>
          <c:cat>
            <c:strRef>
              <c:f>Lapas1!$A$2:$A$3</c:f>
              <c:strCache>
                <c:ptCount val="2"/>
                <c:pt idx="0">
                  <c:v>Lietuvos Respublika</c:v>
                </c:pt>
                <c:pt idx="1">
                  <c:v>Šiaulių miesto savivaldybė</c:v>
                </c:pt>
              </c:strCache>
            </c:strRef>
          </c:cat>
          <c:val>
            <c:numRef>
              <c:f>Lapas1!$D$2:$D$3</c:f>
              <c:numCache>
                <c:formatCode>General</c:formatCode>
                <c:ptCount val="2"/>
                <c:pt idx="0">
                  <c:v>4.9000000000000004</c:v>
                </c:pt>
                <c:pt idx="1">
                  <c:v>4.5999999999999996</c:v>
                </c:pt>
              </c:numCache>
            </c:numRef>
          </c:val>
        </c:ser>
        <c:ser>
          <c:idx val="3"/>
          <c:order val="3"/>
          <c:tx>
            <c:strRef>
              <c:f>Lapas1!$E$1</c:f>
              <c:strCache>
                <c:ptCount val="1"/>
                <c:pt idx="0">
                  <c:v>2009</c:v>
                </c:pt>
              </c:strCache>
            </c:strRef>
          </c:tx>
          <c:spPr>
            <a:solidFill>
              <a:srgbClr val="FF0000"/>
            </a:solidFill>
          </c:spPr>
          <c:dLbls>
            <c:spPr>
              <a:noFill/>
              <a:ln w="25187">
                <a:noFill/>
              </a:ln>
            </c:spPr>
            <c:showVal val="1"/>
          </c:dLbls>
          <c:cat>
            <c:strRef>
              <c:f>Lapas1!$A$2:$A$3</c:f>
              <c:strCache>
                <c:ptCount val="2"/>
                <c:pt idx="0">
                  <c:v>Lietuvos Respublika</c:v>
                </c:pt>
                <c:pt idx="1">
                  <c:v>Šiaulių miesto savivaldybė</c:v>
                </c:pt>
              </c:strCache>
            </c:strRef>
          </c:cat>
          <c:val>
            <c:numRef>
              <c:f>Lapas1!$E$2:$E$3</c:f>
              <c:numCache>
                <c:formatCode>General</c:formatCode>
                <c:ptCount val="2"/>
                <c:pt idx="0">
                  <c:v>5</c:v>
                </c:pt>
                <c:pt idx="1">
                  <c:v>2.2000000000000002</c:v>
                </c:pt>
              </c:numCache>
            </c:numRef>
          </c:val>
        </c:ser>
        <c:overlap val="-26"/>
        <c:axId val="268389376"/>
        <c:axId val="268399360"/>
      </c:barChart>
      <c:catAx>
        <c:axId val="268389376"/>
        <c:scaling>
          <c:orientation val="minMax"/>
        </c:scaling>
        <c:axPos val="b"/>
        <c:majorGridlines/>
        <c:numFmt formatCode="General" sourceLinked="1"/>
        <c:tickLblPos val="nextTo"/>
        <c:crossAx val="268399360"/>
        <c:crosses val="autoZero"/>
        <c:auto val="1"/>
        <c:lblAlgn val="ctr"/>
        <c:lblOffset val="100"/>
      </c:catAx>
      <c:valAx>
        <c:axId val="268399360"/>
        <c:scaling>
          <c:orientation val="minMax"/>
        </c:scaling>
        <c:axPos val="l"/>
        <c:numFmt formatCode="General" sourceLinked="1"/>
        <c:tickLblPos val="nextTo"/>
        <c:crossAx val="268389376"/>
        <c:crosses val="autoZero"/>
        <c:crossBetween val="between"/>
      </c:valAx>
      <c:spPr>
        <a:noFill/>
        <a:ln w="25187">
          <a:noFill/>
        </a:ln>
      </c:spPr>
    </c:plotArea>
    <c:legend>
      <c:legendPos val="r"/>
      <c:layout>
        <c:manualLayout>
          <c:xMode val="edge"/>
          <c:yMode val="edge"/>
          <c:x val="0.88696814925161349"/>
          <c:y val="0.25339374477631627"/>
          <c:w val="8.3776512733205966E-2"/>
          <c:h val="0.35746623850789627"/>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5.9045226130653307E-2"/>
          <c:y val="6.5656565656565663E-2"/>
          <c:w val="0.8065326633165828"/>
          <c:h val="0.61616161616161669"/>
        </c:manualLayout>
      </c:layout>
      <c:barChart>
        <c:barDir val="col"/>
        <c:grouping val="clustered"/>
        <c:ser>
          <c:idx val="0"/>
          <c:order val="0"/>
          <c:tx>
            <c:strRef>
              <c:f>Lapas1!$B$1</c:f>
              <c:strCache>
                <c:ptCount val="1"/>
                <c:pt idx="0">
                  <c:v>Berniukai</c:v>
                </c:pt>
              </c:strCache>
            </c:strRef>
          </c:tx>
          <c:spPr>
            <a:solidFill>
              <a:srgbClr val="00B0F0"/>
            </a:solidFill>
          </c:spPr>
          <c:dLbls>
            <c:dLbl>
              <c:idx val="0"/>
              <c:layout>
                <c:manualLayout>
                  <c:x val="-2.3052097740894422E-3"/>
                  <c:y val="1.5723270440251583E-2"/>
                </c:manualLayout>
              </c:layout>
              <c:spPr>
                <a:noFill/>
                <a:ln w="25423">
                  <a:noFill/>
                </a:ln>
              </c:spPr>
              <c:txPr>
                <a:bodyPr/>
                <a:lstStyle/>
                <a:p>
                  <a:pPr>
                    <a:defRPr/>
                  </a:pPr>
                  <a:endParaRPr lang="lt-LT"/>
                </a:p>
              </c:txPr>
              <c:dLblPos val="outEnd"/>
              <c:showVal val="1"/>
            </c:dLbl>
            <c:dLbl>
              <c:idx val="2"/>
              <c:layout>
                <c:manualLayout>
                  <c:x val="0"/>
                  <c:y val="1.5772870662461313E-2"/>
                </c:manualLayout>
              </c:layout>
              <c:spPr>
                <a:noFill/>
                <a:ln w="25423">
                  <a:noFill/>
                </a:ln>
              </c:spPr>
              <c:txPr>
                <a:bodyPr/>
                <a:lstStyle/>
                <a:p>
                  <a:pPr>
                    <a:defRPr/>
                  </a:pPr>
                  <a:endParaRPr lang="lt-LT"/>
                </a:p>
              </c:txPr>
              <c:dLblPos val="outEnd"/>
              <c:showVal val="1"/>
            </c:dLbl>
            <c:dLbl>
              <c:idx val="3"/>
              <c:layout>
                <c:manualLayout>
                  <c:x val="-6.9156293222686063E-3"/>
                  <c:y val="1.0482180293501535E-2"/>
                </c:manualLayout>
              </c:layout>
              <c:spPr>
                <a:noFill/>
                <a:ln w="25423">
                  <a:noFill/>
                </a:ln>
              </c:spPr>
              <c:txPr>
                <a:bodyPr/>
                <a:lstStyle/>
                <a:p>
                  <a:pPr>
                    <a:defRPr/>
                  </a:pPr>
                  <a:endParaRPr lang="lt-LT"/>
                </a:p>
              </c:txPr>
              <c:dLblPos val="outEnd"/>
              <c:showVal val="1"/>
            </c:dLbl>
            <c:spPr>
              <a:noFill/>
              <a:ln w="25423">
                <a:noFill/>
              </a:ln>
            </c:spPr>
            <c:showVal val="1"/>
          </c:dLbls>
          <c:cat>
            <c:strRef>
              <c:f>Lapas1!$A$2:$A$9</c:f>
              <c:strCache>
                <c:ptCount val="8"/>
                <c:pt idx="0">
                  <c:v>Nė vienos dienos</c:v>
                </c:pt>
                <c:pt idx="1">
                  <c:v>1 diena</c:v>
                </c:pt>
                <c:pt idx="2">
                  <c:v>2 dienos</c:v>
                </c:pt>
                <c:pt idx="3">
                  <c:v>3 dienos</c:v>
                </c:pt>
                <c:pt idx="4">
                  <c:v>4 dienos </c:v>
                </c:pt>
                <c:pt idx="5">
                  <c:v>5 dienos</c:v>
                </c:pt>
                <c:pt idx="6">
                  <c:v>6 dienos</c:v>
                </c:pt>
                <c:pt idx="7">
                  <c:v>7 dienos</c:v>
                </c:pt>
              </c:strCache>
            </c:strRef>
          </c:cat>
          <c:val>
            <c:numRef>
              <c:f>Lapas1!$B$2:$B$9</c:f>
              <c:numCache>
                <c:formatCode>General</c:formatCode>
                <c:ptCount val="8"/>
                <c:pt idx="0">
                  <c:v>6.5</c:v>
                </c:pt>
                <c:pt idx="1">
                  <c:v>5.7</c:v>
                </c:pt>
                <c:pt idx="2">
                  <c:v>12.9</c:v>
                </c:pt>
                <c:pt idx="3">
                  <c:v>16.8</c:v>
                </c:pt>
                <c:pt idx="4">
                  <c:v>15.6</c:v>
                </c:pt>
                <c:pt idx="5">
                  <c:v>19.2</c:v>
                </c:pt>
                <c:pt idx="6">
                  <c:v>5.9</c:v>
                </c:pt>
                <c:pt idx="7">
                  <c:v>17.600000000000001</c:v>
                </c:pt>
              </c:numCache>
            </c:numRef>
          </c:val>
        </c:ser>
        <c:ser>
          <c:idx val="1"/>
          <c:order val="1"/>
          <c:tx>
            <c:strRef>
              <c:f>Lapas1!$C$1</c:f>
              <c:strCache>
                <c:ptCount val="1"/>
                <c:pt idx="0">
                  <c:v>Mergaitės</c:v>
                </c:pt>
              </c:strCache>
            </c:strRef>
          </c:tx>
          <c:spPr>
            <a:solidFill>
              <a:srgbClr val="FF0000"/>
            </a:solidFill>
          </c:spPr>
          <c:dLbls>
            <c:dLbl>
              <c:idx val="0"/>
              <c:layout>
                <c:manualLayout>
                  <c:x val="4.6104195481788766E-3"/>
                  <c:y val="1.5723270440251583E-2"/>
                </c:manualLayout>
              </c:layout>
              <c:spPr>
                <a:noFill/>
                <a:ln w="25423">
                  <a:noFill/>
                </a:ln>
              </c:spPr>
              <c:txPr>
                <a:bodyPr/>
                <a:lstStyle/>
                <a:p>
                  <a:pPr>
                    <a:defRPr/>
                  </a:pPr>
                  <a:endParaRPr lang="lt-LT"/>
                </a:p>
              </c:txPr>
              <c:dLblPos val="outEnd"/>
              <c:showVal val="1"/>
            </c:dLbl>
            <c:dLbl>
              <c:idx val="2"/>
              <c:layout>
                <c:manualLayout>
                  <c:x val="-4.6104195481788766E-3"/>
                  <c:y val="1.5723270440251583E-2"/>
                </c:manualLayout>
              </c:layout>
              <c:spPr>
                <a:noFill/>
                <a:ln w="25423">
                  <a:noFill/>
                </a:ln>
              </c:spPr>
              <c:txPr>
                <a:bodyPr/>
                <a:lstStyle/>
                <a:p>
                  <a:pPr>
                    <a:defRPr/>
                  </a:pPr>
                  <a:endParaRPr lang="lt-LT"/>
                </a:p>
              </c:txPr>
              <c:dLblPos val="outEnd"/>
              <c:showVal val="1"/>
            </c:dLbl>
            <c:dLbl>
              <c:idx val="7"/>
              <c:layout>
                <c:manualLayout>
                  <c:x val="6.9156293222685699E-3"/>
                  <c:y val="5.2410901467507178E-3"/>
                </c:manualLayout>
              </c:layout>
              <c:spPr>
                <a:noFill/>
                <a:ln w="25423">
                  <a:noFill/>
                </a:ln>
              </c:spPr>
              <c:txPr>
                <a:bodyPr/>
                <a:lstStyle/>
                <a:p>
                  <a:pPr>
                    <a:defRPr/>
                  </a:pPr>
                  <a:endParaRPr lang="lt-LT"/>
                </a:p>
              </c:txPr>
              <c:dLblPos val="outEnd"/>
              <c:showVal val="1"/>
            </c:dLbl>
            <c:spPr>
              <a:noFill/>
              <a:ln w="25423">
                <a:noFill/>
              </a:ln>
            </c:spPr>
            <c:showVal val="1"/>
          </c:dLbls>
          <c:cat>
            <c:strRef>
              <c:f>Lapas1!$A$2:$A$9</c:f>
              <c:strCache>
                <c:ptCount val="8"/>
                <c:pt idx="0">
                  <c:v>Nė vienos dienos</c:v>
                </c:pt>
                <c:pt idx="1">
                  <c:v>1 diena</c:v>
                </c:pt>
                <c:pt idx="2">
                  <c:v>2 dienos</c:v>
                </c:pt>
                <c:pt idx="3">
                  <c:v>3 dienos</c:v>
                </c:pt>
                <c:pt idx="4">
                  <c:v>4 dienos </c:v>
                </c:pt>
                <c:pt idx="5">
                  <c:v>5 dienos</c:v>
                </c:pt>
                <c:pt idx="6">
                  <c:v>6 dienos</c:v>
                </c:pt>
                <c:pt idx="7">
                  <c:v>7 dienos</c:v>
                </c:pt>
              </c:strCache>
            </c:strRef>
          </c:cat>
          <c:val>
            <c:numRef>
              <c:f>Lapas1!$C$2:$C$9</c:f>
              <c:numCache>
                <c:formatCode>General</c:formatCode>
                <c:ptCount val="8"/>
                <c:pt idx="0">
                  <c:v>6.2</c:v>
                </c:pt>
                <c:pt idx="1">
                  <c:v>9.5</c:v>
                </c:pt>
                <c:pt idx="2">
                  <c:v>17.5</c:v>
                </c:pt>
                <c:pt idx="3">
                  <c:v>19.2</c:v>
                </c:pt>
                <c:pt idx="4">
                  <c:v>11.3</c:v>
                </c:pt>
                <c:pt idx="5">
                  <c:v>14.2</c:v>
                </c:pt>
                <c:pt idx="6">
                  <c:v>9.3000000000000007</c:v>
                </c:pt>
                <c:pt idx="7">
                  <c:v>12.8</c:v>
                </c:pt>
              </c:numCache>
            </c:numRef>
          </c:val>
        </c:ser>
        <c:overlap val="-25"/>
        <c:axId val="225558912"/>
        <c:axId val="225560448"/>
      </c:barChart>
      <c:catAx>
        <c:axId val="225558912"/>
        <c:scaling>
          <c:orientation val="minMax"/>
        </c:scaling>
        <c:axPos val="b"/>
        <c:majorGridlines/>
        <c:numFmt formatCode="General" sourceLinked="1"/>
        <c:tickLblPos val="nextTo"/>
        <c:crossAx val="225560448"/>
        <c:crosses val="autoZero"/>
        <c:auto val="1"/>
        <c:lblAlgn val="ctr"/>
        <c:lblOffset val="100"/>
      </c:catAx>
      <c:valAx>
        <c:axId val="225560448"/>
        <c:scaling>
          <c:orientation val="minMax"/>
        </c:scaling>
        <c:axPos val="l"/>
        <c:numFmt formatCode="General" sourceLinked="1"/>
        <c:tickLblPos val="nextTo"/>
        <c:crossAx val="225558912"/>
        <c:crosses val="autoZero"/>
        <c:crossBetween val="between"/>
      </c:valAx>
      <c:spPr>
        <a:noFill/>
        <a:ln w="25423">
          <a:noFill/>
        </a:ln>
      </c:spPr>
    </c:plotArea>
    <c:legend>
      <c:legendPos val="r"/>
      <c:layout>
        <c:manualLayout>
          <c:xMode val="edge"/>
          <c:yMode val="edge"/>
          <c:x val="0.86055282152230961"/>
          <c:y val="0.25757572756235658"/>
          <c:w val="0.12939698162729685"/>
          <c:h val="0.19696990706350387"/>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24143835616438361"/>
          <c:y val="4.5385779122541617E-2"/>
          <c:w val="0.54109589041095907"/>
          <c:h val="0.75794251134644475"/>
        </c:manualLayout>
      </c:layout>
      <c:barChart>
        <c:barDir val="bar"/>
        <c:grouping val="clustered"/>
        <c:ser>
          <c:idx val="0"/>
          <c:order val="0"/>
          <c:tx>
            <c:strRef>
              <c:f>Lapas1!$B$1</c:f>
              <c:strCache>
                <c:ptCount val="1"/>
                <c:pt idx="0">
                  <c:v>Mergaitės</c:v>
                </c:pt>
              </c:strCache>
            </c:strRef>
          </c:tx>
          <c:spPr>
            <a:solidFill>
              <a:srgbClr val="FF0000"/>
            </a:solidFill>
          </c:spPr>
          <c:dLbls>
            <c:spPr>
              <a:noFill/>
              <a:ln w="25403">
                <a:noFill/>
              </a:ln>
            </c:spPr>
            <c:showVal val="1"/>
          </c:dLbls>
          <c:cat>
            <c:strRef>
              <c:f>Lapas1!$A$2:$A$43</c:f>
              <c:strCache>
                <c:ptCount val="42"/>
                <c:pt idx="0">
                  <c:v>Vidurkis</c:v>
                </c:pt>
                <c:pt idx="1">
                  <c:v>Grenlandija*</c:v>
                </c:pt>
                <c:pt idx="2">
                  <c:v>Lietuva*</c:v>
                </c:pt>
                <c:pt idx="3">
                  <c:v>Latvija*</c:v>
                </c:pt>
                <c:pt idx="4">
                  <c:v>Suomija*</c:v>
                </c:pt>
                <c:pt idx="5">
                  <c:v>Islandija*</c:v>
                </c:pt>
                <c:pt idx="6">
                  <c:v>Graikija</c:v>
                </c:pt>
                <c:pt idx="7">
                  <c:v>Estija*</c:v>
                </c:pt>
                <c:pt idx="8">
                  <c:v>Nyderlandai*</c:v>
                </c:pt>
                <c:pt idx="9">
                  <c:v>Austrija*</c:v>
                </c:pt>
                <c:pt idx="10">
                  <c:v>Ispanija</c:v>
                </c:pt>
                <c:pt idx="11">
                  <c:v>Bulgarija</c:v>
                </c:pt>
                <c:pt idx="12">
                  <c:v>Ukraina</c:v>
                </c:pt>
                <c:pt idx="13">
                  <c:v>Prancūzija</c:v>
                </c:pt>
                <c:pt idx="14">
                  <c:v>Vengrija</c:v>
                </c:pt>
                <c:pt idx="15">
                  <c:v>Slovakija*</c:v>
                </c:pt>
                <c:pt idx="16">
                  <c:v>Švedija*</c:v>
                </c:pt>
                <c:pt idx="17">
                  <c:v>Rusijos Federacija</c:v>
                </c:pt>
                <c:pt idx="18">
                  <c:v>Kroatija*</c:v>
                </c:pt>
                <c:pt idx="19">
                  <c:v>Lenkija*</c:v>
                </c:pt>
                <c:pt idx="20">
                  <c:v>Vokietija*</c:v>
                </c:pt>
                <c:pt idx="21">
                  <c:v>Škotija*</c:v>
                </c:pt>
                <c:pt idx="22">
                  <c:v>Velsas*</c:v>
                </c:pt>
                <c:pt idx="23">
                  <c:v>JAV</c:v>
                </c:pt>
                <c:pt idx="24">
                  <c:v>Slovėnija*</c:v>
                </c:pt>
                <c:pt idx="25">
                  <c:v>Čekija*</c:v>
                </c:pt>
                <c:pt idx="26">
                  <c:v>Turkija*</c:v>
                </c:pt>
                <c:pt idx="27">
                  <c:v>Airija*</c:v>
                </c:pt>
                <c:pt idx="28">
                  <c:v>Liuksemburgas*</c:v>
                </c:pt>
                <c:pt idx="29">
                  <c:v>Belgija*</c:v>
                </c:pt>
                <c:pt idx="30">
                  <c:v>Malta</c:v>
                </c:pt>
                <c:pt idx="31">
                  <c:v>Izraelis*</c:v>
                </c:pt>
                <c:pt idx="32">
                  <c:v>Šveicarija*</c:v>
                </c:pt>
                <c:pt idx="33">
                  <c:v>Norvegija*</c:v>
                </c:pt>
                <c:pt idx="34">
                  <c:v>Kanada*</c:v>
                </c:pt>
                <c:pt idx="35">
                  <c:v>Makedonija*</c:v>
                </c:pt>
                <c:pt idx="36">
                  <c:v>Rumunija*</c:v>
                </c:pt>
                <c:pt idx="37">
                  <c:v>Danija*</c:v>
                </c:pt>
                <c:pt idx="38">
                  <c:v>Portugalija</c:v>
                </c:pt>
                <c:pt idx="39">
                  <c:v>Anglija*</c:v>
                </c:pt>
                <c:pt idx="40">
                  <c:v>Belgija</c:v>
                </c:pt>
                <c:pt idx="41">
                  <c:v>Italija*</c:v>
                </c:pt>
              </c:strCache>
            </c:strRef>
          </c:cat>
          <c:val>
            <c:numRef>
              <c:f>Lapas1!$B$2:$B$43</c:f>
              <c:numCache>
                <c:formatCode>General</c:formatCode>
                <c:ptCount val="42"/>
                <c:pt idx="0">
                  <c:v>34</c:v>
                </c:pt>
                <c:pt idx="1">
                  <c:v>10</c:v>
                </c:pt>
                <c:pt idx="2">
                  <c:v>23</c:v>
                </c:pt>
                <c:pt idx="3">
                  <c:v>26</c:v>
                </c:pt>
                <c:pt idx="4">
                  <c:v>28</c:v>
                </c:pt>
                <c:pt idx="5">
                  <c:v>28</c:v>
                </c:pt>
                <c:pt idx="6">
                  <c:v>24</c:v>
                </c:pt>
                <c:pt idx="7">
                  <c:v>30</c:v>
                </c:pt>
                <c:pt idx="8">
                  <c:v>30</c:v>
                </c:pt>
                <c:pt idx="9">
                  <c:v>32</c:v>
                </c:pt>
                <c:pt idx="10">
                  <c:v>27</c:v>
                </c:pt>
                <c:pt idx="11">
                  <c:v>27</c:v>
                </c:pt>
                <c:pt idx="12">
                  <c:v>28</c:v>
                </c:pt>
                <c:pt idx="13">
                  <c:v>29</c:v>
                </c:pt>
                <c:pt idx="14">
                  <c:v>29</c:v>
                </c:pt>
                <c:pt idx="15">
                  <c:v>33</c:v>
                </c:pt>
                <c:pt idx="16">
                  <c:v>34</c:v>
                </c:pt>
                <c:pt idx="17">
                  <c:v>30</c:v>
                </c:pt>
                <c:pt idx="18">
                  <c:v>31</c:v>
                </c:pt>
                <c:pt idx="19">
                  <c:v>34</c:v>
                </c:pt>
                <c:pt idx="20">
                  <c:v>35</c:v>
                </c:pt>
                <c:pt idx="21">
                  <c:v>34</c:v>
                </c:pt>
                <c:pt idx="22">
                  <c:v>36</c:v>
                </c:pt>
                <c:pt idx="23">
                  <c:v>34</c:v>
                </c:pt>
                <c:pt idx="24">
                  <c:v>40</c:v>
                </c:pt>
                <c:pt idx="25">
                  <c:v>41</c:v>
                </c:pt>
                <c:pt idx="26">
                  <c:v>42</c:v>
                </c:pt>
                <c:pt idx="27">
                  <c:v>39</c:v>
                </c:pt>
                <c:pt idx="28">
                  <c:v>41</c:v>
                </c:pt>
                <c:pt idx="29">
                  <c:v>41</c:v>
                </c:pt>
                <c:pt idx="30">
                  <c:v>34</c:v>
                </c:pt>
                <c:pt idx="31">
                  <c:v>37</c:v>
                </c:pt>
                <c:pt idx="32">
                  <c:v>42</c:v>
                </c:pt>
                <c:pt idx="33">
                  <c:v>41</c:v>
                </c:pt>
                <c:pt idx="34">
                  <c:v>41</c:v>
                </c:pt>
                <c:pt idx="35">
                  <c:v>41</c:v>
                </c:pt>
                <c:pt idx="36">
                  <c:v>40</c:v>
                </c:pt>
                <c:pt idx="37">
                  <c:v>46</c:v>
                </c:pt>
                <c:pt idx="38">
                  <c:v>40</c:v>
                </c:pt>
                <c:pt idx="39">
                  <c:v>44</c:v>
                </c:pt>
                <c:pt idx="40">
                  <c:v>44</c:v>
                </c:pt>
                <c:pt idx="41">
                  <c:v>47</c:v>
                </c:pt>
              </c:numCache>
            </c:numRef>
          </c:val>
        </c:ser>
        <c:ser>
          <c:idx val="1"/>
          <c:order val="1"/>
          <c:tx>
            <c:strRef>
              <c:f>Lapas1!$C$1</c:f>
              <c:strCache>
                <c:ptCount val="1"/>
                <c:pt idx="0">
                  <c:v>Berniukai</c:v>
                </c:pt>
              </c:strCache>
            </c:strRef>
          </c:tx>
          <c:spPr>
            <a:solidFill>
              <a:srgbClr val="4F81BD"/>
            </a:solidFill>
          </c:spPr>
          <c:dLbls>
            <c:spPr>
              <a:noFill/>
              <a:ln w="25403">
                <a:noFill/>
              </a:ln>
            </c:spPr>
            <c:showVal val="1"/>
          </c:dLbls>
          <c:cat>
            <c:strRef>
              <c:f>Lapas1!$A$2:$A$43</c:f>
              <c:strCache>
                <c:ptCount val="42"/>
                <c:pt idx="0">
                  <c:v>Vidurkis</c:v>
                </c:pt>
                <c:pt idx="1">
                  <c:v>Grenlandija*</c:v>
                </c:pt>
                <c:pt idx="2">
                  <c:v>Lietuva*</c:v>
                </c:pt>
                <c:pt idx="3">
                  <c:v>Latvija*</c:v>
                </c:pt>
                <c:pt idx="4">
                  <c:v>Suomija*</c:v>
                </c:pt>
                <c:pt idx="5">
                  <c:v>Islandija*</c:v>
                </c:pt>
                <c:pt idx="6">
                  <c:v>Graikija</c:v>
                </c:pt>
                <c:pt idx="7">
                  <c:v>Estija*</c:v>
                </c:pt>
                <c:pt idx="8">
                  <c:v>Nyderlandai*</c:v>
                </c:pt>
                <c:pt idx="9">
                  <c:v>Austrija*</c:v>
                </c:pt>
                <c:pt idx="10">
                  <c:v>Ispanija</c:v>
                </c:pt>
                <c:pt idx="11">
                  <c:v>Bulgarija</c:v>
                </c:pt>
                <c:pt idx="12">
                  <c:v>Ukraina</c:v>
                </c:pt>
                <c:pt idx="13">
                  <c:v>Prancūzija</c:v>
                </c:pt>
                <c:pt idx="14">
                  <c:v>Vengrija</c:v>
                </c:pt>
                <c:pt idx="15">
                  <c:v>Slovakija*</c:v>
                </c:pt>
                <c:pt idx="16">
                  <c:v>Švedija*</c:v>
                </c:pt>
                <c:pt idx="17">
                  <c:v>Rusijos Federacija</c:v>
                </c:pt>
                <c:pt idx="18">
                  <c:v>Kroatija*</c:v>
                </c:pt>
                <c:pt idx="19">
                  <c:v>Lenkija*</c:v>
                </c:pt>
                <c:pt idx="20">
                  <c:v>Vokietija*</c:v>
                </c:pt>
                <c:pt idx="21">
                  <c:v>Škotija*</c:v>
                </c:pt>
                <c:pt idx="22">
                  <c:v>Velsas*</c:v>
                </c:pt>
                <c:pt idx="23">
                  <c:v>JAV</c:v>
                </c:pt>
                <c:pt idx="24">
                  <c:v>Slovėnija*</c:v>
                </c:pt>
                <c:pt idx="25">
                  <c:v>Čekija*</c:v>
                </c:pt>
                <c:pt idx="26">
                  <c:v>Turkija*</c:v>
                </c:pt>
                <c:pt idx="27">
                  <c:v>Airija*</c:v>
                </c:pt>
                <c:pt idx="28">
                  <c:v>Liuksemburgas*</c:v>
                </c:pt>
                <c:pt idx="29">
                  <c:v>Belgija*</c:v>
                </c:pt>
                <c:pt idx="30">
                  <c:v>Malta</c:v>
                </c:pt>
                <c:pt idx="31">
                  <c:v>Izraelis*</c:v>
                </c:pt>
                <c:pt idx="32">
                  <c:v>Šveicarija*</c:v>
                </c:pt>
                <c:pt idx="33">
                  <c:v>Norvegija*</c:v>
                </c:pt>
                <c:pt idx="34">
                  <c:v>Kanada*</c:v>
                </c:pt>
                <c:pt idx="35">
                  <c:v>Makedonija*</c:v>
                </c:pt>
                <c:pt idx="36">
                  <c:v>Rumunija*</c:v>
                </c:pt>
                <c:pt idx="37">
                  <c:v>Danija*</c:v>
                </c:pt>
                <c:pt idx="38">
                  <c:v>Portugalija</c:v>
                </c:pt>
                <c:pt idx="39">
                  <c:v>Anglija*</c:v>
                </c:pt>
                <c:pt idx="40">
                  <c:v>Belgija</c:v>
                </c:pt>
                <c:pt idx="41">
                  <c:v>Italija*</c:v>
                </c:pt>
              </c:strCache>
            </c:strRef>
          </c:cat>
          <c:val>
            <c:numRef>
              <c:f>Lapas1!$C$2:$C$43</c:f>
              <c:numCache>
                <c:formatCode>General</c:formatCode>
                <c:ptCount val="42"/>
                <c:pt idx="0">
                  <c:v>25</c:v>
                </c:pt>
                <c:pt idx="1">
                  <c:v>12</c:v>
                </c:pt>
                <c:pt idx="2">
                  <c:v>15</c:v>
                </c:pt>
                <c:pt idx="3">
                  <c:v>15</c:v>
                </c:pt>
                <c:pt idx="4">
                  <c:v>14</c:v>
                </c:pt>
                <c:pt idx="5">
                  <c:v>18</c:v>
                </c:pt>
                <c:pt idx="6">
                  <c:v>24</c:v>
                </c:pt>
                <c:pt idx="7">
                  <c:v>18</c:v>
                </c:pt>
                <c:pt idx="8">
                  <c:v>20</c:v>
                </c:pt>
                <c:pt idx="9">
                  <c:v>18</c:v>
                </c:pt>
                <c:pt idx="10">
                  <c:v>24</c:v>
                </c:pt>
                <c:pt idx="11">
                  <c:v>25</c:v>
                </c:pt>
                <c:pt idx="12">
                  <c:v>24</c:v>
                </c:pt>
                <c:pt idx="13">
                  <c:v>24</c:v>
                </c:pt>
                <c:pt idx="14">
                  <c:v>23</c:v>
                </c:pt>
                <c:pt idx="15">
                  <c:v>22</c:v>
                </c:pt>
                <c:pt idx="16">
                  <c:v>22</c:v>
                </c:pt>
                <c:pt idx="17">
                  <c:v>27</c:v>
                </c:pt>
                <c:pt idx="18">
                  <c:v>26</c:v>
                </c:pt>
                <c:pt idx="19">
                  <c:v>24</c:v>
                </c:pt>
                <c:pt idx="20">
                  <c:v>23</c:v>
                </c:pt>
                <c:pt idx="21">
                  <c:v>29</c:v>
                </c:pt>
                <c:pt idx="22">
                  <c:v>29</c:v>
                </c:pt>
                <c:pt idx="23">
                  <c:v>32</c:v>
                </c:pt>
                <c:pt idx="24">
                  <c:v>26</c:v>
                </c:pt>
                <c:pt idx="25">
                  <c:v>25</c:v>
                </c:pt>
                <c:pt idx="26">
                  <c:v>26</c:v>
                </c:pt>
                <c:pt idx="27">
                  <c:v>29</c:v>
                </c:pt>
                <c:pt idx="28">
                  <c:v>27</c:v>
                </c:pt>
                <c:pt idx="29">
                  <c:v>28</c:v>
                </c:pt>
                <c:pt idx="30">
                  <c:v>35</c:v>
                </c:pt>
                <c:pt idx="31">
                  <c:v>31</c:v>
                </c:pt>
                <c:pt idx="32">
                  <c:v>28</c:v>
                </c:pt>
                <c:pt idx="33">
                  <c:v>32</c:v>
                </c:pt>
                <c:pt idx="34">
                  <c:v>31</c:v>
                </c:pt>
                <c:pt idx="35">
                  <c:v>32</c:v>
                </c:pt>
                <c:pt idx="36">
                  <c:v>30</c:v>
                </c:pt>
                <c:pt idx="37">
                  <c:v>29</c:v>
                </c:pt>
                <c:pt idx="38">
                  <c:v>36</c:v>
                </c:pt>
                <c:pt idx="39">
                  <c:v>33</c:v>
                </c:pt>
                <c:pt idx="40">
                  <c:v>40</c:v>
                </c:pt>
                <c:pt idx="41">
                  <c:v>37</c:v>
                </c:pt>
              </c:numCache>
            </c:numRef>
          </c:val>
        </c:ser>
        <c:overlap val="-25"/>
        <c:axId val="213970944"/>
        <c:axId val="213972480"/>
      </c:barChart>
      <c:catAx>
        <c:axId val="213970944"/>
        <c:scaling>
          <c:orientation val="minMax"/>
        </c:scaling>
        <c:axPos val="l"/>
        <c:majorGridlines/>
        <c:numFmt formatCode="General" sourceLinked="1"/>
        <c:tickLblPos val="nextTo"/>
        <c:crossAx val="213972480"/>
        <c:crosses val="autoZero"/>
        <c:auto val="1"/>
        <c:lblAlgn val="ctr"/>
        <c:lblOffset val="100"/>
      </c:catAx>
      <c:valAx>
        <c:axId val="213972480"/>
        <c:scaling>
          <c:orientation val="minMax"/>
        </c:scaling>
        <c:axPos val="b"/>
        <c:numFmt formatCode="General" sourceLinked="1"/>
        <c:tickLblPos val="nextTo"/>
        <c:crossAx val="213970944"/>
        <c:crosses val="autoZero"/>
        <c:crossBetween val="between"/>
      </c:valAx>
    </c:plotArea>
    <c:legend>
      <c:legendPos val="r"/>
      <c:layout>
        <c:manualLayout>
          <c:xMode val="edge"/>
          <c:yMode val="edge"/>
          <c:x val="0.84022040053212543"/>
          <c:y val="0.28140709508085687"/>
          <c:w val="0.13498615755222365"/>
          <c:h val="0.32537681822030312"/>
        </c:manualLayout>
      </c:layout>
    </c:legend>
    <c:plotVisOnly val="1"/>
    <c:dispBlanksAs val="gap"/>
  </c:chart>
  <c:txPr>
    <a:bodyPr/>
    <a:lstStyle/>
    <a:p>
      <a:pPr>
        <a:defRPr b="1"/>
      </a:pPr>
      <a:endParaRPr lang="lt-LT"/>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3321917808219178"/>
          <c:y val="4.3887147335423198E-2"/>
          <c:w val="0.45034246575342474"/>
          <c:h val="0.81661442006269591"/>
        </c:manualLayout>
      </c:layout>
      <c:barChart>
        <c:barDir val="bar"/>
        <c:grouping val="clustered"/>
        <c:ser>
          <c:idx val="0"/>
          <c:order val="0"/>
          <c:tx>
            <c:strRef>
              <c:f>Lapas1!$B$1</c:f>
              <c:strCache>
                <c:ptCount val="1"/>
                <c:pt idx="0">
                  <c:v>Mergaitės</c:v>
                </c:pt>
              </c:strCache>
            </c:strRef>
          </c:tx>
          <c:spPr>
            <a:solidFill>
              <a:srgbClr val="FF0000"/>
            </a:solidFill>
          </c:spPr>
          <c:dLbls>
            <c:spPr>
              <a:noFill/>
              <a:ln w="19025">
                <a:noFill/>
              </a:ln>
            </c:spPr>
            <c:showVal val="1"/>
          </c:dLbls>
          <c:cat>
            <c:strRef>
              <c:f>Lapas1!$A$2:$A$43</c:f>
              <c:strCache>
                <c:ptCount val="42"/>
                <c:pt idx="0">
                  <c:v>Vidurkis</c:v>
                </c:pt>
                <c:pt idx="1">
                  <c:v>Malta</c:v>
                </c:pt>
                <c:pt idx="2">
                  <c:v>Turkija*</c:v>
                </c:pt>
                <c:pt idx="3">
                  <c:v>Lietuva*</c:v>
                </c:pt>
                <c:pt idx="4">
                  <c:v>Graikija*</c:v>
                </c:pt>
                <c:pt idx="5">
                  <c:v>Rumunija*</c:v>
                </c:pt>
                <c:pt idx="6">
                  <c:v>Suomija*</c:v>
                </c:pt>
                <c:pt idx="7">
                  <c:v>Grenlandija*</c:v>
                </c:pt>
                <c:pt idx="8">
                  <c:v>Latvija*</c:v>
                </c:pt>
                <c:pt idx="9">
                  <c:v>Belgija*</c:v>
                </c:pt>
                <c:pt idx="10">
                  <c:v>Ukraina</c:v>
                </c:pt>
                <c:pt idx="11">
                  <c:v>Slovakija</c:v>
                </c:pt>
                <c:pt idx="12">
                  <c:v>Portugalija*</c:v>
                </c:pt>
                <c:pt idx="13">
                  <c:v>Vengrija*</c:v>
                </c:pt>
                <c:pt idx="14">
                  <c:v>Rusijos Federacija*</c:v>
                </c:pt>
                <c:pt idx="15">
                  <c:v>Kroatija*</c:v>
                </c:pt>
                <c:pt idx="16">
                  <c:v>Belgija (Prancūzų)*</c:v>
                </c:pt>
                <c:pt idx="17">
                  <c:v>Ispanija*</c:v>
                </c:pt>
                <c:pt idx="18">
                  <c:v>Lenkija*</c:v>
                </c:pt>
                <c:pt idx="19">
                  <c:v>Estija*</c:v>
                </c:pt>
                <c:pt idx="20">
                  <c:v>Airija*</c:v>
                </c:pt>
                <c:pt idx="21">
                  <c:v>Slovėnija*</c:v>
                </c:pt>
                <c:pt idx="22">
                  <c:v>Makedonija*</c:v>
                </c:pt>
                <c:pt idx="23">
                  <c:v>Prancūzija*</c:v>
                </c:pt>
                <c:pt idx="24">
                  <c:v>Islandija*</c:v>
                </c:pt>
                <c:pt idx="25">
                  <c:v>Bulgarija*</c:v>
                </c:pt>
                <c:pt idx="26">
                  <c:v>Izraelis*</c:v>
                </c:pt>
                <c:pt idx="27">
                  <c:v>JAV*</c:v>
                </c:pt>
                <c:pt idx="28">
                  <c:v>Italija*</c:v>
                </c:pt>
                <c:pt idx="29">
                  <c:v>Velsas*</c:v>
                </c:pt>
                <c:pt idx="30">
                  <c:v>Kanada*</c:v>
                </c:pt>
                <c:pt idx="31">
                  <c:v>Liuksemburgas*</c:v>
                </c:pt>
                <c:pt idx="32">
                  <c:v>Škotija*</c:v>
                </c:pt>
                <c:pt idx="33">
                  <c:v>Čekija*</c:v>
                </c:pt>
                <c:pt idx="34">
                  <c:v>Anglija*</c:v>
                </c:pt>
                <c:pt idx="35">
                  <c:v>Austrija*</c:v>
                </c:pt>
                <c:pt idx="36">
                  <c:v>Norvegija*</c:v>
                </c:pt>
                <c:pt idx="37">
                  <c:v>Danija*</c:v>
                </c:pt>
                <c:pt idx="38">
                  <c:v>Vokietija*</c:v>
                </c:pt>
                <c:pt idx="39">
                  <c:v>Nyderlandai*</c:v>
                </c:pt>
                <c:pt idx="40">
                  <c:v>Švedija*</c:v>
                </c:pt>
                <c:pt idx="41">
                  <c:v>Šveicarija*</c:v>
                </c:pt>
              </c:strCache>
            </c:strRef>
          </c:cat>
          <c:val>
            <c:numRef>
              <c:f>Lapas1!$B$2:$B$43</c:f>
              <c:numCache>
                <c:formatCode>General</c:formatCode>
                <c:ptCount val="42"/>
                <c:pt idx="0">
                  <c:v>67</c:v>
                </c:pt>
                <c:pt idx="1">
                  <c:v>36</c:v>
                </c:pt>
                <c:pt idx="2">
                  <c:v>42</c:v>
                </c:pt>
                <c:pt idx="3">
                  <c:v>47</c:v>
                </c:pt>
                <c:pt idx="4">
                  <c:v>49</c:v>
                </c:pt>
                <c:pt idx="5">
                  <c:v>53</c:v>
                </c:pt>
                <c:pt idx="6">
                  <c:v>55</c:v>
                </c:pt>
                <c:pt idx="7">
                  <c:v>57</c:v>
                </c:pt>
                <c:pt idx="8">
                  <c:v>58</c:v>
                </c:pt>
                <c:pt idx="9">
                  <c:v>57</c:v>
                </c:pt>
                <c:pt idx="10">
                  <c:v>52</c:v>
                </c:pt>
                <c:pt idx="11">
                  <c:v>53</c:v>
                </c:pt>
                <c:pt idx="12">
                  <c:v>63</c:v>
                </c:pt>
                <c:pt idx="13">
                  <c:v>60</c:v>
                </c:pt>
                <c:pt idx="14">
                  <c:v>62</c:v>
                </c:pt>
                <c:pt idx="15">
                  <c:v>63</c:v>
                </c:pt>
                <c:pt idx="16">
                  <c:v>62</c:v>
                </c:pt>
                <c:pt idx="17">
                  <c:v>64</c:v>
                </c:pt>
                <c:pt idx="18">
                  <c:v>69</c:v>
                </c:pt>
                <c:pt idx="19">
                  <c:v>69</c:v>
                </c:pt>
                <c:pt idx="20">
                  <c:v>68</c:v>
                </c:pt>
                <c:pt idx="21">
                  <c:v>69</c:v>
                </c:pt>
                <c:pt idx="22">
                  <c:v>69</c:v>
                </c:pt>
                <c:pt idx="23">
                  <c:v>68</c:v>
                </c:pt>
                <c:pt idx="24">
                  <c:v>73</c:v>
                </c:pt>
                <c:pt idx="25">
                  <c:v>71</c:v>
                </c:pt>
                <c:pt idx="26">
                  <c:v>69</c:v>
                </c:pt>
                <c:pt idx="27">
                  <c:v>73</c:v>
                </c:pt>
                <c:pt idx="28">
                  <c:v>74</c:v>
                </c:pt>
                <c:pt idx="29">
                  <c:v>76</c:v>
                </c:pt>
                <c:pt idx="30">
                  <c:v>73</c:v>
                </c:pt>
                <c:pt idx="31">
                  <c:v>75</c:v>
                </c:pt>
                <c:pt idx="32">
                  <c:v>79</c:v>
                </c:pt>
                <c:pt idx="33">
                  <c:v>80</c:v>
                </c:pt>
                <c:pt idx="34">
                  <c:v>80</c:v>
                </c:pt>
                <c:pt idx="35">
                  <c:v>77</c:v>
                </c:pt>
                <c:pt idx="36">
                  <c:v>81</c:v>
                </c:pt>
                <c:pt idx="37">
                  <c:v>80</c:v>
                </c:pt>
                <c:pt idx="38">
                  <c:v>82</c:v>
                </c:pt>
                <c:pt idx="39">
                  <c:v>82</c:v>
                </c:pt>
                <c:pt idx="40">
                  <c:v>86</c:v>
                </c:pt>
                <c:pt idx="41">
                  <c:v>89</c:v>
                </c:pt>
              </c:numCache>
            </c:numRef>
          </c:val>
        </c:ser>
        <c:ser>
          <c:idx val="1"/>
          <c:order val="1"/>
          <c:tx>
            <c:strRef>
              <c:f>Lapas1!$C$1</c:f>
              <c:strCache>
                <c:ptCount val="1"/>
                <c:pt idx="0">
                  <c:v>Berniukai</c:v>
                </c:pt>
              </c:strCache>
            </c:strRef>
          </c:tx>
          <c:spPr>
            <a:solidFill>
              <a:srgbClr val="4F81BD"/>
            </a:solidFill>
          </c:spPr>
          <c:dLbls>
            <c:spPr>
              <a:noFill/>
              <a:ln w="19025">
                <a:noFill/>
              </a:ln>
            </c:spPr>
            <c:showVal val="1"/>
          </c:dLbls>
          <c:cat>
            <c:strRef>
              <c:f>Lapas1!$A$2:$A$43</c:f>
              <c:strCache>
                <c:ptCount val="42"/>
                <c:pt idx="0">
                  <c:v>Vidurkis</c:v>
                </c:pt>
                <c:pt idx="1">
                  <c:v>Malta</c:v>
                </c:pt>
                <c:pt idx="2">
                  <c:v>Turkija*</c:v>
                </c:pt>
                <c:pt idx="3">
                  <c:v>Lietuva*</c:v>
                </c:pt>
                <c:pt idx="4">
                  <c:v>Graikija*</c:v>
                </c:pt>
                <c:pt idx="5">
                  <c:v>Rumunija*</c:v>
                </c:pt>
                <c:pt idx="6">
                  <c:v>Suomija*</c:v>
                </c:pt>
                <c:pt idx="7">
                  <c:v>Grenlandija*</c:v>
                </c:pt>
                <c:pt idx="8">
                  <c:v>Latvija*</c:v>
                </c:pt>
                <c:pt idx="9">
                  <c:v>Belgija*</c:v>
                </c:pt>
                <c:pt idx="10">
                  <c:v>Ukraina</c:v>
                </c:pt>
                <c:pt idx="11">
                  <c:v>Slovakija</c:v>
                </c:pt>
                <c:pt idx="12">
                  <c:v>Portugalija*</c:v>
                </c:pt>
                <c:pt idx="13">
                  <c:v>Vengrija*</c:v>
                </c:pt>
                <c:pt idx="14">
                  <c:v>Rusijos Federacija*</c:v>
                </c:pt>
                <c:pt idx="15">
                  <c:v>Kroatija*</c:v>
                </c:pt>
                <c:pt idx="16">
                  <c:v>Belgija (Prancūzų)*</c:v>
                </c:pt>
                <c:pt idx="17">
                  <c:v>Ispanija*</c:v>
                </c:pt>
                <c:pt idx="18">
                  <c:v>Lenkija*</c:v>
                </c:pt>
                <c:pt idx="19">
                  <c:v>Estija*</c:v>
                </c:pt>
                <c:pt idx="20">
                  <c:v>Airija*</c:v>
                </c:pt>
                <c:pt idx="21">
                  <c:v>Slovėnija*</c:v>
                </c:pt>
                <c:pt idx="22">
                  <c:v>Makedonija*</c:v>
                </c:pt>
                <c:pt idx="23">
                  <c:v>Prancūzija*</c:v>
                </c:pt>
                <c:pt idx="24">
                  <c:v>Islandija*</c:v>
                </c:pt>
                <c:pt idx="25">
                  <c:v>Bulgarija*</c:v>
                </c:pt>
                <c:pt idx="26">
                  <c:v>Izraelis*</c:v>
                </c:pt>
                <c:pt idx="27">
                  <c:v>JAV*</c:v>
                </c:pt>
                <c:pt idx="28">
                  <c:v>Italija*</c:v>
                </c:pt>
                <c:pt idx="29">
                  <c:v>Velsas*</c:v>
                </c:pt>
                <c:pt idx="30">
                  <c:v>Kanada*</c:v>
                </c:pt>
                <c:pt idx="31">
                  <c:v>Liuksemburgas*</c:v>
                </c:pt>
                <c:pt idx="32">
                  <c:v>Škotija*</c:v>
                </c:pt>
                <c:pt idx="33">
                  <c:v>Čekija*</c:v>
                </c:pt>
                <c:pt idx="34">
                  <c:v>Anglija*</c:v>
                </c:pt>
                <c:pt idx="35">
                  <c:v>Austrija*</c:v>
                </c:pt>
                <c:pt idx="36">
                  <c:v>Norvegija*</c:v>
                </c:pt>
                <c:pt idx="37">
                  <c:v>Danija*</c:v>
                </c:pt>
                <c:pt idx="38">
                  <c:v>Vokietija*</c:v>
                </c:pt>
                <c:pt idx="39">
                  <c:v>Nyderlandai*</c:v>
                </c:pt>
                <c:pt idx="40">
                  <c:v>Švedija*</c:v>
                </c:pt>
                <c:pt idx="41">
                  <c:v>Šveicarija*</c:v>
                </c:pt>
              </c:strCache>
            </c:strRef>
          </c:cat>
          <c:val>
            <c:numRef>
              <c:f>Lapas1!$C$2:$C$43</c:f>
              <c:numCache>
                <c:formatCode>General</c:formatCode>
                <c:ptCount val="42"/>
                <c:pt idx="0">
                  <c:v>56</c:v>
                </c:pt>
                <c:pt idx="1">
                  <c:v>36</c:v>
                </c:pt>
                <c:pt idx="2">
                  <c:v>33</c:v>
                </c:pt>
                <c:pt idx="3">
                  <c:v>33</c:v>
                </c:pt>
                <c:pt idx="4">
                  <c:v>39</c:v>
                </c:pt>
                <c:pt idx="5">
                  <c:v>37</c:v>
                </c:pt>
                <c:pt idx="6">
                  <c:v>37</c:v>
                </c:pt>
                <c:pt idx="7">
                  <c:v>40</c:v>
                </c:pt>
                <c:pt idx="8">
                  <c:v>42</c:v>
                </c:pt>
                <c:pt idx="9">
                  <c:v>45</c:v>
                </c:pt>
                <c:pt idx="10">
                  <c:v>50</c:v>
                </c:pt>
                <c:pt idx="11">
                  <c:v>49</c:v>
                </c:pt>
                <c:pt idx="12">
                  <c:v>47</c:v>
                </c:pt>
                <c:pt idx="13">
                  <c:v>49</c:v>
                </c:pt>
                <c:pt idx="14">
                  <c:v>51</c:v>
                </c:pt>
                <c:pt idx="15">
                  <c:v>50</c:v>
                </c:pt>
                <c:pt idx="16">
                  <c:v>52</c:v>
                </c:pt>
                <c:pt idx="17">
                  <c:v>52</c:v>
                </c:pt>
                <c:pt idx="18">
                  <c:v>50</c:v>
                </c:pt>
                <c:pt idx="19">
                  <c:v>55</c:v>
                </c:pt>
                <c:pt idx="20">
                  <c:v>55</c:v>
                </c:pt>
                <c:pt idx="21">
                  <c:v>56</c:v>
                </c:pt>
                <c:pt idx="22">
                  <c:v>56</c:v>
                </c:pt>
                <c:pt idx="23">
                  <c:v>58</c:v>
                </c:pt>
                <c:pt idx="24">
                  <c:v>55</c:v>
                </c:pt>
                <c:pt idx="25">
                  <c:v>58</c:v>
                </c:pt>
                <c:pt idx="26">
                  <c:v>58</c:v>
                </c:pt>
                <c:pt idx="27">
                  <c:v>61</c:v>
                </c:pt>
                <c:pt idx="28">
                  <c:v>62</c:v>
                </c:pt>
                <c:pt idx="29">
                  <c:v>61</c:v>
                </c:pt>
                <c:pt idx="30">
                  <c:v>64</c:v>
                </c:pt>
                <c:pt idx="31">
                  <c:v>68</c:v>
                </c:pt>
                <c:pt idx="32">
                  <c:v>64</c:v>
                </c:pt>
                <c:pt idx="33">
                  <c:v>65</c:v>
                </c:pt>
                <c:pt idx="34">
                  <c:v>67</c:v>
                </c:pt>
                <c:pt idx="35">
                  <c:v>71</c:v>
                </c:pt>
                <c:pt idx="36">
                  <c:v>73</c:v>
                </c:pt>
                <c:pt idx="37">
                  <c:v>76</c:v>
                </c:pt>
                <c:pt idx="38">
                  <c:v>75</c:v>
                </c:pt>
                <c:pt idx="39">
                  <c:v>78</c:v>
                </c:pt>
                <c:pt idx="40">
                  <c:v>81</c:v>
                </c:pt>
                <c:pt idx="41">
                  <c:v>83</c:v>
                </c:pt>
              </c:numCache>
            </c:numRef>
          </c:val>
        </c:ser>
        <c:overlap val="-25"/>
        <c:axId val="213918464"/>
        <c:axId val="213920000"/>
      </c:barChart>
      <c:catAx>
        <c:axId val="213918464"/>
        <c:scaling>
          <c:orientation val="minMax"/>
        </c:scaling>
        <c:axPos val="l"/>
        <c:majorGridlines/>
        <c:numFmt formatCode="General" sourceLinked="1"/>
        <c:tickLblPos val="nextTo"/>
        <c:crossAx val="213920000"/>
        <c:crosses val="autoZero"/>
        <c:auto val="1"/>
        <c:lblAlgn val="ctr"/>
        <c:lblOffset val="100"/>
      </c:catAx>
      <c:valAx>
        <c:axId val="213920000"/>
        <c:scaling>
          <c:orientation val="minMax"/>
        </c:scaling>
        <c:axPos val="b"/>
        <c:numFmt formatCode="General" sourceLinked="1"/>
        <c:tickLblPos val="nextTo"/>
        <c:crossAx val="213918464"/>
        <c:crosses val="autoZero"/>
        <c:crossBetween val="between"/>
      </c:valAx>
    </c:plotArea>
    <c:legend>
      <c:legendPos val="r"/>
      <c:layout>
        <c:manualLayout>
          <c:xMode val="edge"/>
          <c:yMode val="edge"/>
          <c:x val="0.8510273972602741"/>
          <c:y val="0.23667711598746086"/>
          <c:w val="0.13527397260273971"/>
          <c:h val="0.28996865203761762"/>
        </c:manualLayout>
      </c:layout>
    </c:legend>
    <c:plotVisOnly val="1"/>
    <c:dispBlanksAs val="gap"/>
  </c:chart>
  <c:txPr>
    <a:bodyPr/>
    <a:lstStyle/>
    <a:p>
      <a:pPr>
        <a:defRPr b="1"/>
      </a:pPr>
      <a:endParaRPr lang="lt-LT"/>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3402777777777779"/>
          <c:y val="4.3887147335423198E-2"/>
          <c:w val="0.4392361111111111"/>
          <c:h val="0.81347962382445149"/>
        </c:manualLayout>
      </c:layout>
      <c:barChart>
        <c:barDir val="bar"/>
        <c:grouping val="clustered"/>
        <c:ser>
          <c:idx val="0"/>
          <c:order val="0"/>
          <c:tx>
            <c:strRef>
              <c:f>Lapas1!$B$1</c:f>
              <c:strCache>
                <c:ptCount val="1"/>
                <c:pt idx="0">
                  <c:v>Mergaitės</c:v>
                </c:pt>
              </c:strCache>
            </c:strRef>
          </c:tx>
          <c:spPr>
            <a:solidFill>
              <a:srgbClr val="FF0000"/>
            </a:solidFill>
          </c:spPr>
          <c:dLbls>
            <c:spPr>
              <a:noFill/>
              <a:ln w="18855">
                <a:noFill/>
              </a:ln>
            </c:spPr>
            <c:showVal val="1"/>
          </c:dLbls>
          <c:cat>
            <c:strRef>
              <c:f>Lapas1!$A$2:$A$43</c:f>
              <c:strCache>
                <c:ptCount val="42"/>
                <c:pt idx="0">
                  <c:v>Vidurkis</c:v>
                </c:pt>
                <c:pt idx="1">
                  <c:v>Turkija*</c:v>
                </c:pt>
                <c:pt idx="2">
                  <c:v>Malta*</c:v>
                </c:pt>
                <c:pt idx="3">
                  <c:v>Lietuva*</c:v>
                </c:pt>
                <c:pt idx="4">
                  <c:v>Graikija*</c:v>
                </c:pt>
                <c:pt idx="5">
                  <c:v>Suomija*</c:v>
                </c:pt>
                <c:pt idx="6">
                  <c:v>Rumunija*</c:v>
                </c:pt>
                <c:pt idx="7">
                  <c:v>Grenlandija*</c:v>
                </c:pt>
                <c:pt idx="8">
                  <c:v>Latvija*</c:v>
                </c:pt>
                <c:pt idx="9">
                  <c:v>Ukraina*</c:v>
                </c:pt>
                <c:pt idx="10">
                  <c:v>Kroatija*</c:v>
                </c:pt>
                <c:pt idx="11">
                  <c:v>Belgija (flamangai)*</c:v>
                </c:pt>
                <c:pt idx="12">
                  <c:v>Airija*</c:v>
                </c:pt>
                <c:pt idx="13">
                  <c:v>Ispanija*</c:v>
                </c:pt>
                <c:pt idx="14">
                  <c:v>Slovėnija*</c:v>
                </c:pt>
                <c:pt idx="15">
                  <c:v>Slovakija*</c:v>
                </c:pt>
                <c:pt idx="16">
                  <c:v>Makedonija*</c:v>
                </c:pt>
                <c:pt idx="17">
                  <c:v>Vengrija*</c:v>
                </c:pt>
                <c:pt idx="18">
                  <c:v>Rusijos Federacija*</c:v>
                </c:pt>
                <c:pt idx="19">
                  <c:v>Estija*</c:v>
                </c:pt>
                <c:pt idx="20">
                  <c:v>Islandija*</c:v>
                </c:pt>
                <c:pt idx="21">
                  <c:v>Portugalija*</c:v>
                </c:pt>
                <c:pt idx="22">
                  <c:v>Belgija (prancūzai)*</c:v>
                </c:pt>
                <c:pt idx="23">
                  <c:v>Izraelis*</c:v>
                </c:pt>
                <c:pt idx="24">
                  <c:v>Lenkija*</c:v>
                </c:pt>
                <c:pt idx="25">
                  <c:v>Liuksemburgas*</c:v>
                </c:pt>
                <c:pt idx="26">
                  <c:v>Kanada*</c:v>
                </c:pt>
                <c:pt idx="27">
                  <c:v>JAV*</c:v>
                </c:pt>
                <c:pt idx="28">
                  <c:v>Bulgarija*</c:v>
                </c:pt>
                <c:pt idx="29">
                  <c:v>Velsas*</c:v>
                </c:pt>
                <c:pt idx="30">
                  <c:v>Prancūzija*</c:v>
                </c:pt>
                <c:pt idx="31">
                  <c:v>Čekija*</c:v>
                </c:pt>
                <c:pt idx="32">
                  <c:v>Škotija*</c:v>
                </c:pt>
                <c:pt idx="33">
                  <c:v>Austrija*</c:v>
                </c:pt>
                <c:pt idx="34">
                  <c:v>Italija*</c:v>
                </c:pt>
                <c:pt idx="35">
                  <c:v>Anglija*</c:v>
                </c:pt>
                <c:pt idx="36">
                  <c:v>Norvegija*</c:v>
                </c:pt>
                <c:pt idx="37">
                  <c:v>Vokietija*</c:v>
                </c:pt>
                <c:pt idx="38">
                  <c:v>Danija*</c:v>
                </c:pt>
                <c:pt idx="39">
                  <c:v>Nyderlandai*</c:v>
                </c:pt>
                <c:pt idx="40">
                  <c:v>Švedija*</c:v>
                </c:pt>
                <c:pt idx="41">
                  <c:v>Šveicarija*</c:v>
                </c:pt>
              </c:strCache>
            </c:strRef>
          </c:cat>
          <c:val>
            <c:numRef>
              <c:f>Lapas1!$B$2:$B$43</c:f>
              <c:numCache>
                <c:formatCode>General</c:formatCode>
                <c:ptCount val="42"/>
                <c:pt idx="0">
                  <c:v>69</c:v>
                </c:pt>
                <c:pt idx="1">
                  <c:v>37</c:v>
                </c:pt>
                <c:pt idx="2">
                  <c:v>38</c:v>
                </c:pt>
                <c:pt idx="3">
                  <c:v>52</c:v>
                </c:pt>
                <c:pt idx="4">
                  <c:v>51</c:v>
                </c:pt>
                <c:pt idx="5">
                  <c:v>53</c:v>
                </c:pt>
                <c:pt idx="6">
                  <c:v>54</c:v>
                </c:pt>
                <c:pt idx="7">
                  <c:v>56</c:v>
                </c:pt>
                <c:pt idx="8">
                  <c:v>62</c:v>
                </c:pt>
                <c:pt idx="9">
                  <c:v>57</c:v>
                </c:pt>
                <c:pt idx="10">
                  <c:v>67</c:v>
                </c:pt>
                <c:pt idx="11">
                  <c:v>61</c:v>
                </c:pt>
                <c:pt idx="12">
                  <c:v>66</c:v>
                </c:pt>
                <c:pt idx="13">
                  <c:v>66</c:v>
                </c:pt>
                <c:pt idx="14">
                  <c:v>65</c:v>
                </c:pt>
                <c:pt idx="15">
                  <c:v>65</c:v>
                </c:pt>
                <c:pt idx="16">
                  <c:v>67</c:v>
                </c:pt>
                <c:pt idx="17">
                  <c:v>65</c:v>
                </c:pt>
                <c:pt idx="18">
                  <c:v>69</c:v>
                </c:pt>
                <c:pt idx="19">
                  <c:v>70</c:v>
                </c:pt>
                <c:pt idx="20">
                  <c:v>69</c:v>
                </c:pt>
                <c:pt idx="21">
                  <c:v>72</c:v>
                </c:pt>
                <c:pt idx="22">
                  <c:v>69</c:v>
                </c:pt>
                <c:pt idx="23">
                  <c:v>67</c:v>
                </c:pt>
                <c:pt idx="24">
                  <c:v>75</c:v>
                </c:pt>
                <c:pt idx="25">
                  <c:v>71</c:v>
                </c:pt>
                <c:pt idx="26">
                  <c:v>76</c:v>
                </c:pt>
                <c:pt idx="27">
                  <c:v>75</c:v>
                </c:pt>
                <c:pt idx="28">
                  <c:v>79</c:v>
                </c:pt>
                <c:pt idx="29">
                  <c:v>78</c:v>
                </c:pt>
                <c:pt idx="30">
                  <c:v>78</c:v>
                </c:pt>
                <c:pt idx="31">
                  <c:v>78</c:v>
                </c:pt>
                <c:pt idx="32">
                  <c:v>78</c:v>
                </c:pt>
                <c:pt idx="33">
                  <c:v>78</c:v>
                </c:pt>
                <c:pt idx="34">
                  <c:v>80</c:v>
                </c:pt>
                <c:pt idx="35">
                  <c:v>80</c:v>
                </c:pt>
                <c:pt idx="36">
                  <c:v>80</c:v>
                </c:pt>
                <c:pt idx="37">
                  <c:v>82</c:v>
                </c:pt>
                <c:pt idx="38">
                  <c:v>82</c:v>
                </c:pt>
                <c:pt idx="39">
                  <c:v>84</c:v>
                </c:pt>
                <c:pt idx="40">
                  <c:v>85</c:v>
                </c:pt>
                <c:pt idx="41">
                  <c:v>90</c:v>
                </c:pt>
              </c:numCache>
            </c:numRef>
          </c:val>
        </c:ser>
        <c:ser>
          <c:idx val="1"/>
          <c:order val="1"/>
          <c:tx>
            <c:strRef>
              <c:f>Lapas1!$C$1</c:f>
              <c:strCache>
                <c:ptCount val="1"/>
                <c:pt idx="0">
                  <c:v>Berniukai</c:v>
                </c:pt>
              </c:strCache>
            </c:strRef>
          </c:tx>
          <c:spPr>
            <a:solidFill>
              <a:srgbClr val="4F81BD"/>
            </a:solidFill>
          </c:spPr>
          <c:dLbls>
            <c:spPr>
              <a:noFill/>
              <a:ln w="18855">
                <a:noFill/>
              </a:ln>
            </c:spPr>
            <c:showVal val="1"/>
          </c:dLbls>
          <c:cat>
            <c:strRef>
              <c:f>Lapas1!$A$2:$A$43</c:f>
              <c:strCache>
                <c:ptCount val="42"/>
                <c:pt idx="0">
                  <c:v>Vidurkis</c:v>
                </c:pt>
                <c:pt idx="1">
                  <c:v>Turkija*</c:v>
                </c:pt>
                <c:pt idx="2">
                  <c:v>Malta*</c:v>
                </c:pt>
                <c:pt idx="3">
                  <c:v>Lietuva*</c:v>
                </c:pt>
                <c:pt idx="4">
                  <c:v>Graikija*</c:v>
                </c:pt>
                <c:pt idx="5">
                  <c:v>Suomija*</c:v>
                </c:pt>
                <c:pt idx="6">
                  <c:v>Rumunija*</c:v>
                </c:pt>
                <c:pt idx="7">
                  <c:v>Grenlandija*</c:v>
                </c:pt>
                <c:pt idx="8">
                  <c:v>Latvija*</c:v>
                </c:pt>
                <c:pt idx="9">
                  <c:v>Ukraina*</c:v>
                </c:pt>
                <c:pt idx="10">
                  <c:v>Kroatija*</c:v>
                </c:pt>
                <c:pt idx="11">
                  <c:v>Belgija (flamangai)*</c:v>
                </c:pt>
                <c:pt idx="12">
                  <c:v>Airija*</c:v>
                </c:pt>
                <c:pt idx="13">
                  <c:v>Ispanija*</c:v>
                </c:pt>
                <c:pt idx="14">
                  <c:v>Slovėnija*</c:v>
                </c:pt>
                <c:pt idx="15">
                  <c:v>Slovakija*</c:v>
                </c:pt>
                <c:pt idx="16">
                  <c:v>Makedonija*</c:v>
                </c:pt>
                <c:pt idx="17">
                  <c:v>Vengrija*</c:v>
                </c:pt>
                <c:pt idx="18">
                  <c:v>Rusijos Federacija*</c:v>
                </c:pt>
                <c:pt idx="19">
                  <c:v>Estija*</c:v>
                </c:pt>
                <c:pt idx="20">
                  <c:v>Islandija*</c:v>
                </c:pt>
                <c:pt idx="21">
                  <c:v>Portugalija*</c:v>
                </c:pt>
                <c:pt idx="22">
                  <c:v>Belgija (prancūzai)*</c:v>
                </c:pt>
                <c:pt idx="23">
                  <c:v>Izraelis*</c:v>
                </c:pt>
                <c:pt idx="24">
                  <c:v>Lenkija*</c:v>
                </c:pt>
                <c:pt idx="25">
                  <c:v>Liuksemburgas*</c:v>
                </c:pt>
                <c:pt idx="26">
                  <c:v>Kanada*</c:v>
                </c:pt>
                <c:pt idx="27">
                  <c:v>JAV*</c:v>
                </c:pt>
                <c:pt idx="28">
                  <c:v>Bulgarija*</c:v>
                </c:pt>
                <c:pt idx="29">
                  <c:v>Velsas*</c:v>
                </c:pt>
                <c:pt idx="30">
                  <c:v>Prancūzija*</c:v>
                </c:pt>
                <c:pt idx="31">
                  <c:v>Čekija*</c:v>
                </c:pt>
                <c:pt idx="32">
                  <c:v>Škotija*</c:v>
                </c:pt>
                <c:pt idx="33">
                  <c:v>Austrija*</c:v>
                </c:pt>
                <c:pt idx="34">
                  <c:v>Italija*</c:v>
                </c:pt>
                <c:pt idx="35">
                  <c:v>Anglija*</c:v>
                </c:pt>
                <c:pt idx="36">
                  <c:v>Norvegija*</c:v>
                </c:pt>
                <c:pt idx="37">
                  <c:v>Vokietija*</c:v>
                </c:pt>
                <c:pt idx="38">
                  <c:v>Danija*</c:v>
                </c:pt>
                <c:pt idx="39">
                  <c:v>Nyderlandai*</c:v>
                </c:pt>
                <c:pt idx="40">
                  <c:v>Švedija*</c:v>
                </c:pt>
                <c:pt idx="41">
                  <c:v>Šveicarija*</c:v>
                </c:pt>
              </c:strCache>
            </c:strRef>
          </c:cat>
          <c:val>
            <c:numRef>
              <c:f>Lapas1!$C$2:$C$43</c:f>
              <c:numCache>
                <c:formatCode>General</c:formatCode>
                <c:ptCount val="42"/>
                <c:pt idx="0">
                  <c:v>55</c:v>
                </c:pt>
                <c:pt idx="1">
                  <c:v>22</c:v>
                </c:pt>
                <c:pt idx="2">
                  <c:v>28</c:v>
                </c:pt>
                <c:pt idx="3">
                  <c:v>30</c:v>
                </c:pt>
                <c:pt idx="4">
                  <c:v>32</c:v>
                </c:pt>
                <c:pt idx="5">
                  <c:v>35</c:v>
                </c:pt>
                <c:pt idx="6">
                  <c:v>36</c:v>
                </c:pt>
                <c:pt idx="7">
                  <c:v>41</c:v>
                </c:pt>
                <c:pt idx="8">
                  <c:v>39</c:v>
                </c:pt>
                <c:pt idx="9">
                  <c:v>46</c:v>
                </c:pt>
                <c:pt idx="10">
                  <c:v>42</c:v>
                </c:pt>
                <c:pt idx="11">
                  <c:v>51</c:v>
                </c:pt>
                <c:pt idx="12">
                  <c:v>51</c:v>
                </c:pt>
                <c:pt idx="13">
                  <c:v>51</c:v>
                </c:pt>
                <c:pt idx="14">
                  <c:v>52</c:v>
                </c:pt>
                <c:pt idx="15">
                  <c:v>52</c:v>
                </c:pt>
                <c:pt idx="16">
                  <c:v>52</c:v>
                </c:pt>
                <c:pt idx="17">
                  <c:v>54</c:v>
                </c:pt>
                <c:pt idx="18">
                  <c:v>52</c:v>
                </c:pt>
                <c:pt idx="19">
                  <c:v>53</c:v>
                </c:pt>
                <c:pt idx="20">
                  <c:v>55</c:v>
                </c:pt>
                <c:pt idx="21">
                  <c:v>51</c:v>
                </c:pt>
                <c:pt idx="22">
                  <c:v>56</c:v>
                </c:pt>
                <c:pt idx="23">
                  <c:v>57</c:v>
                </c:pt>
                <c:pt idx="24">
                  <c:v>52</c:v>
                </c:pt>
                <c:pt idx="25">
                  <c:v>60</c:v>
                </c:pt>
                <c:pt idx="26">
                  <c:v>58</c:v>
                </c:pt>
                <c:pt idx="27">
                  <c:v>63</c:v>
                </c:pt>
                <c:pt idx="28">
                  <c:v>61</c:v>
                </c:pt>
                <c:pt idx="29">
                  <c:v>62</c:v>
                </c:pt>
                <c:pt idx="30">
                  <c:v>62</c:v>
                </c:pt>
                <c:pt idx="31">
                  <c:v>66</c:v>
                </c:pt>
                <c:pt idx="32">
                  <c:v>67</c:v>
                </c:pt>
                <c:pt idx="33">
                  <c:v>68</c:v>
                </c:pt>
                <c:pt idx="34">
                  <c:v>69</c:v>
                </c:pt>
                <c:pt idx="35">
                  <c:v>69</c:v>
                </c:pt>
                <c:pt idx="36">
                  <c:v>71</c:v>
                </c:pt>
                <c:pt idx="37">
                  <c:v>72</c:v>
                </c:pt>
                <c:pt idx="38">
                  <c:v>73</c:v>
                </c:pt>
                <c:pt idx="39">
                  <c:v>74</c:v>
                </c:pt>
                <c:pt idx="40">
                  <c:v>79</c:v>
                </c:pt>
                <c:pt idx="41">
                  <c:v>78</c:v>
                </c:pt>
              </c:numCache>
            </c:numRef>
          </c:val>
        </c:ser>
        <c:overlap val="-25"/>
        <c:axId val="212354560"/>
        <c:axId val="212356096"/>
      </c:barChart>
      <c:catAx>
        <c:axId val="212354560"/>
        <c:scaling>
          <c:orientation val="minMax"/>
        </c:scaling>
        <c:axPos val="l"/>
        <c:majorGridlines/>
        <c:numFmt formatCode="General" sourceLinked="1"/>
        <c:tickLblPos val="nextTo"/>
        <c:crossAx val="212356096"/>
        <c:crosses val="autoZero"/>
        <c:auto val="1"/>
        <c:lblAlgn val="ctr"/>
        <c:lblOffset val="100"/>
      </c:catAx>
      <c:valAx>
        <c:axId val="212356096"/>
        <c:scaling>
          <c:orientation val="minMax"/>
        </c:scaling>
        <c:axPos val="b"/>
        <c:numFmt formatCode="General" sourceLinked="1"/>
        <c:tickLblPos val="nextTo"/>
        <c:crossAx val="212354560"/>
        <c:crosses val="autoZero"/>
        <c:crossBetween val="between"/>
      </c:valAx>
    </c:plotArea>
    <c:legend>
      <c:legendPos val="r"/>
      <c:layout>
        <c:manualLayout>
          <c:xMode val="edge"/>
          <c:yMode val="edge"/>
          <c:x val="0.85069444444444464"/>
          <c:y val="0.34482758620689663"/>
          <c:w val="0.13715277777777776"/>
          <c:h val="0.16300940438871472"/>
        </c:manualLayout>
      </c:layout>
    </c:legend>
    <c:plotVisOnly val="1"/>
    <c:dispBlanksAs val="gap"/>
  </c:chart>
  <c:txPr>
    <a:bodyPr/>
    <a:lstStyle/>
    <a:p>
      <a:pPr>
        <a:defRPr b="1"/>
      </a:pPr>
      <a:endParaRPr lang="lt-LT"/>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lt-LT"/>
  <c:chart>
    <c:plotArea>
      <c:layout>
        <c:manualLayout>
          <c:layoutTarget val="inner"/>
          <c:xMode val="edge"/>
          <c:yMode val="edge"/>
          <c:x val="0.25383304940374779"/>
          <c:y val="4.2360060514372168E-2"/>
          <c:w val="0.57921635434412266"/>
          <c:h val="0.82753403933434189"/>
        </c:manualLayout>
      </c:layout>
      <c:barChart>
        <c:barDir val="bar"/>
        <c:grouping val="clustered"/>
        <c:ser>
          <c:idx val="0"/>
          <c:order val="0"/>
          <c:tx>
            <c:strRef>
              <c:f>Lapas1!$B$1</c:f>
              <c:strCache>
                <c:ptCount val="1"/>
                <c:pt idx="0">
                  <c:v>Mergaitės</c:v>
                </c:pt>
              </c:strCache>
            </c:strRef>
          </c:tx>
          <c:spPr>
            <a:solidFill>
              <a:srgbClr val="FF0000"/>
            </a:solidFill>
          </c:spPr>
          <c:dLbls>
            <c:spPr>
              <a:noFill/>
              <a:ln w="25140">
                <a:noFill/>
              </a:ln>
            </c:spPr>
            <c:showVal val="1"/>
          </c:dLbls>
          <c:cat>
            <c:strRef>
              <c:f>Lapas1!$A$2:$A$42</c:f>
              <c:strCache>
                <c:ptCount val="41"/>
                <c:pt idx="0">
                  <c:v>Vidurkis</c:v>
                </c:pt>
                <c:pt idx="1">
                  <c:v>Italija*</c:v>
                </c:pt>
                <c:pt idx="2">
                  <c:v>Izraelis*</c:v>
                </c:pt>
                <c:pt idx="3">
                  <c:v>Graikija*</c:v>
                </c:pt>
                <c:pt idx="4">
                  <c:v>Makedonija*</c:v>
                </c:pt>
                <c:pt idx="5">
                  <c:v>Prancūzija*</c:v>
                </c:pt>
                <c:pt idx="6">
                  <c:v>Portugalija</c:v>
                </c:pt>
                <c:pt idx="7">
                  <c:v>Ispanija</c:v>
                </c:pt>
                <c:pt idx="8">
                  <c:v>Islandija</c:v>
                </c:pt>
                <c:pt idx="9">
                  <c:v>Norvegija</c:v>
                </c:pt>
                <c:pt idx="10">
                  <c:v>Švedija</c:v>
                </c:pt>
                <c:pt idx="11">
                  <c:v>Malta</c:v>
                </c:pt>
                <c:pt idx="12">
                  <c:v>JAV</c:v>
                </c:pt>
                <c:pt idx="13">
                  <c:v>Belgija (flamangai)</c:v>
                </c:pt>
                <c:pt idx="14">
                  <c:v>Vokietija</c:v>
                </c:pt>
                <c:pt idx="15">
                  <c:v>Liuksemburgas*</c:v>
                </c:pt>
                <c:pt idx="16">
                  <c:v>Nyderlandai</c:v>
                </c:pt>
                <c:pt idx="17">
                  <c:v>Vengrija*</c:v>
                </c:pt>
                <c:pt idx="18">
                  <c:v>Lenkija*</c:v>
                </c:pt>
                <c:pt idx="19">
                  <c:v>Šveicarija*</c:v>
                </c:pt>
                <c:pt idx="20">
                  <c:v>Rumunija*</c:v>
                </c:pt>
                <c:pt idx="21">
                  <c:v>Belgija (prancūzai)*</c:v>
                </c:pt>
                <c:pt idx="22">
                  <c:v>Slovėnija*</c:v>
                </c:pt>
                <c:pt idx="23">
                  <c:v>Ukraina*</c:v>
                </c:pt>
                <c:pt idx="24">
                  <c:v>Kanada</c:v>
                </c:pt>
                <c:pt idx="25">
                  <c:v>Airija*</c:v>
                </c:pt>
                <c:pt idx="26">
                  <c:v>Kroatija*</c:v>
                </c:pt>
                <c:pt idx="27">
                  <c:v>Čekija*</c:v>
                </c:pt>
                <c:pt idx="28">
                  <c:v>Slovakija*</c:v>
                </c:pt>
                <c:pt idx="29">
                  <c:v>Rusijos Federacija*</c:v>
                </c:pt>
                <c:pt idx="30">
                  <c:v>Danija*</c:v>
                </c:pt>
                <c:pt idx="31">
                  <c:v>Grenlandija</c:v>
                </c:pt>
                <c:pt idx="32">
                  <c:v>Latvija*</c:v>
                </c:pt>
                <c:pt idx="33">
                  <c:v>Škotija</c:v>
                </c:pt>
                <c:pt idx="34">
                  <c:v>Suomija</c:v>
                </c:pt>
                <c:pt idx="35">
                  <c:v>Bulgarija*</c:v>
                </c:pt>
                <c:pt idx="36">
                  <c:v>Velsas</c:v>
                </c:pt>
                <c:pt idx="37">
                  <c:v>Anglija</c:v>
                </c:pt>
                <c:pt idx="38">
                  <c:v>Austrija</c:v>
                </c:pt>
                <c:pt idx="39">
                  <c:v>Lietuva*</c:v>
                </c:pt>
                <c:pt idx="40">
                  <c:v>Estija*</c:v>
                </c:pt>
              </c:strCache>
            </c:strRef>
          </c:cat>
          <c:val>
            <c:numRef>
              <c:f>Lapas1!$B$2:$B$42</c:f>
              <c:numCache>
                <c:formatCode>General</c:formatCode>
                <c:ptCount val="41"/>
                <c:pt idx="0">
                  <c:v>13</c:v>
                </c:pt>
                <c:pt idx="1">
                  <c:v>3</c:v>
                </c:pt>
                <c:pt idx="2">
                  <c:v>3</c:v>
                </c:pt>
                <c:pt idx="3">
                  <c:v>5</c:v>
                </c:pt>
                <c:pt idx="4">
                  <c:v>3</c:v>
                </c:pt>
                <c:pt idx="5">
                  <c:v>6</c:v>
                </c:pt>
                <c:pt idx="6">
                  <c:v>8</c:v>
                </c:pt>
                <c:pt idx="7">
                  <c:v>8</c:v>
                </c:pt>
                <c:pt idx="8">
                  <c:v>8</c:v>
                </c:pt>
                <c:pt idx="9">
                  <c:v>10</c:v>
                </c:pt>
                <c:pt idx="10">
                  <c:v>10</c:v>
                </c:pt>
                <c:pt idx="11">
                  <c:v>9</c:v>
                </c:pt>
                <c:pt idx="12">
                  <c:v>9</c:v>
                </c:pt>
                <c:pt idx="13">
                  <c:v>10</c:v>
                </c:pt>
                <c:pt idx="14">
                  <c:v>11</c:v>
                </c:pt>
                <c:pt idx="15">
                  <c:v>9</c:v>
                </c:pt>
                <c:pt idx="16">
                  <c:v>11</c:v>
                </c:pt>
                <c:pt idx="17">
                  <c:v>10</c:v>
                </c:pt>
                <c:pt idx="18">
                  <c:v>8</c:v>
                </c:pt>
                <c:pt idx="19">
                  <c:v>10</c:v>
                </c:pt>
                <c:pt idx="20">
                  <c:v>8</c:v>
                </c:pt>
                <c:pt idx="21">
                  <c:v>9</c:v>
                </c:pt>
                <c:pt idx="22">
                  <c:v>10</c:v>
                </c:pt>
                <c:pt idx="23">
                  <c:v>9</c:v>
                </c:pt>
                <c:pt idx="24">
                  <c:v>16</c:v>
                </c:pt>
                <c:pt idx="25">
                  <c:v>15</c:v>
                </c:pt>
                <c:pt idx="26">
                  <c:v>13</c:v>
                </c:pt>
                <c:pt idx="27">
                  <c:v>15</c:v>
                </c:pt>
                <c:pt idx="28">
                  <c:v>16</c:v>
                </c:pt>
                <c:pt idx="29">
                  <c:v>15</c:v>
                </c:pt>
                <c:pt idx="30">
                  <c:v>19</c:v>
                </c:pt>
                <c:pt idx="31">
                  <c:v>23</c:v>
                </c:pt>
                <c:pt idx="32">
                  <c:v>18</c:v>
                </c:pt>
                <c:pt idx="33">
                  <c:v>23</c:v>
                </c:pt>
                <c:pt idx="34">
                  <c:v>22</c:v>
                </c:pt>
                <c:pt idx="35">
                  <c:v>19</c:v>
                </c:pt>
                <c:pt idx="36">
                  <c:v>21</c:v>
                </c:pt>
                <c:pt idx="37">
                  <c:v>24</c:v>
                </c:pt>
                <c:pt idx="38">
                  <c:v>22</c:v>
                </c:pt>
                <c:pt idx="39">
                  <c:v>19</c:v>
                </c:pt>
                <c:pt idx="40">
                  <c:v>21</c:v>
                </c:pt>
              </c:numCache>
            </c:numRef>
          </c:val>
        </c:ser>
        <c:ser>
          <c:idx val="1"/>
          <c:order val="1"/>
          <c:tx>
            <c:strRef>
              <c:f>Lapas1!$C$1</c:f>
              <c:strCache>
                <c:ptCount val="1"/>
                <c:pt idx="0">
                  <c:v>Berniukai</c:v>
                </c:pt>
              </c:strCache>
            </c:strRef>
          </c:tx>
          <c:spPr>
            <a:solidFill>
              <a:srgbClr val="4F81BD"/>
            </a:solidFill>
          </c:spPr>
          <c:dLbls>
            <c:spPr>
              <a:noFill/>
              <a:ln w="25140">
                <a:noFill/>
              </a:ln>
            </c:spPr>
            <c:showVal val="1"/>
          </c:dLbls>
          <c:cat>
            <c:strRef>
              <c:f>Lapas1!$A$2:$A$42</c:f>
              <c:strCache>
                <c:ptCount val="41"/>
                <c:pt idx="0">
                  <c:v>Vidurkis</c:v>
                </c:pt>
                <c:pt idx="1">
                  <c:v>Italija*</c:v>
                </c:pt>
                <c:pt idx="2">
                  <c:v>Izraelis*</c:v>
                </c:pt>
                <c:pt idx="3">
                  <c:v>Graikija*</c:v>
                </c:pt>
                <c:pt idx="4">
                  <c:v>Makedonija*</c:v>
                </c:pt>
                <c:pt idx="5">
                  <c:v>Prancūzija*</c:v>
                </c:pt>
                <c:pt idx="6">
                  <c:v>Portugalija</c:v>
                </c:pt>
                <c:pt idx="7">
                  <c:v>Ispanija</c:v>
                </c:pt>
                <c:pt idx="8">
                  <c:v>Islandija</c:v>
                </c:pt>
                <c:pt idx="9">
                  <c:v>Norvegija</c:v>
                </c:pt>
                <c:pt idx="10">
                  <c:v>Švedija</c:v>
                </c:pt>
                <c:pt idx="11">
                  <c:v>Malta</c:v>
                </c:pt>
                <c:pt idx="12">
                  <c:v>JAV</c:v>
                </c:pt>
                <c:pt idx="13">
                  <c:v>Belgija (flamangai)</c:v>
                </c:pt>
                <c:pt idx="14">
                  <c:v>Vokietija</c:v>
                </c:pt>
                <c:pt idx="15">
                  <c:v>Liuksemburgas*</c:v>
                </c:pt>
                <c:pt idx="16">
                  <c:v>Nyderlandai</c:v>
                </c:pt>
                <c:pt idx="17">
                  <c:v>Vengrija*</c:v>
                </c:pt>
                <c:pt idx="18">
                  <c:v>Lenkija*</c:v>
                </c:pt>
                <c:pt idx="19">
                  <c:v>Šveicarija*</c:v>
                </c:pt>
                <c:pt idx="20">
                  <c:v>Rumunija*</c:v>
                </c:pt>
                <c:pt idx="21">
                  <c:v>Belgija (prancūzai)*</c:v>
                </c:pt>
                <c:pt idx="22">
                  <c:v>Slovėnija*</c:v>
                </c:pt>
                <c:pt idx="23">
                  <c:v>Ukraina*</c:v>
                </c:pt>
                <c:pt idx="24">
                  <c:v>Kanada</c:v>
                </c:pt>
                <c:pt idx="25">
                  <c:v>Airija*</c:v>
                </c:pt>
                <c:pt idx="26">
                  <c:v>Kroatija*</c:v>
                </c:pt>
                <c:pt idx="27">
                  <c:v>Čekija*</c:v>
                </c:pt>
                <c:pt idx="28">
                  <c:v>Slovakija*</c:v>
                </c:pt>
                <c:pt idx="29">
                  <c:v>Rusijos Federacija*</c:v>
                </c:pt>
                <c:pt idx="30">
                  <c:v>Danija*</c:v>
                </c:pt>
                <c:pt idx="31">
                  <c:v>Grenlandija</c:v>
                </c:pt>
                <c:pt idx="32">
                  <c:v>Latvija*</c:v>
                </c:pt>
                <c:pt idx="33">
                  <c:v>Škotija</c:v>
                </c:pt>
                <c:pt idx="34">
                  <c:v>Suomija</c:v>
                </c:pt>
                <c:pt idx="35">
                  <c:v>Bulgarija*</c:v>
                </c:pt>
                <c:pt idx="36">
                  <c:v>Velsas</c:v>
                </c:pt>
                <c:pt idx="37">
                  <c:v>Anglija</c:v>
                </c:pt>
                <c:pt idx="38">
                  <c:v>Austrija</c:v>
                </c:pt>
                <c:pt idx="39">
                  <c:v>Lietuva*</c:v>
                </c:pt>
                <c:pt idx="40">
                  <c:v>Estija*</c:v>
                </c:pt>
              </c:strCache>
            </c:strRef>
          </c:cat>
          <c:val>
            <c:numRef>
              <c:f>Lapas1!$C$2:$C$42</c:f>
              <c:numCache>
                <c:formatCode>General</c:formatCode>
                <c:ptCount val="41"/>
                <c:pt idx="0">
                  <c:v>17</c:v>
                </c:pt>
                <c:pt idx="1">
                  <c:v>6</c:v>
                </c:pt>
                <c:pt idx="2">
                  <c:v>8</c:v>
                </c:pt>
                <c:pt idx="3">
                  <c:v>9</c:v>
                </c:pt>
                <c:pt idx="4">
                  <c:v>11</c:v>
                </c:pt>
                <c:pt idx="5">
                  <c:v>11</c:v>
                </c:pt>
                <c:pt idx="6">
                  <c:v>10</c:v>
                </c:pt>
                <c:pt idx="7">
                  <c:v>9</c:v>
                </c:pt>
                <c:pt idx="8">
                  <c:v>10</c:v>
                </c:pt>
                <c:pt idx="9">
                  <c:v>8</c:v>
                </c:pt>
                <c:pt idx="10">
                  <c:v>10</c:v>
                </c:pt>
                <c:pt idx="11">
                  <c:v>11</c:v>
                </c:pt>
                <c:pt idx="12">
                  <c:v>13</c:v>
                </c:pt>
                <c:pt idx="13">
                  <c:v>12</c:v>
                </c:pt>
                <c:pt idx="14">
                  <c:v>12</c:v>
                </c:pt>
                <c:pt idx="15">
                  <c:v>14</c:v>
                </c:pt>
                <c:pt idx="16">
                  <c:v>13</c:v>
                </c:pt>
                <c:pt idx="17">
                  <c:v>15</c:v>
                </c:pt>
                <c:pt idx="18">
                  <c:v>17</c:v>
                </c:pt>
                <c:pt idx="19">
                  <c:v>15</c:v>
                </c:pt>
                <c:pt idx="20">
                  <c:v>21</c:v>
                </c:pt>
                <c:pt idx="21">
                  <c:v>18</c:v>
                </c:pt>
                <c:pt idx="22">
                  <c:v>19</c:v>
                </c:pt>
                <c:pt idx="23">
                  <c:v>21</c:v>
                </c:pt>
                <c:pt idx="24">
                  <c:v>16</c:v>
                </c:pt>
                <c:pt idx="25">
                  <c:v>20</c:v>
                </c:pt>
                <c:pt idx="26">
                  <c:v>24</c:v>
                </c:pt>
                <c:pt idx="27">
                  <c:v>21</c:v>
                </c:pt>
                <c:pt idx="28">
                  <c:v>22</c:v>
                </c:pt>
                <c:pt idx="29">
                  <c:v>24</c:v>
                </c:pt>
                <c:pt idx="30">
                  <c:v>21</c:v>
                </c:pt>
                <c:pt idx="31">
                  <c:v>19</c:v>
                </c:pt>
                <c:pt idx="32">
                  <c:v>25</c:v>
                </c:pt>
                <c:pt idx="33">
                  <c:v>21</c:v>
                </c:pt>
                <c:pt idx="34">
                  <c:v>23</c:v>
                </c:pt>
                <c:pt idx="35">
                  <c:v>27</c:v>
                </c:pt>
                <c:pt idx="36">
                  <c:v>25</c:v>
                </c:pt>
                <c:pt idx="37">
                  <c:v>23</c:v>
                </c:pt>
                <c:pt idx="38">
                  <c:v>26</c:v>
                </c:pt>
                <c:pt idx="39">
                  <c:v>29</c:v>
                </c:pt>
                <c:pt idx="40">
                  <c:v>35</c:v>
                </c:pt>
              </c:numCache>
            </c:numRef>
          </c:val>
        </c:ser>
        <c:overlap val="-25"/>
        <c:axId val="212109568"/>
        <c:axId val="212127744"/>
      </c:barChart>
      <c:catAx>
        <c:axId val="212109568"/>
        <c:scaling>
          <c:orientation val="minMax"/>
        </c:scaling>
        <c:axPos val="l"/>
        <c:majorGridlines/>
        <c:numFmt formatCode="General" sourceLinked="1"/>
        <c:tickLblPos val="nextTo"/>
        <c:crossAx val="212127744"/>
        <c:crosses val="autoZero"/>
        <c:auto val="1"/>
        <c:lblAlgn val="ctr"/>
        <c:lblOffset val="100"/>
      </c:catAx>
      <c:valAx>
        <c:axId val="212127744"/>
        <c:scaling>
          <c:orientation val="minMax"/>
        </c:scaling>
        <c:axPos val="b"/>
        <c:numFmt formatCode="General" sourceLinked="1"/>
        <c:tickLblPos val="nextTo"/>
        <c:crossAx val="212109568"/>
        <c:crosses val="autoZero"/>
        <c:crossBetween val="between"/>
      </c:valAx>
    </c:plotArea>
    <c:legend>
      <c:legendPos val="r"/>
      <c:layout>
        <c:manualLayout>
          <c:xMode val="edge"/>
          <c:yMode val="edge"/>
          <c:x val="0.84224961658327668"/>
          <c:y val="0.31030150753768854"/>
          <c:w val="0.1344307770727976"/>
          <c:h val="0.2939698492462311"/>
        </c:manualLayout>
      </c:layout>
    </c:legend>
    <c:plotVisOnly val="1"/>
    <c:dispBlanksAs val="gap"/>
  </c:chart>
  <c:txPr>
    <a:bodyPr/>
    <a:lstStyle/>
    <a:p>
      <a:pPr>
        <a:defRPr b="1"/>
      </a:pPr>
      <a:endParaRPr lang="lt-LT"/>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20034542314335063"/>
          <c:y val="4.2319749216300939E-2"/>
          <c:w val="0.59240069084628655"/>
          <c:h val="0.81347962382445149"/>
        </c:manualLayout>
      </c:layout>
      <c:barChart>
        <c:barDir val="bar"/>
        <c:grouping val="clustered"/>
        <c:ser>
          <c:idx val="0"/>
          <c:order val="0"/>
          <c:tx>
            <c:strRef>
              <c:f>Lapas1!$B$1</c:f>
              <c:strCache>
                <c:ptCount val="1"/>
                <c:pt idx="0">
                  <c:v>Mergaitės</c:v>
                </c:pt>
              </c:strCache>
            </c:strRef>
          </c:tx>
          <c:spPr>
            <a:solidFill>
              <a:srgbClr val="FF0000"/>
            </a:solidFill>
          </c:spPr>
          <c:dLbls>
            <c:spPr>
              <a:noFill/>
              <a:ln w="19010">
                <a:noFill/>
              </a:ln>
            </c:spPr>
            <c:showVal val="1"/>
          </c:dLbls>
          <c:cat>
            <c:strRef>
              <c:f>Lapas1!$A$2:$A$42</c:f>
              <c:strCache>
                <c:ptCount val="41"/>
                <c:pt idx="0">
                  <c:v>Vidurkis</c:v>
                </c:pt>
                <c:pt idx="1">
                  <c:v>Izraelis*</c:v>
                </c:pt>
                <c:pt idx="2">
                  <c:v>Malta*</c:v>
                </c:pt>
                <c:pt idx="3">
                  <c:v>Makedonija*</c:v>
                </c:pt>
                <c:pt idx="4">
                  <c:v>Graikija</c:v>
                </c:pt>
                <c:pt idx="5">
                  <c:v>JAV</c:v>
                </c:pt>
                <c:pt idx="6">
                  <c:v>Italija</c:v>
                </c:pt>
                <c:pt idx="7">
                  <c:v>Portugalija*</c:v>
                </c:pt>
                <c:pt idx="8">
                  <c:v>Šveicarija*</c:v>
                </c:pt>
                <c:pt idx="9">
                  <c:v>Prancūzija*</c:v>
                </c:pt>
                <c:pt idx="10">
                  <c:v>Liuksemburgas*</c:v>
                </c:pt>
                <c:pt idx="11">
                  <c:v>Nyderlandai*</c:v>
                </c:pt>
                <c:pt idx="12">
                  <c:v>Švedija</c:v>
                </c:pt>
                <c:pt idx="13">
                  <c:v>Belgija (prancūzai)*</c:v>
                </c:pt>
                <c:pt idx="14">
                  <c:v>Norvegija*</c:v>
                </c:pt>
                <c:pt idx="15">
                  <c:v>Belgija (flamandai)*</c:v>
                </c:pt>
                <c:pt idx="16">
                  <c:v>Rumunija*</c:v>
                </c:pt>
                <c:pt idx="17">
                  <c:v>Vokietija*</c:v>
                </c:pt>
                <c:pt idx="18">
                  <c:v>Ispanija</c:v>
                </c:pt>
                <c:pt idx="19">
                  <c:v>Islandija*</c:v>
                </c:pt>
                <c:pt idx="20">
                  <c:v>Čekija*</c:v>
                </c:pt>
                <c:pt idx="21">
                  <c:v>Airija</c:v>
                </c:pt>
                <c:pt idx="22">
                  <c:v>Lenkija*</c:v>
                </c:pt>
                <c:pt idx="23">
                  <c:v>Rusijos Federacija*</c:v>
                </c:pt>
                <c:pt idx="24">
                  <c:v>Ukraina*</c:v>
                </c:pt>
                <c:pt idx="25">
                  <c:v>Slovakija*</c:v>
                </c:pt>
                <c:pt idx="26">
                  <c:v>Slovėnija*</c:v>
                </c:pt>
                <c:pt idx="27">
                  <c:v>Kanada</c:v>
                </c:pt>
                <c:pt idx="28">
                  <c:v>Vengrija*</c:v>
                </c:pt>
                <c:pt idx="29">
                  <c:v>Kroatija*</c:v>
                </c:pt>
                <c:pt idx="30">
                  <c:v>Austrija</c:v>
                </c:pt>
                <c:pt idx="31">
                  <c:v>Grenlandija*</c:v>
                </c:pt>
                <c:pt idx="32">
                  <c:v>Latvija*</c:v>
                </c:pt>
                <c:pt idx="33">
                  <c:v>Škotija</c:v>
                </c:pt>
                <c:pt idx="34">
                  <c:v>Suomija</c:v>
                </c:pt>
                <c:pt idx="35">
                  <c:v>Bulgarija*</c:v>
                </c:pt>
                <c:pt idx="36">
                  <c:v>Anglija</c:v>
                </c:pt>
                <c:pt idx="37">
                  <c:v>Estija*</c:v>
                </c:pt>
                <c:pt idx="38">
                  <c:v>Velsas</c:v>
                </c:pt>
                <c:pt idx="39">
                  <c:v>Lietuva*</c:v>
                </c:pt>
                <c:pt idx="40">
                  <c:v>Danija</c:v>
                </c:pt>
              </c:strCache>
            </c:strRef>
          </c:cat>
          <c:val>
            <c:numRef>
              <c:f>Lapas1!$B$2:$B$42</c:f>
              <c:numCache>
                <c:formatCode>General</c:formatCode>
                <c:ptCount val="41"/>
                <c:pt idx="0">
                  <c:v>30</c:v>
                </c:pt>
                <c:pt idx="1">
                  <c:v>11</c:v>
                </c:pt>
                <c:pt idx="2">
                  <c:v>15</c:v>
                </c:pt>
                <c:pt idx="3">
                  <c:v>12</c:v>
                </c:pt>
                <c:pt idx="4">
                  <c:v>17</c:v>
                </c:pt>
                <c:pt idx="5">
                  <c:v>20</c:v>
                </c:pt>
                <c:pt idx="6">
                  <c:v>18</c:v>
                </c:pt>
                <c:pt idx="7">
                  <c:v>18</c:v>
                </c:pt>
                <c:pt idx="8">
                  <c:v>18</c:v>
                </c:pt>
                <c:pt idx="9">
                  <c:v>18</c:v>
                </c:pt>
                <c:pt idx="10">
                  <c:v>20</c:v>
                </c:pt>
                <c:pt idx="11">
                  <c:v>21</c:v>
                </c:pt>
                <c:pt idx="12">
                  <c:v>26</c:v>
                </c:pt>
                <c:pt idx="13">
                  <c:v>21</c:v>
                </c:pt>
                <c:pt idx="14">
                  <c:v>32</c:v>
                </c:pt>
                <c:pt idx="15">
                  <c:v>23</c:v>
                </c:pt>
                <c:pt idx="16">
                  <c:v>19</c:v>
                </c:pt>
                <c:pt idx="17">
                  <c:v>28</c:v>
                </c:pt>
                <c:pt idx="18">
                  <c:v>33</c:v>
                </c:pt>
                <c:pt idx="19">
                  <c:v>32</c:v>
                </c:pt>
                <c:pt idx="20">
                  <c:v>30</c:v>
                </c:pt>
                <c:pt idx="21">
                  <c:v>31</c:v>
                </c:pt>
                <c:pt idx="22">
                  <c:v>27</c:v>
                </c:pt>
                <c:pt idx="23">
                  <c:v>32</c:v>
                </c:pt>
                <c:pt idx="24">
                  <c:v>28</c:v>
                </c:pt>
                <c:pt idx="25">
                  <c:v>31</c:v>
                </c:pt>
                <c:pt idx="26">
                  <c:v>27</c:v>
                </c:pt>
                <c:pt idx="27">
                  <c:v>36</c:v>
                </c:pt>
                <c:pt idx="28">
                  <c:v>32</c:v>
                </c:pt>
                <c:pt idx="29">
                  <c:v>29</c:v>
                </c:pt>
                <c:pt idx="30">
                  <c:v>36</c:v>
                </c:pt>
                <c:pt idx="31">
                  <c:v>44</c:v>
                </c:pt>
                <c:pt idx="32">
                  <c:v>39</c:v>
                </c:pt>
                <c:pt idx="33">
                  <c:v>48</c:v>
                </c:pt>
                <c:pt idx="34">
                  <c:v>44</c:v>
                </c:pt>
                <c:pt idx="35">
                  <c:v>42</c:v>
                </c:pt>
                <c:pt idx="36">
                  <c:v>50</c:v>
                </c:pt>
                <c:pt idx="37">
                  <c:v>42</c:v>
                </c:pt>
                <c:pt idx="38">
                  <c:v>54</c:v>
                </c:pt>
                <c:pt idx="39">
                  <c:v>50</c:v>
                </c:pt>
                <c:pt idx="40">
                  <c:v>56</c:v>
                </c:pt>
              </c:numCache>
            </c:numRef>
          </c:val>
        </c:ser>
        <c:ser>
          <c:idx val="1"/>
          <c:order val="1"/>
          <c:tx>
            <c:strRef>
              <c:f>Lapas1!$C$1</c:f>
              <c:strCache>
                <c:ptCount val="1"/>
                <c:pt idx="0">
                  <c:v>Berniukai</c:v>
                </c:pt>
              </c:strCache>
            </c:strRef>
          </c:tx>
          <c:spPr>
            <a:solidFill>
              <a:srgbClr val="0070C0"/>
            </a:solidFill>
          </c:spPr>
          <c:dLbls>
            <c:spPr>
              <a:noFill/>
              <a:ln w="19010">
                <a:noFill/>
              </a:ln>
            </c:spPr>
            <c:showVal val="1"/>
          </c:dLbls>
          <c:cat>
            <c:strRef>
              <c:f>Lapas1!$A$2:$A$42</c:f>
              <c:strCache>
                <c:ptCount val="41"/>
                <c:pt idx="0">
                  <c:v>Vidurkis</c:v>
                </c:pt>
                <c:pt idx="1">
                  <c:v>Izraelis*</c:v>
                </c:pt>
                <c:pt idx="2">
                  <c:v>Malta*</c:v>
                </c:pt>
                <c:pt idx="3">
                  <c:v>Makedonija*</c:v>
                </c:pt>
                <c:pt idx="4">
                  <c:v>Graikija</c:v>
                </c:pt>
                <c:pt idx="5">
                  <c:v>JAV</c:v>
                </c:pt>
                <c:pt idx="6">
                  <c:v>Italija</c:v>
                </c:pt>
                <c:pt idx="7">
                  <c:v>Portugalija*</c:v>
                </c:pt>
                <c:pt idx="8">
                  <c:v>Šveicarija*</c:v>
                </c:pt>
                <c:pt idx="9">
                  <c:v>Prancūzija*</c:v>
                </c:pt>
                <c:pt idx="10">
                  <c:v>Liuksemburgas*</c:v>
                </c:pt>
                <c:pt idx="11">
                  <c:v>Nyderlandai*</c:v>
                </c:pt>
                <c:pt idx="12">
                  <c:v>Švedija</c:v>
                </c:pt>
                <c:pt idx="13">
                  <c:v>Belgija (prancūzai)*</c:v>
                </c:pt>
                <c:pt idx="14">
                  <c:v>Norvegija*</c:v>
                </c:pt>
                <c:pt idx="15">
                  <c:v>Belgija (flamandai)*</c:v>
                </c:pt>
                <c:pt idx="16">
                  <c:v>Rumunija*</c:v>
                </c:pt>
                <c:pt idx="17">
                  <c:v>Vokietija*</c:v>
                </c:pt>
                <c:pt idx="18">
                  <c:v>Ispanija</c:v>
                </c:pt>
                <c:pt idx="19">
                  <c:v>Islandija*</c:v>
                </c:pt>
                <c:pt idx="20">
                  <c:v>Čekija*</c:v>
                </c:pt>
                <c:pt idx="21">
                  <c:v>Airija</c:v>
                </c:pt>
                <c:pt idx="22">
                  <c:v>Lenkija*</c:v>
                </c:pt>
                <c:pt idx="23">
                  <c:v>Rusijos Federacija*</c:v>
                </c:pt>
                <c:pt idx="24">
                  <c:v>Ukraina*</c:v>
                </c:pt>
                <c:pt idx="25">
                  <c:v>Slovakija*</c:v>
                </c:pt>
                <c:pt idx="26">
                  <c:v>Slovėnija*</c:v>
                </c:pt>
                <c:pt idx="27">
                  <c:v>Kanada</c:v>
                </c:pt>
                <c:pt idx="28">
                  <c:v>Vengrija*</c:v>
                </c:pt>
                <c:pt idx="29">
                  <c:v>Kroatija*</c:v>
                </c:pt>
                <c:pt idx="30">
                  <c:v>Austrija</c:v>
                </c:pt>
                <c:pt idx="31">
                  <c:v>Grenlandija*</c:v>
                </c:pt>
                <c:pt idx="32">
                  <c:v>Latvija*</c:v>
                </c:pt>
                <c:pt idx="33">
                  <c:v>Škotija</c:v>
                </c:pt>
                <c:pt idx="34">
                  <c:v>Suomija</c:v>
                </c:pt>
                <c:pt idx="35">
                  <c:v>Bulgarija*</c:v>
                </c:pt>
                <c:pt idx="36">
                  <c:v>Anglija</c:v>
                </c:pt>
                <c:pt idx="37">
                  <c:v>Estija*</c:v>
                </c:pt>
                <c:pt idx="38">
                  <c:v>Velsas</c:v>
                </c:pt>
                <c:pt idx="39">
                  <c:v>Lietuva*</c:v>
                </c:pt>
                <c:pt idx="40">
                  <c:v>Danija</c:v>
                </c:pt>
              </c:strCache>
            </c:strRef>
          </c:cat>
          <c:val>
            <c:numRef>
              <c:f>Lapas1!$C$2:$C$42</c:f>
              <c:numCache>
                <c:formatCode>General</c:formatCode>
                <c:ptCount val="41"/>
                <c:pt idx="0">
                  <c:v>37</c:v>
                </c:pt>
                <c:pt idx="1">
                  <c:v>22</c:v>
                </c:pt>
                <c:pt idx="2">
                  <c:v>18</c:v>
                </c:pt>
                <c:pt idx="3">
                  <c:v>25</c:v>
                </c:pt>
                <c:pt idx="4">
                  <c:v>21</c:v>
                </c:pt>
                <c:pt idx="5">
                  <c:v>20</c:v>
                </c:pt>
                <c:pt idx="6">
                  <c:v>22</c:v>
                </c:pt>
                <c:pt idx="7">
                  <c:v>25</c:v>
                </c:pt>
                <c:pt idx="8">
                  <c:v>29</c:v>
                </c:pt>
                <c:pt idx="9">
                  <c:v>29</c:v>
                </c:pt>
                <c:pt idx="10">
                  <c:v>27</c:v>
                </c:pt>
                <c:pt idx="11">
                  <c:v>30</c:v>
                </c:pt>
                <c:pt idx="12">
                  <c:v>26</c:v>
                </c:pt>
                <c:pt idx="13">
                  <c:v>31</c:v>
                </c:pt>
                <c:pt idx="14">
                  <c:v>25</c:v>
                </c:pt>
                <c:pt idx="15">
                  <c:v>33</c:v>
                </c:pt>
                <c:pt idx="16">
                  <c:v>45</c:v>
                </c:pt>
                <c:pt idx="17">
                  <c:v>31</c:v>
                </c:pt>
                <c:pt idx="18">
                  <c:v>29</c:v>
                </c:pt>
                <c:pt idx="19">
                  <c:v>31</c:v>
                </c:pt>
                <c:pt idx="20">
                  <c:v>36</c:v>
                </c:pt>
                <c:pt idx="21">
                  <c:v>36</c:v>
                </c:pt>
                <c:pt idx="22">
                  <c:v>42</c:v>
                </c:pt>
                <c:pt idx="23">
                  <c:v>38</c:v>
                </c:pt>
                <c:pt idx="24">
                  <c:v>42</c:v>
                </c:pt>
                <c:pt idx="25">
                  <c:v>39</c:v>
                </c:pt>
                <c:pt idx="26">
                  <c:v>43</c:v>
                </c:pt>
                <c:pt idx="27">
                  <c:v>35</c:v>
                </c:pt>
                <c:pt idx="28">
                  <c:v>40</c:v>
                </c:pt>
                <c:pt idx="29">
                  <c:v>48</c:v>
                </c:pt>
                <c:pt idx="30">
                  <c:v>41</c:v>
                </c:pt>
                <c:pt idx="31">
                  <c:v>43</c:v>
                </c:pt>
                <c:pt idx="32">
                  <c:v>50</c:v>
                </c:pt>
                <c:pt idx="33">
                  <c:v>43</c:v>
                </c:pt>
                <c:pt idx="34">
                  <c:v>47</c:v>
                </c:pt>
                <c:pt idx="35">
                  <c:v>51</c:v>
                </c:pt>
                <c:pt idx="36">
                  <c:v>44</c:v>
                </c:pt>
                <c:pt idx="37">
                  <c:v>57</c:v>
                </c:pt>
                <c:pt idx="38">
                  <c:v>52</c:v>
                </c:pt>
                <c:pt idx="39">
                  <c:v>57</c:v>
                </c:pt>
                <c:pt idx="40">
                  <c:v>59</c:v>
                </c:pt>
              </c:numCache>
            </c:numRef>
          </c:val>
        </c:ser>
        <c:overlap val="-25"/>
        <c:axId val="211934208"/>
        <c:axId val="211940096"/>
      </c:barChart>
      <c:catAx>
        <c:axId val="211934208"/>
        <c:scaling>
          <c:orientation val="minMax"/>
        </c:scaling>
        <c:axPos val="l"/>
        <c:majorGridlines/>
        <c:numFmt formatCode="General" sourceLinked="1"/>
        <c:tickLblPos val="nextTo"/>
        <c:crossAx val="211940096"/>
        <c:crosses val="autoZero"/>
        <c:auto val="1"/>
        <c:lblAlgn val="ctr"/>
        <c:lblOffset val="100"/>
      </c:catAx>
      <c:valAx>
        <c:axId val="211940096"/>
        <c:scaling>
          <c:orientation val="minMax"/>
        </c:scaling>
        <c:axPos val="b"/>
        <c:numFmt formatCode="General" sourceLinked="1"/>
        <c:tickLblPos val="nextTo"/>
        <c:crossAx val="211934208"/>
        <c:crosses val="autoZero"/>
        <c:crossBetween val="between"/>
      </c:valAx>
    </c:plotArea>
    <c:legend>
      <c:legendPos val="r"/>
      <c:layout>
        <c:manualLayout>
          <c:xMode val="edge"/>
          <c:yMode val="edge"/>
          <c:x val="0.83765112262521602"/>
          <c:y val="0.23354231974921633"/>
          <c:w val="0.13644214162348881"/>
          <c:h val="0.30721003134796243"/>
        </c:manualLayout>
      </c:layout>
    </c:legend>
    <c:plotVisOnly val="1"/>
    <c:dispBlanksAs val="gap"/>
  </c:chart>
  <c:txPr>
    <a:bodyPr/>
    <a:lstStyle/>
    <a:p>
      <a:pPr>
        <a:defRPr b="1"/>
      </a:pPr>
      <a:endParaRPr lang="lt-LT"/>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34108590770276376"/>
          <c:y val="4.8589341692789952E-2"/>
          <c:w val="0.44611141665213483"/>
          <c:h val="0.78996865203761768"/>
        </c:manualLayout>
      </c:layout>
      <c:barChart>
        <c:barDir val="bar"/>
        <c:grouping val="clustered"/>
        <c:ser>
          <c:idx val="0"/>
          <c:order val="0"/>
          <c:tx>
            <c:strRef>
              <c:f>Lapas1!$B$1</c:f>
              <c:strCache>
                <c:ptCount val="1"/>
                <c:pt idx="0">
                  <c:v>Mergaitės</c:v>
                </c:pt>
              </c:strCache>
            </c:strRef>
          </c:tx>
          <c:spPr>
            <a:solidFill>
              <a:srgbClr val="FF0000"/>
            </a:solidFill>
            <a:ln w="6850">
              <a:solidFill>
                <a:srgbClr val="FF0000"/>
              </a:solidFill>
              <a:prstDash val="solid"/>
            </a:ln>
          </c:spPr>
          <c:dLbls>
            <c:spPr>
              <a:noFill/>
              <a:ln w="18999">
                <a:noFill/>
              </a:ln>
            </c:spPr>
            <c:showVal val="1"/>
          </c:dLbls>
          <c:cat>
            <c:strRef>
              <c:f>Lapas1!$A$2:$A$41</c:f>
              <c:strCache>
                <c:ptCount val="40"/>
                <c:pt idx="0">
                  <c:v>Vidurkis</c:v>
                </c:pt>
                <c:pt idx="1">
                  <c:v>Švedija</c:v>
                </c:pt>
                <c:pt idx="2">
                  <c:v>Ispanija</c:v>
                </c:pt>
                <c:pt idx="3">
                  <c:v>Čekija</c:v>
                </c:pt>
                <c:pt idx="4">
                  <c:v>Malta*</c:v>
                </c:pt>
                <c:pt idx="5">
                  <c:v>Islandija*</c:v>
                </c:pt>
                <c:pt idx="6">
                  <c:v>Suomija*</c:v>
                </c:pt>
                <c:pt idx="7">
                  <c:v>Airija</c:v>
                </c:pt>
                <c:pt idx="8">
                  <c:v>Kroatija*</c:v>
                </c:pt>
                <c:pt idx="9">
                  <c:v>Vengrija</c:v>
                </c:pt>
                <c:pt idx="10">
                  <c:v>Danija</c:v>
                </c:pt>
                <c:pt idx="11">
                  <c:v>Anglija</c:v>
                </c:pt>
                <c:pt idx="12">
                  <c:v>Škotija</c:v>
                </c:pt>
                <c:pt idx="13">
                  <c:v>Slovėnija*</c:v>
                </c:pt>
                <c:pt idx="14">
                  <c:v>Makedonija*</c:v>
                </c:pt>
                <c:pt idx="15">
                  <c:v>Nyderlandai</c:v>
                </c:pt>
                <c:pt idx="16">
                  <c:v>Norvegija*</c:v>
                </c:pt>
                <c:pt idx="17">
                  <c:v>Belgija (Flamandai)</c:v>
                </c:pt>
                <c:pt idx="18">
                  <c:v>Italija*</c:v>
                </c:pt>
                <c:pt idx="19">
                  <c:v>Lenkija*</c:v>
                </c:pt>
                <c:pt idx="20">
                  <c:v>Šveicarija</c:v>
                </c:pt>
                <c:pt idx="21">
                  <c:v>Velsas</c:v>
                </c:pt>
                <c:pt idx="22">
                  <c:v>Vokietija</c:v>
                </c:pt>
                <c:pt idx="23">
                  <c:v>Austrija*</c:v>
                </c:pt>
                <c:pt idx="24">
                  <c:v>Liuksemburgas</c:v>
                </c:pt>
                <c:pt idx="25">
                  <c:v>Portugalija</c:v>
                </c:pt>
                <c:pt idx="26">
                  <c:v>Prancūzija</c:v>
                </c:pt>
                <c:pt idx="27">
                  <c:v>JAV</c:v>
                </c:pt>
                <c:pt idx="28">
                  <c:v>Bulgarija*</c:v>
                </c:pt>
                <c:pt idx="29">
                  <c:v>Belgija (prancūzai)*</c:v>
                </c:pt>
                <c:pt idx="30">
                  <c:v>Kanada</c:v>
                </c:pt>
                <c:pt idx="31">
                  <c:v>Graikija</c:v>
                </c:pt>
                <c:pt idx="32">
                  <c:v>Rumunija*</c:v>
                </c:pt>
                <c:pt idx="33">
                  <c:v>Rusijos Federacija</c:v>
                </c:pt>
                <c:pt idx="34">
                  <c:v>Ukraina*</c:v>
                </c:pt>
                <c:pt idx="35">
                  <c:v>Latvija</c:v>
                </c:pt>
                <c:pt idx="36">
                  <c:v>Grenlandija*</c:v>
                </c:pt>
                <c:pt idx="37">
                  <c:v>Estija*</c:v>
                </c:pt>
                <c:pt idx="38">
                  <c:v>Lietuva</c:v>
                </c:pt>
                <c:pt idx="39">
                  <c:v>Turkija*</c:v>
                </c:pt>
              </c:strCache>
            </c:strRef>
          </c:cat>
          <c:val>
            <c:numRef>
              <c:f>Lapas1!$B$2:$B$41</c:f>
              <c:numCache>
                <c:formatCode>General</c:formatCode>
                <c:ptCount val="40"/>
                <c:pt idx="0">
                  <c:v>13</c:v>
                </c:pt>
                <c:pt idx="1">
                  <c:v>4</c:v>
                </c:pt>
                <c:pt idx="2">
                  <c:v>5</c:v>
                </c:pt>
                <c:pt idx="3">
                  <c:v>5</c:v>
                </c:pt>
                <c:pt idx="4">
                  <c:v>4</c:v>
                </c:pt>
                <c:pt idx="5">
                  <c:v>6</c:v>
                </c:pt>
                <c:pt idx="6">
                  <c:v>7</c:v>
                </c:pt>
                <c:pt idx="7">
                  <c:v>8</c:v>
                </c:pt>
                <c:pt idx="8">
                  <c:v>7</c:v>
                </c:pt>
                <c:pt idx="9">
                  <c:v>10</c:v>
                </c:pt>
                <c:pt idx="10">
                  <c:v>9</c:v>
                </c:pt>
                <c:pt idx="11">
                  <c:v>9</c:v>
                </c:pt>
                <c:pt idx="12">
                  <c:v>10</c:v>
                </c:pt>
                <c:pt idx="13">
                  <c:v>9</c:v>
                </c:pt>
                <c:pt idx="14">
                  <c:v>7</c:v>
                </c:pt>
                <c:pt idx="15">
                  <c:v>9</c:v>
                </c:pt>
                <c:pt idx="16">
                  <c:v>9</c:v>
                </c:pt>
                <c:pt idx="17">
                  <c:v>11</c:v>
                </c:pt>
                <c:pt idx="18">
                  <c:v>7</c:v>
                </c:pt>
                <c:pt idx="19">
                  <c:v>9</c:v>
                </c:pt>
                <c:pt idx="20">
                  <c:v>12</c:v>
                </c:pt>
                <c:pt idx="21">
                  <c:v>14</c:v>
                </c:pt>
                <c:pt idx="22">
                  <c:v>15</c:v>
                </c:pt>
                <c:pt idx="23">
                  <c:v>11</c:v>
                </c:pt>
                <c:pt idx="24">
                  <c:v>16</c:v>
                </c:pt>
                <c:pt idx="25">
                  <c:v>15</c:v>
                </c:pt>
                <c:pt idx="26">
                  <c:v>16</c:v>
                </c:pt>
                <c:pt idx="27">
                  <c:v>15</c:v>
                </c:pt>
                <c:pt idx="28">
                  <c:v>14</c:v>
                </c:pt>
                <c:pt idx="29">
                  <c:v>13</c:v>
                </c:pt>
                <c:pt idx="30">
                  <c:v>19</c:v>
                </c:pt>
                <c:pt idx="31">
                  <c:v>23</c:v>
                </c:pt>
                <c:pt idx="32">
                  <c:v>16</c:v>
                </c:pt>
                <c:pt idx="33">
                  <c:v>21</c:v>
                </c:pt>
                <c:pt idx="34">
                  <c:v>25</c:v>
                </c:pt>
                <c:pt idx="35">
                  <c:v>23</c:v>
                </c:pt>
                <c:pt idx="36">
                  <c:v>28</c:v>
                </c:pt>
                <c:pt idx="37">
                  <c:v>25</c:v>
                </c:pt>
                <c:pt idx="38">
                  <c:v>29</c:v>
                </c:pt>
                <c:pt idx="39">
                  <c:v>30</c:v>
                </c:pt>
              </c:numCache>
            </c:numRef>
          </c:val>
        </c:ser>
        <c:ser>
          <c:idx val="1"/>
          <c:order val="1"/>
          <c:tx>
            <c:strRef>
              <c:f>Lapas1!$C$1</c:f>
              <c:strCache>
                <c:ptCount val="1"/>
                <c:pt idx="0">
                  <c:v>Berniukai</c:v>
                </c:pt>
              </c:strCache>
            </c:strRef>
          </c:tx>
          <c:spPr>
            <a:solidFill>
              <a:srgbClr val="0070C0"/>
            </a:solidFill>
            <a:ln w="6850">
              <a:solidFill>
                <a:srgbClr val="0070C0"/>
              </a:solidFill>
              <a:prstDash val="solid"/>
            </a:ln>
          </c:spPr>
          <c:dLbls>
            <c:spPr>
              <a:noFill/>
              <a:ln w="18999">
                <a:noFill/>
              </a:ln>
            </c:spPr>
            <c:showVal val="1"/>
          </c:dLbls>
          <c:cat>
            <c:strRef>
              <c:f>Lapas1!$A$2:$A$41</c:f>
              <c:strCache>
                <c:ptCount val="40"/>
                <c:pt idx="0">
                  <c:v>Vidurkis</c:v>
                </c:pt>
                <c:pt idx="1">
                  <c:v>Švedija</c:v>
                </c:pt>
                <c:pt idx="2">
                  <c:v>Ispanija</c:v>
                </c:pt>
                <c:pt idx="3">
                  <c:v>Čekija</c:v>
                </c:pt>
                <c:pt idx="4">
                  <c:v>Malta*</c:v>
                </c:pt>
                <c:pt idx="5">
                  <c:v>Islandija*</c:v>
                </c:pt>
                <c:pt idx="6">
                  <c:v>Suomija*</c:v>
                </c:pt>
                <c:pt idx="7">
                  <c:v>Airija</c:v>
                </c:pt>
                <c:pt idx="8">
                  <c:v>Kroatija*</c:v>
                </c:pt>
                <c:pt idx="9">
                  <c:v>Vengrija</c:v>
                </c:pt>
                <c:pt idx="10">
                  <c:v>Danija</c:v>
                </c:pt>
                <c:pt idx="11">
                  <c:v>Anglija</c:v>
                </c:pt>
                <c:pt idx="12">
                  <c:v>Škotija</c:v>
                </c:pt>
                <c:pt idx="13">
                  <c:v>Slovėnija*</c:v>
                </c:pt>
                <c:pt idx="14">
                  <c:v>Makedonija*</c:v>
                </c:pt>
                <c:pt idx="15">
                  <c:v>Nyderlandai</c:v>
                </c:pt>
                <c:pt idx="16">
                  <c:v>Norvegija*</c:v>
                </c:pt>
                <c:pt idx="17">
                  <c:v>Belgija (Flamandai)</c:v>
                </c:pt>
                <c:pt idx="18">
                  <c:v>Italija*</c:v>
                </c:pt>
                <c:pt idx="19">
                  <c:v>Lenkija*</c:v>
                </c:pt>
                <c:pt idx="20">
                  <c:v>Šveicarija</c:v>
                </c:pt>
                <c:pt idx="21">
                  <c:v>Velsas</c:v>
                </c:pt>
                <c:pt idx="22">
                  <c:v>Vokietija</c:v>
                </c:pt>
                <c:pt idx="23">
                  <c:v>Austrija*</c:v>
                </c:pt>
                <c:pt idx="24">
                  <c:v>Liuksemburgas</c:v>
                </c:pt>
                <c:pt idx="25">
                  <c:v>Portugalija</c:v>
                </c:pt>
                <c:pt idx="26">
                  <c:v>Prancūzija</c:v>
                </c:pt>
                <c:pt idx="27">
                  <c:v>JAV</c:v>
                </c:pt>
                <c:pt idx="28">
                  <c:v>Bulgarija*</c:v>
                </c:pt>
                <c:pt idx="29">
                  <c:v>Belgija (prancūzai)*</c:v>
                </c:pt>
                <c:pt idx="30">
                  <c:v>Kanada</c:v>
                </c:pt>
                <c:pt idx="31">
                  <c:v>Graikija</c:v>
                </c:pt>
                <c:pt idx="32">
                  <c:v>Rumunija*</c:v>
                </c:pt>
                <c:pt idx="33">
                  <c:v>Rusijos Federacija</c:v>
                </c:pt>
                <c:pt idx="34">
                  <c:v>Ukraina*</c:v>
                </c:pt>
                <c:pt idx="35">
                  <c:v>Latvija</c:v>
                </c:pt>
                <c:pt idx="36">
                  <c:v>Grenlandija*</c:v>
                </c:pt>
                <c:pt idx="37">
                  <c:v>Estija*</c:v>
                </c:pt>
                <c:pt idx="38">
                  <c:v>Lietuva</c:v>
                </c:pt>
                <c:pt idx="39">
                  <c:v>Turkija*</c:v>
                </c:pt>
              </c:strCache>
            </c:strRef>
          </c:cat>
          <c:val>
            <c:numRef>
              <c:f>Lapas1!$C$2:$C$41</c:f>
              <c:numCache>
                <c:formatCode>General</c:formatCode>
                <c:ptCount val="40"/>
                <c:pt idx="0">
                  <c:v>16</c:v>
                </c:pt>
                <c:pt idx="1">
                  <c:v>4</c:v>
                </c:pt>
                <c:pt idx="2">
                  <c:v>6</c:v>
                </c:pt>
                <c:pt idx="3">
                  <c:v>6</c:v>
                </c:pt>
                <c:pt idx="4">
                  <c:v>9</c:v>
                </c:pt>
                <c:pt idx="5">
                  <c:v>8</c:v>
                </c:pt>
                <c:pt idx="6">
                  <c:v>11</c:v>
                </c:pt>
                <c:pt idx="7">
                  <c:v>11</c:v>
                </c:pt>
                <c:pt idx="8">
                  <c:v>11</c:v>
                </c:pt>
                <c:pt idx="9">
                  <c:v>9</c:v>
                </c:pt>
                <c:pt idx="10">
                  <c:v>11</c:v>
                </c:pt>
                <c:pt idx="11">
                  <c:v>11</c:v>
                </c:pt>
                <c:pt idx="12">
                  <c:v>11</c:v>
                </c:pt>
                <c:pt idx="13">
                  <c:v>13</c:v>
                </c:pt>
                <c:pt idx="14">
                  <c:v>14</c:v>
                </c:pt>
                <c:pt idx="15">
                  <c:v>12</c:v>
                </c:pt>
                <c:pt idx="16">
                  <c:v>13</c:v>
                </c:pt>
                <c:pt idx="17">
                  <c:v>11</c:v>
                </c:pt>
                <c:pt idx="18">
                  <c:v>15</c:v>
                </c:pt>
                <c:pt idx="19">
                  <c:v>14</c:v>
                </c:pt>
                <c:pt idx="20">
                  <c:v>15</c:v>
                </c:pt>
                <c:pt idx="21">
                  <c:v>13</c:v>
                </c:pt>
                <c:pt idx="22">
                  <c:v>16</c:v>
                </c:pt>
                <c:pt idx="23">
                  <c:v>20</c:v>
                </c:pt>
                <c:pt idx="24">
                  <c:v>15</c:v>
                </c:pt>
                <c:pt idx="25">
                  <c:v>17</c:v>
                </c:pt>
                <c:pt idx="26">
                  <c:v>17</c:v>
                </c:pt>
                <c:pt idx="27">
                  <c:v>18</c:v>
                </c:pt>
                <c:pt idx="28">
                  <c:v>19</c:v>
                </c:pt>
                <c:pt idx="29">
                  <c:v>25</c:v>
                </c:pt>
                <c:pt idx="30">
                  <c:v>21</c:v>
                </c:pt>
                <c:pt idx="31">
                  <c:v>19</c:v>
                </c:pt>
                <c:pt idx="32">
                  <c:v>26</c:v>
                </c:pt>
                <c:pt idx="33">
                  <c:v>23</c:v>
                </c:pt>
                <c:pt idx="34">
                  <c:v>20</c:v>
                </c:pt>
                <c:pt idx="35">
                  <c:v>24</c:v>
                </c:pt>
                <c:pt idx="36">
                  <c:v>27</c:v>
                </c:pt>
                <c:pt idx="37">
                  <c:v>34</c:v>
                </c:pt>
                <c:pt idx="38">
                  <c:v>32</c:v>
                </c:pt>
                <c:pt idx="39">
                  <c:v>37</c:v>
                </c:pt>
              </c:numCache>
            </c:numRef>
          </c:val>
        </c:ser>
        <c:overlap val="-25"/>
        <c:axId val="211889536"/>
        <c:axId val="211895424"/>
      </c:barChart>
      <c:catAx>
        <c:axId val="211889536"/>
        <c:scaling>
          <c:orientation val="minMax"/>
        </c:scaling>
        <c:axPos val="l"/>
        <c:majorGridlines/>
        <c:numFmt formatCode="General" sourceLinked="1"/>
        <c:tickLblPos val="nextTo"/>
        <c:crossAx val="211895424"/>
        <c:crosses val="autoZero"/>
        <c:auto val="1"/>
        <c:lblAlgn val="ctr"/>
        <c:lblOffset val="100"/>
      </c:catAx>
      <c:valAx>
        <c:axId val="211895424"/>
        <c:scaling>
          <c:orientation val="minMax"/>
        </c:scaling>
        <c:axPos val="b"/>
        <c:numFmt formatCode="General" sourceLinked="1"/>
        <c:tickLblPos val="nextTo"/>
        <c:crossAx val="211889536"/>
        <c:crosses val="autoZero"/>
        <c:crossBetween val="between"/>
      </c:valAx>
    </c:plotArea>
    <c:legend>
      <c:legendPos val="r"/>
      <c:layout>
        <c:manualLayout>
          <c:xMode val="edge"/>
          <c:yMode val="edge"/>
          <c:x val="0.84256055363321802"/>
          <c:y val="0.51320931884738408"/>
          <c:w val="0.12975778546712807"/>
          <c:h val="0.24384404519814459"/>
        </c:manualLayout>
      </c:layout>
    </c:legend>
    <c:plotVisOnly val="1"/>
    <c:dispBlanksAs val="gap"/>
  </c:chart>
  <c:txPr>
    <a:bodyPr/>
    <a:lstStyle/>
    <a:p>
      <a:pPr>
        <a:defRPr b="1">
          <a:latin typeface="Times New Roman" pitchFamily="18" charset="0"/>
          <a:cs typeface="Times New Roman" pitchFamily="18" charset="0"/>
        </a:defRPr>
      </a:pPr>
      <a:endParaRPr lang="lt-LT"/>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33851468048359246"/>
          <c:y val="4.3887147335423198E-2"/>
          <c:w val="0.44905008635578586"/>
          <c:h val="0.7476489028213168"/>
        </c:manualLayout>
      </c:layout>
      <c:barChart>
        <c:barDir val="bar"/>
        <c:grouping val="clustered"/>
        <c:ser>
          <c:idx val="0"/>
          <c:order val="0"/>
          <c:tx>
            <c:strRef>
              <c:f>Lapas1!$B$1</c:f>
              <c:strCache>
                <c:ptCount val="1"/>
                <c:pt idx="0">
                  <c:v>Mergaitės</c:v>
                </c:pt>
              </c:strCache>
            </c:strRef>
          </c:tx>
          <c:spPr>
            <a:solidFill>
              <a:srgbClr val="FF0000"/>
            </a:solidFill>
            <a:ln w="7036">
              <a:solidFill>
                <a:srgbClr val="FF0000"/>
              </a:solidFill>
              <a:prstDash val="solid"/>
            </a:ln>
          </c:spPr>
          <c:dLbls>
            <c:spPr>
              <a:noFill/>
              <a:ln w="19010">
                <a:noFill/>
              </a:ln>
            </c:spPr>
            <c:showVal val="1"/>
          </c:dLbls>
          <c:cat>
            <c:strRef>
              <c:f>Lapas1!$A$2:$A$41</c:f>
              <c:strCache>
                <c:ptCount val="40"/>
                <c:pt idx="0">
                  <c:v>Vidurkis</c:v>
                </c:pt>
                <c:pt idx="1">
                  <c:v>Švedija</c:v>
                </c:pt>
                <c:pt idx="2">
                  <c:v>Ispanija*</c:v>
                </c:pt>
                <c:pt idx="3">
                  <c:v>Islandija*</c:v>
                </c:pt>
                <c:pt idx="4">
                  <c:v>Čekija</c:v>
                </c:pt>
                <c:pt idx="5">
                  <c:v>Norvegija*</c:v>
                </c:pt>
                <c:pt idx="6">
                  <c:v>Vengrija</c:v>
                </c:pt>
                <c:pt idx="7">
                  <c:v>Danija</c:v>
                </c:pt>
                <c:pt idx="8">
                  <c:v>Malta</c:v>
                </c:pt>
                <c:pt idx="9">
                  <c:v>Airija*</c:v>
                </c:pt>
                <c:pt idx="10">
                  <c:v>Belgija (flamandai)</c:v>
                </c:pt>
                <c:pt idx="11">
                  <c:v>Italija</c:v>
                </c:pt>
                <c:pt idx="12">
                  <c:v>Nyderlandai</c:v>
                </c:pt>
                <c:pt idx="13">
                  <c:v>Suomija</c:v>
                </c:pt>
                <c:pt idx="14">
                  <c:v>Kroatija</c:v>
                </c:pt>
                <c:pt idx="15">
                  <c:v>Slovėnija</c:v>
                </c:pt>
                <c:pt idx="16">
                  <c:v>Makedonija*</c:v>
                </c:pt>
                <c:pt idx="17">
                  <c:v>Velsas</c:v>
                </c:pt>
                <c:pt idx="18">
                  <c:v>Anglija*</c:v>
                </c:pt>
                <c:pt idx="19">
                  <c:v>Lenkija*</c:v>
                </c:pt>
                <c:pt idx="20">
                  <c:v>JAV</c:v>
                </c:pt>
                <c:pt idx="21">
                  <c:v>Škotija</c:v>
                </c:pt>
                <c:pt idx="22">
                  <c:v>Šveicarija*</c:v>
                </c:pt>
                <c:pt idx="23">
                  <c:v>Prancūzija</c:v>
                </c:pt>
                <c:pt idx="24">
                  <c:v>Liuksemburgas</c:v>
                </c:pt>
                <c:pt idx="25">
                  <c:v>Vokietija</c:v>
                </c:pt>
                <c:pt idx="26">
                  <c:v>Bulgarija</c:v>
                </c:pt>
                <c:pt idx="27">
                  <c:v>Kanada*</c:v>
                </c:pt>
                <c:pt idx="28">
                  <c:v>Portugalija*</c:v>
                </c:pt>
                <c:pt idx="29">
                  <c:v>Belgija (prancūzai)*</c:v>
                </c:pt>
                <c:pt idx="30">
                  <c:v>Rusijos Federacija</c:v>
                </c:pt>
                <c:pt idx="31">
                  <c:v>Austrija*</c:v>
                </c:pt>
                <c:pt idx="32">
                  <c:v>Rumunija</c:v>
                </c:pt>
                <c:pt idx="33">
                  <c:v>Ukraina</c:v>
                </c:pt>
                <c:pt idx="34">
                  <c:v>Estija*</c:v>
                </c:pt>
                <c:pt idx="35">
                  <c:v>Latvija*</c:v>
                </c:pt>
                <c:pt idx="36">
                  <c:v>Grenlandija*</c:v>
                </c:pt>
                <c:pt idx="37">
                  <c:v>Turkija</c:v>
                </c:pt>
                <c:pt idx="38">
                  <c:v>Graikija</c:v>
                </c:pt>
                <c:pt idx="39">
                  <c:v>Lietuva</c:v>
                </c:pt>
              </c:strCache>
            </c:strRef>
          </c:cat>
          <c:val>
            <c:numRef>
              <c:f>Lapas1!$B$2:$B$41</c:f>
              <c:numCache>
                <c:formatCode>General</c:formatCode>
                <c:ptCount val="40"/>
                <c:pt idx="0">
                  <c:v>13</c:v>
                </c:pt>
                <c:pt idx="1">
                  <c:v>4</c:v>
                </c:pt>
                <c:pt idx="2">
                  <c:v>4</c:v>
                </c:pt>
                <c:pt idx="3">
                  <c:v>4</c:v>
                </c:pt>
                <c:pt idx="4">
                  <c:v>5</c:v>
                </c:pt>
                <c:pt idx="5">
                  <c:v>6</c:v>
                </c:pt>
                <c:pt idx="6">
                  <c:v>8</c:v>
                </c:pt>
                <c:pt idx="7">
                  <c:v>8</c:v>
                </c:pt>
                <c:pt idx="8">
                  <c:v>6</c:v>
                </c:pt>
                <c:pt idx="9">
                  <c:v>7</c:v>
                </c:pt>
                <c:pt idx="10">
                  <c:v>9</c:v>
                </c:pt>
                <c:pt idx="11">
                  <c:v>8</c:v>
                </c:pt>
                <c:pt idx="12">
                  <c:v>8</c:v>
                </c:pt>
                <c:pt idx="13">
                  <c:v>9</c:v>
                </c:pt>
                <c:pt idx="14">
                  <c:v>9</c:v>
                </c:pt>
                <c:pt idx="15">
                  <c:v>10</c:v>
                </c:pt>
                <c:pt idx="16">
                  <c:v>7</c:v>
                </c:pt>
                <c:pt idx="17">
                  <c:v>10</c:v>
                </c:pt>
                <c:pt idx="18">
                  <c:v>9</c:v>
                </c:pt>
                <c:pt idx="19">
                  <c:v>8</c:v>
                </c:pt>
                <c:pt idx="20">
                  <c:v>10</c:v>
                </c:pt>
                <c:pt idx="21">
                  <c:v>12</c:v>
                </c:pt>
                <c:pt idx="22">
                  <c:v>11</c:v>
                </c:pt>
                <c:pt idx="23">
                  <c:v>14</c:v>
                </c:pt>
                <c:pt idx="24">
                  <c:v>13</c:v>
                </c:pt>
                <c:pt idx="25">
                  <c:v>13</c:v>
                </c:pt>
                <c:pt idx="26">
                  <c:v>13</c:v>
                </c:pt>
                <c:pt idx="27">
                  <c:v>13</c:v>
                </c:pt>
                <c:pt idx="28">
                  <c:v>13</c:v>
                </c:pt>
                <c:pt idx="29">
                  <c:v>12</c:v>
                </c:pt>
                <c:pt idx="30">
                  <c:v>17</c:v>
                </c:pt>
                <c:pt idx="31">
                  <c:v>16</c:v>
                </c:pt>
                <c:pt idx="32">
                  <c:v>19</c:v>
                </c:pt>
                <c:pt idx="33">
                  <c:v>22</c:v>
                </c:pt>
                <c:pt idx="34">
                  <c:v>20</c:v>
                </c:pt>
                <c:pt idx="35">
                  <c:v>21</c:v>
                </c:pt>
                <c:pt idx="36">
                  <c:v>30</c:v>
                </c:pt>
                <c:pt idx="37">
                  <c:v>26</c:v>
                </c:pt>
                <c:pt idx="38">
                  <c:v>27</c:v>
                </c:pt>
                <c:pt idx="39">
                  <c:v>29</c:v>
                </c:pt>
              </c:numCache>
            </c:numRef>
          </c:val>
        </c:ser>
        <c:ser>
          <c:idx val="1"/>
          <c:order val="1"/>
          <c:tx>
            <c:strRef>
              <c:f>Lapas1!$C$1</c:f>
              <c:strCache>
                <c:ptCount val="1"/>
                <c:pt idx="0">
                  <c:v>Berniukai</c:v>
                </c:pt>
              </c:strCache>
            </c:strRef>
          </c:tx>
          <c:spPr>
            <a:solidFill>
              <a:srgbClr val="0070C0"/>
            </a:solidFill>
            <a:ln w="7036">
              <a:solidFill>
                <a:srgbClr val="0070C0"/>
              </a:solidFill>
              <a:prstDash val="solid"/>
            </a:ln>
          </c:spPr>
          <c:dLbls>
            <c:spPr>
              <a:noFill/>
              <a:ln w="19010">
                <a:noFill/>
              </a:ln>
            </c:spPr>
            <c:showVal val="1"/>
          </c:dLbls>
          <c:cat>
            <c:strRef>
              <c:f>Lapas1!$A$2:$A$41</c:f>
              <c:strCache>
                <c:ptCount val="40"/>
                <c:pt idx="0">
                  <c:v>Vidurkis</c:v>
                </c:pt>
                <c:pt idx="1">
                  <c:v>Švedija</c:v>
                </c:pt>
                <c:pt idx="2">
                  <c:v>Ispanija*</c:v>
                </c:pt>
                <c:pt idx="3">
                  <c:v>Islandija*</c:v>
                </c:pt>
                <c:pt idx="4">
                  <c:v>Čekija</c:v>
                </c:pt>
                <c:pt idx="5">
                  <c:v>Norvegija*</c:v>
                </c:pt>
                <c:pt idx="6">
                  <c:v>Vengrija</c:v>
                </c:pt>
                <c:pt idx="7">
                  <c:v>Danija</c:v>
                </c:pt>
                <c:pt idx="8">
                  <c:v>Malta</c:v>
                </c:pt>
                <c:pt idx="9">
                  <c:v>Airija*</c:v>
                </c:pt>
                <c:pt idx="10">
                  <c:v>Belgija (flamandai)</c:v>
                </c:pt>
                <c:pt idx="11">
                  <c:v>Italija</c:v>
                </c:pt>
                <c:pt idx="12">
                  <c:v>Nyderlandai</c:v>
                </c:pt>
                <c:pt idx="13">
                  <c:v>Suomija</c:v>
                </c:pt>
                <c:pt idx="14">
                  <c:v>Kroatija</c:v>
                </c:pt>
                <c:pt idx="15">
                  <c:v>Slovėnija</c:v>
                </c:pt>
                <c:pt idx="16">
                  <c:v>Makedonija*</c:v>
                </c:pt>
                <c:pt idx="17">
                  <c:v>Velsas</c:v>
                </c:pt>
                <c:pt idx="18">
                  <c:v>Anglija*</c:v>
                </c:pt>
                <c:pt idx="19">
                  <c:v>Lenkija*</c:v>
                </c:pt>
                <c:pt idx="20">
                  <c:v>JAV</c:v>
                </c:pt>
                <c:pt idx="21">
                  <c:v>Škotija</c:v>
                </c:pt>
                <c:pt idx="22">
                  <c:v>Šveicarija*</c:v>
                </c:pt>
                <c:pt idx="23">
                  <c:v>Prancūzija</c:v>
                </c:pt>
                <c:pt idx="24">
                  <c:v>Liuksemburgas</c:v>
                </c:pt>
                <c:pt idx="25">
                  <c:v>Vokietija</c:v>
                </c:pt>
                <c:pt idx="26">
                  <c:v>Bulgarija</c:v>
                </c:pt>
                <c:pt idx="27">
                  <c:v>Kanada*</c:v>
                </c:pt>
                <c:pt idx="28">
                  <c:v>Portugalija*</c:v>
                </c:pt>
                <c:pt idx="29">
                  <c:v>Belgija (prancūzai)*</c:v>
                </c:pt>
                <c:pt idx="30">
                  <c:v>Rusijos Federacija</c:v>
                </c:pt>
                <c:pt idx="31">
                  <c:v>Austrija*</c:v>
                </c:pt>
                <c:pt idx="32">
                  <c:v>Rumunija</c:v>
                </c:pt>
                <c:pt idx="33">
                  <c:v>Ukraina</c:v>
                </c:pt>
                <c:pt idx="34">
                  <c:v>Estija*</c:v>
                </c:pt>
                <c:pt idx="35">
                  <c:v>Latvija*</c:v>
                </c:pt>
                <c:pt idx="36">
                  <c:v>Grenlandija*</c:v>
                </c:pt>
                <c:pt idx="37">
                  <c:v>Turkija</c:v>
                </c:pt>
                <c:pt idx="38">
                  <c:v>Graikija</c:v>
                </c:pt>
                <c:pt idx="39">
                  <c:v>Lietuva</c:v>
                </c:pt>
              </c:strCache>
            </c:strRef>
          </c:cat>
          <c:val>
            <c:numRef>
              <c:f>Lapas1!$C$2:$C$41</c:f>
              <c:numCache>
                <c:formatCode>General</c:formatCode>
                <c:ptCount val="40"/>
                <c:pt idx="0">
                  <c:v>15</c:v>
                </c:pt>
                <c:pt idx="1">
                  <c:v>5</c:v>
                </c:pt>
                <c:pt idx="2">
                  <c:v>6</c:v>
                </c:pt>
                <c:pt idx="3">
                  <c:v>6</c:v>
                </c:pt>
                <c:pt idx="4">
                  <c:v>7</c:v>
                </c:pt>
                <c:pt idx="5">
                  <c:v>9</c:v>
                </c:pt>
                <c:pt idx="6">
                  <c:v>7</c:v>
                </c:pt>
                <c:pt idx="7">
                  <c:v>8</c:v>
                </c:pt>
                <c:pt idx="8">
                  <c:v>10</c:v>
                </c:pt>
                <c:pt idx="9">
                  <c:v>10</c:v>
                </c:pt>
                <c:pt idx="10">
                  <c:v>9</c:v>
                </c:pt>
                <c:pt idx="11">
                  <c:v>10</c:v>
                </c:pt>
                <c:pt idx="12">
                  <c:v>10</c:v>
                </c:pt>
                <c:pt idx="13">
                  <c:v>10</c:v>
                </c:pt>
                <c:pt idx="14">
                  <c:v>10</c:v>
                </c:pt>
                <c:pt idx="15">
                  <c:v>11</c:v>
                </c:pt>
                <c:pt idx="16">
                  <c:v>14</c:v>
                </c:pt>
                <c:pt idx="17">
                  <c:v>11</c:v>
                </c:pt>
                <c:pt idx="18">
                  <c:v>12</c:v>
                </c:pt>
                <c:pt idx="19">
                  <c:v>13</c:v>
                </c:pt>
                <c:pt idx="20">
                  <c:v>11</c:v>
                </c:pt>
                <c:pt idx="21">
                  <c:v>10</c:v>
                </c:pt>
                <c:pt idx="22">
                  <c:v>16</c:v>
                </c:pt>
                <c:pt idx="23">
                  <c:v>15</c:v>
                </c:pt>
                <c:pt idx="24">
                  <c:v>16</c:v>
                </c:pt>
                <c:pt idx="25">
                  <c:v>16</c:v>
                </c:pt>
                <c:pt idx="26">
                  <c:v>16</c:v>
                </c:pt>
                <c:pt idx="27">
                  <c:v>18</c:v>
                </c:pt>
                <c:pt idx="28">
                  <c:v>19</c:v>
                </c:pt>
                <c:pt idx="29">
                  <c:v>20</c:v>
                </c:pt>
                <c:pt idx="30">
                  <c:v>18</c:v>
                </c:pt>
                <c:pt idx="31">
                  <c:v>20</c:v>
                </c:pt>
                <c:pt idx="32">
                  <c:v>20</c:v>
                </c:pt>
                <c:pt idx="33">
                  <c:v>20</c:v>
                </c:pt>
                <c:pt idx="34">
                  <c:v>26</c:v>
                </c:pt>
                <c:pt idx="35">
                  <c:v>29</c:v>
                </c:pt>
                <c:pt idx="36">
                  <c:v>22</c:v>
                </c:pt>
                <c:pt idx="37">
                  <c:v>29</c:v>
                </c:pt>
                <c:pt idx="38">
                  <c:v>29</c:v>
                </c:pt>
                <c:pt idx="39">
                  <c:v>29</c:v>
                </c:pt>
              </c:numCache>
            </c:numRef>
          </c:val>
        </c:ser>
        <c:overlap val="-25"/>
        <c:axId val="212018304"/>
        <c:axId val="212019840"/>
      </c:barChart>
      <c:catAx>
        <c:axId val="212018304"/>
        <c:scaling>
          <c:orientation val="minMax"/>
        </c:scaling>
        <c:axPos val="l"/>
        <c:majorGridlines/>
        <c:numFmt formatCode="General" sourceLinked="1"/>
        <c:tickLblPos val="nextTo"/>
        <c:crossAx val="212019840"/>
        <c:crosses val="autoZero"/>
        <c:auto val="1"/>
        <c:lblAlgn val="ctr"/>
        <c:lblOffset val="100"/>
      </c:catAx>
      <c:valAx>
        <c:axId val="212019840"/>
        <c:scaling>
          <c:orientation val="minMax"/>
        </c:scaling>
        <c:axPos val="b"/>
        <c:numFmt formatCode="General" sourceLinked="1"/>
        <c:tickLblPos val="nextTo"/>
        <c:crossAx val="212018304"/>
        <c:crosses val="autoZero"/>
        <c:crossBetween val="between"/>
      </c:valAx>
    </c:plotArea>
    <c:legend>
      <c:legendPos val="r"/>
      <c:layout>
        <c:manualLayout>
          <c:xMode val="edge"/>
          <c:yMode val="edge"/>
          <c:x val="0.85146804835924006"/>
          <c:y val="0.3793103448275863"/>
          <c:w val="0.13644214162348881"/>
          <c:h val="0.20062695924764887"/>
        </c:manualLayout>
      </c:layout>
    </c:legend>
    <c:plotVisOnly val="1"/>
    <c:dispBlanksAs val="gap"/>
  </c:chart>
  <c:txPr>
    <a:bodyPr/>
    <a:lstStyle/>
    <a:p>
      <a:pPr>
        <a:defRPr b="1">
          <a:latin typeface="Times New Roman" pitchFamily="18" charset="0"/>
          <a:cs typeface="Times New Roman" pitchFamily="18" charset="0"/>
        </a:defRPr>
      </a:pPr>
      <a:endParaRPr lang="lt-LT"/>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lt-LT"/>
  <c:chart>
    <c:plotArea>
      <c:layout>
        <c:manualLayout>
          <c:layoutTarget val="inner"/>
          <c:xMode val="edge"/>
          <c:yMode val="edge"/>
          <c:x val="0.23888994730264709"/>
          <c:y val="4.5454545454545463E-2"/>
          <c:w val="0.57698847300025335"/>
          <c:h val="0.81974921630094066"/>
        </c:manualLayout>
      </c:layout>
      <c:barChart>
        <c:barDir val="bar"/>
        <c:grouping val="clustered"/>
        <c:ser>
          <c:idx val="0"/>
          <c:order val="0"/>
          <c:tx>
            <c:strRef>
              <c:f>Lapas1!$B$1</c:f>
              <c:strCache>
                <c:ptCount val="1"/>
                <c:pt idx="0">
                  <c:v>Mergaitės</c:v>
                </c:pt>
              </c:strCache>
            </c:strRef>
          </c:tx>
          <c:spPr>
            <a:solidFill>
              <a:srgbClr val="FF0000"/>
            </a:solidFill>
            <a:ln w="7051">
              <a:solidFill>
                <a:srgbClr val="FF0000"/>
              </a:solidFill>
              <a:prstDash val="solid"/>
            </a:ln>
          </c:spPr>
          <c:dLbls>
            <c:spPr>
              <a:noFill/>
              <a:ln w="18989">
                <a:noFill/>
              </a:ln>
            </c:spPr>
            <c:showVal val="1"/>
          </c:dLbls>
          <c:cat>
            <c:strRef>
              <c:f>Lapas1!$A$2:$A$42</c:f>
              <c:strCache>
                <c:ptCount val="40"/>
                <c:pt idx="0">
                  <c:v>Vidurkis</c:v>
                </c:pt>
                <c:pt idx="1">
                  <c:v>Islandija</c:v>
                </c:pt>
                <c:pt idx="2">
                  <c:v>Vengrija</c:v>
                </c:pt>
                <c:pt idx="3">
                  <c:v>Ispanija</c:v>
                </c:pt>
                <c:pt idx="4">
                  <c:v>Švedija*</c:v>
                </c:pt>
                <c:pt idx="5">
                  <c:v>Malta</c:v>
                </c:pt>
                <c:pt idx="6">
                  <c:v>Čekija</c:v>
                </c:pt>
                <c:pt idx="7">
                  <c:v>Italija</c:v>
                </c:pt>
                <c:pt idx="8">
                  <c:v>Nyderlandai</c:v>
                </c:pt>
                <c:pt idx="9">
                  <c:v>Danija</c:v>
                </c:pt>
                <c:pt idx="10">
                  <c:v>Suomija</c:v>
                </c:pt>
                <c:pt idx="11">
                  <c:v>Slovėnija*</c:v>
                </c:pt>
                <c:pt idx="12">
                  <c:v>Norvegija</c:v>
                </c:pt>
                <c:pt idx="13">
                  <c:v>Kroatija</c:v>
                </c:pt>
                <c:pt idx="14">
                  <c:v>Lenkija*</c:v>
                </c:pt>
                <c:pt idx="15">
                  <c:v>Makedonija*</c:v>
                </c:pt>
                <c:pt idx="16">
                  <c:v>Škotija</c:v>
                </c:pt>
                <c:pt idx="17">
                  <c:v>Belgija (flamandai)*</c:v>
                </c:pt>
                <c:pt idx="18">
                  <c:v>JAV</c:v>
                </c:pt>
                <c:pt idx="19">
                  <c:v>Anglija</c:v>
                </c:pt>
                <c:pt idx="20">
                  <c:v>Airija</c:v>
                </c:pt>
                <c:pt idx="21">
                  <c:v>Kanada</c:v>
                </c:pt>
                <c:pt idx="22">
                  <c:v>Rumunija*</c:v>
                </c:pt>
                <c:pt idx="23">
                  <c:v>Šveicarija</c:v>
                </c:pt>
                <c:pt idx="24">
                  <c:v>Prancūzija</c:v>
                </c:pt>
                <c:pt idx="25">
                  <c:v>Rusijos Federacija</c:v>
                </c:pt>
                <c:pt idx="26">
                  <c:v>Velsas</c:v>
                </c:pt>
                <c:pt idx="27">
                  <c:v>Liuksemburgas</c:v>
                </c:pt>
                <c:pt idx="28">
                  <c:v>Portugalija</c:v>
                </c:pt>
                <c:pt idx="29">
                  <c:v>Vokietija</c:v>
                </c:pt>
                <c:pt idx="30">
                  <c:v>Austrija*</c:v>
                </c:pt>
                <c:pt idx="31">
                  <c:v>Estija</c:v>
                </c:pt>
                <c:pt idx="32">
                  <c:v>Latvija</c:v>
                </c:pt>
                <c:pt idx="33">
                  <c:v>Turkija*</c:v>
                </c:pt>
                <c:pt idx="34">
                  <c:v>Ukraina</c:v>
                </c:pt>
                <c:pt idx="35">
                  <c:v>Belgija (prancūzai)*</c:v>
                </c:pt>
                <c:pt idx="36">
                  <c:v>Grenlandija*</c:v>
                </c:pt>
                <c:pt idx="37">
                  <c:v>Graikija</c:v>
                </c:pt>
                <c:pt idx="38">
                  <c:v>Lietuva</c:v>
                </c:pt>
                <c:pt idx="39">
                  <c:v>Bulgarija*</c:v>
                </c:pt>
              </c:strCache>
            </c:strRef>
          </c:cat>
          <c:val>
            <c:numRef>
              <c:f>Lapas1!$B$2:$B$42</c:f>
              <c:numCache>
                <c:formatCode>General</c:formatCode>
                <c:ptCount val="41"/>
                <c:pt idx="0">
                  <c:v>8</c:v>
                </c:pt>
                <c:pt idx="1">
                  <c:v>2</c:v>
                </c:pt>
                <c:pt idx="2">
                  <c:v>3</c:v>
                </c:pt>
                <c:pt idx="3">
                  <c:v>4</c:v>
                </c:pt>
                <c:pt idx="4">
                  <c:v>3</c:v>
                </c:pt>
                <c:pt idx="5">
                  <c:v>2</c:v>
                </c:pt>
                <c:pt idx="6">
                  <c:v>4</c:v>
                </c:pt>
                <c:pt idx="7">
                  <c:v>5</c:v>
                </c:pt>
                <c:pt idx="8">
                  <c:v>4</c:v>
                </c:pt>
                <c:pt idx="9">
                  <c:v>5</c:v>
                </c:pt>
                <c:pt idx="10">
                  <c:v>5</c:v>
                </c:pt>
                <c:pt idx="11">
                  <c:v>3</c:v>
                </c:pt>
                <c:pt idx="12">
                  <c:v>6</c:v>
                </c:pt>
                <c:pt idx="13">
                  <c:v>6</c:v>
                </c:pt>
                <c:pt idx="14">
                  <c:v>5</c:v>
                </c:pt>
                <c:pt idx="15">
                  <c:v>5</c:v>
                </c:pt>
                <c:pt idx="16">
                  <c:v>7</c:v>
                </c:pt>
                <c:pt idx="17">
                  <c:v>6</c:v>
                </c:pt>
                <c:pt idx="18">
                  <c:v>7</c:v>
                </c:pt>
                <c:pt idx="19">
                  <c:v>8</c:v>
                </c:pt>
                <c:pt idx="20">
                  <c:v>7</c:v>
                </c:pt>
                <c:pt idx="21">
                  <c:v>9</c:v>
                </c:pt>
                <c:pt idx="22">
                  <c:v>8</c:v>
                </c:pt>
                <c:pt idx="23">
                  <c:v>9</c:v>
                </c:pt>
                <c:pt idx="24">
                  <c:v>10</c:v>
                </c:pt>
                <c:pt idx="25">
                  <c:v>10</c:v>
                </c:pt>
                <c:pt idx="26">
                  <c:v>11</c:v>
                </c:pt>
                <c:pt idx="27">
                  <c:v>12</c:v>
                </c:pt>
                <c:pt idx="28">
                  <c:v>10</c:v>
                </c:pt>
                <c:pt idx="29">
                  <c:v>11</c:v>
                </c:pt>
                <c:pt idx="30">
                  <c:v>9</c:v>
                </c:pt>
                <c:pt idx="31">
                  <c:v>13</c:v>
                </c:pt>
                <c:pt idx="32">
                  <c:v>14</c:v>
                </c:pt>
                <c:pt idx="33">
                  <c:v>12</c:v>
                </c:pt>
                <c:pt idx="34">
                  <c:v>14</c:v>
                </c:pt>
                <c:pt idx="35">
                  <c:v>11</c:v>
                </c:pt>
                <c:pt idx="36">
                  <c:v>15</c:v>
                </c:pt>
                <c:pt idx="37">
                  <c:v>17</c:v>
                </c:pt>
                <c:pt idx="38">
                  <c:v>21</c:v>
                </c:pt>
                <c:pt idx="39">
                  <c:v>14</c:v>
                </c:pt>
              </c:numCache>
            </c:numRef>
          </c:val>
        </c:ser>
        <c:ser>
          <c:idx val="1"/>
          <c:order val="1"/>
          <c:tx>
            <c:strRef>
              <c:f>Lapas1!$C$1</c:f>
              <c:strCache>
                <c:ptCount val="1"/>
                <c:pt idx="0">
                  <c:v>Berniukai</c:v>
                </c:pt>
              </c:strCache>
            </c:strRef>
          </c:tx>
          <c:spPr>
            <a:solidFill>
              <a:srgbClr val="0070C0"/>
            </a:solidFill>
            <a:ln w="7051">
              <a:solidFill>
                <a:srgbClr val="0070C0"/>
              </a:solidFill>
              <a:prstDash val="solid"/>
            </a:ln>
          </c:spPr>
          <c:dLbls>
            <c:spPr>
              <a:noFill/>
              <a:ln w="18989">
                <a:noFill/>
              </a:ln>
            </c:spPr>
            <c:showVal val="1"/>
          </c:dLbls>
          <c:cat>
            <c:strRef>
              <c:f>Lapas1!$A$2:$A$42</c:f>
              <c:strCache>
                <c:ptCount val="40"/>
                <c:pt idx="0">
                  <c:v>Vidurkis</c:v>
                </c:pt>
                <c:pt idx="1">
                  <c:v>Islandija</c:v>
                </c:pt>
                <c:pt idx="2">
                  <c:v>Vengrija</c:v>
                </c:pt>
                <c:pt idx="3">
                  <c:v>Ispanija</c:v>
                </c:pt>
                <c:pt idx="4">
                  <c:v>Švedija*</c:v>
                </c:pt>
                <c:pt idx="5">
                  <c:v>Malta</c:v>
                </c:pt>
                <c:pt idx="6">
                  <c:v>Čekija</c:v>
                </c:pt>
                <c:pt idx="7">
                  <c:v>Italija</c:v>
                </c:pt>
                <c:pt idx="8">
                  <c:v>Nyderlandai</c:v>
                </c:pt>
                <c:pt idx="9">
                  <c:v>Danija</c:v>
                </c:pt>
                <c:pt idx="10">
                  <c:v>Suomija</c:v>
                </c:pt>
                <c:pt idx="11">
                  <c:v>Slovėnija*</c:v>
                </c:pt>
                <c:pt idx="12">
                  <c:v>Norvegija</c:v>
                </c:pt>
                <c:pt idx="13">
                  <c:v>Kroatija</c:v>
                </c:pt>
                <c:pt idx="14">
                  <c:v>Lenkija*</c:v>
                </c:pt>
                <c:pt idx="15">
                  <c:v>Makedonija*</c:v>
                </c:pt>
                <c:pt idx="16">
                  <c:v>Škotija</c:v>
                </c:pt>
                <c:pt idx="17">
                  <c:v>Belgija (flamandai)*</c:v>
                </c:pt>
                <c:pt idx="18">
                  <c:v>JAV</c:v>
                </c:pt>
                <c:pt idx="19">
                  <c:v>Anglija</c:v>
                </c:pt>
                <c:pt idx="20">
                  <c:v>Airija</c:v>
                </c:pt>
                <c:pt idx="21">
                  <c:v>Kanada</c:v>
                </c:pt>
                <c:pt idx="22">
                  <c:v>Rumunija*</c:v>
                </c:pt>
                <c:pt idx="23">
                  <c:v>Šveicarija</c:v>
                </c:pt>
                <c:pt idx="24">
                  <c:v>Prancūzija</c:v>
                </c:pt>
                <c:pt idx="25">
                  <c:v>Rusijos Federacija</c:v>
                </c:pt>
                <c:pt idx="26">
                  <c:v>Velsas</c:v>
                </c:pt>
                <c:pt idx="27">
                  <c:v>Liuksemburgas</c:v>
                </c:pt>
                <c:pt idx="28">
                  <c:v>Portugalija</c:v>
                </c:pt>
                <c:pt idx="29">
                  <c:v>Vokietija</c:v>
                </c:pt>
                <c:pt idx="30">
                  <c:v>Austrija*</c:v>
                </c:pt>
                <c:pt idx="31">
                  <c:v>Estija</c:v>
                </c:pt>
                <c:pt idx="32">
                  <c:v>Latvija</c:v>
                </c:pt>
                <c:pt idx="33">
                  <c:v>Turkija*</c:v>
                </c:pt>
                <c:pt idx="34">
                  <c:v>Ukraina</c:v>
                </c:pt>
                <c:pt idx="35">
                  <c:v>Belgija (prancūzai)*</c:v>
                </c:pt>
                <c:pt idx="36">
                  <c:v>Grenlandija*</c:v>
                </c:pt>
                <c:pt idx="37">
                  <c:v>Graikija</c:v>
                </c:pt>
                <c:pt idx="38">
                  <c:v>Lietuva</c:v>
                </c:pt>
                <c:pt idx="39">
                  <c:v>Bulgarija*</c:v>
                </c:pt>
              </c:strCache>
            </c:strRef>
          </c:cat>
          <c:val>
            <c:numRef>
              <c:f>Lapas1!$C$2:$C$42</c:f>
              <c:numCache>
                <c:formatCode>General</c:formatCode>
                <c:ptCount val="41"/>
                <c:pt idx="0">
                  <c:v>11</c:v>
                </c:pt>
                <c:pt idx="1">
                  <c:v>4</c:v>
                </c:pt>
                <c:pt idx="2">
                  <c:v>3</c:v>
                </c:pt>
                <c:pt idx="3">
                  <c:v>3</c:v>
                </c:pt>
                <c:pt idx="4">
                  <c:v>5</c:v>
                </c:pt>
                <c:pt idx="5">
                  <c:v>6</c:v>
                </c:pt>
                <c:pt idx="6">
                  <c:v>6</c:v>
                </c:pt>
                <c:pt idx="7">
                  <c:v>5</c:v>
                </c:pt>
                <c:pt idx="8">
                  <c:v>6</c:v>
                </c:pt>
                <c:pt idx="9">
                  <c:v>6</c:v>
                </c:pt>
                <c:pt idx="10">
                  <c:v>6</c:v>
                </c:pt>
                <c:pt idx="11">
                  <c:v>10</c:v>
                </c:pt>
                <c:pt idx="12">
                  <c:v>7</c:v>
                </c:pt>
                <c:pt idx="13">
                  <c:v>7</c:v>
                </c:pt>
                <c:pt idx="14">
                  <c:v>8</c:v>
                </c:pt>
                <c:pt idx="15">
                  <c:v>8</c:v>
                </c:pt>
                <c:pt idx="16">
                  <c:v>7</c:v>
                </c:pt>
                <c:pt idx="17">
                  <c:v>8</c:v>
                </c:pt>
                <c:pt idx="18">
                  <c:v>8</c:v>
                </c:pt>
                <c:pt idx="19">
                  <c:v>9</c:v>
                </c:pt>
                <c:pt idx="20">
                  <c:v>9</c:v>
                </c:pt>
                <c:pt idx="21">
                  <c:v>9</c:v>
                </c:pt>
                <c:pt idx="22">
                  <c:v>12</c:v>
                </c:pt>
                <c:pt idx="23">
                  <c:v>10</c:v>
                </c:pt>
                <c:pt idx="24">
                  <c:v>9</c:v>
                </c:pt>
                <c:pt idx="25">
                  <c:v>9</c:v>
                </c:pt>
                <c:pt idx="26">
                  <c:v>9</c:v>
                </c:pt>
                <c:pt idx="27">
                  <c:v>11</c:v>
                </c:pt>
                <c:pt idx="28">
                  <c:v>13</c:v>
                </c:pt>
                <c:pt idx="29">
                  <c:v>13</c:v>
                </c:pt>
                <c:pt idx="30">
                  <c:v>18</c:v>
                </c:pt>
                <c:pt idx="31">
                  <c:v>14</c:v>
                </c:pt>
                <c:pt idx="32">
                  <c:v>16</c:v>
                </c:pt>
                <c:pt idx="33">
                  <c:v>18</c:v>
                </c:pt>
                <c:pt idx="34">
                  <c:v>17</c:v>
                </c:pt>
                <c:pt idx="35">
                  <c:v>22</c:v>
                </c:pt>
                <c:pt idx="36">
                  <c:v>20</c:v>
                </c:pt>
                <c:pt idx="37">
                  <c:v>21</c:v>
                </c:pt>
                <c:pt idx="38">
                  <c:v>23</c:v>
                </c:pt>
                <c:pt idx="39">
                  <c:v>34</c:v>
                </c:pt>
              </c:numCache>
            </c:numRef>
          </c:val>
        </c:ser>
        <c:overlap val="-25"/>
        <c:axId val="211446400"/>
        <c:axId val="211460480"/>
      </c:barChart>
      <c:catAx>
        <c:axId val="211446400"/>
        <c:scaling>
          <c:orientation val="minMax"/>
        </c:scaling>
        <c:axPos val="l"/>
        <c:majorGridlines/>
        <c:numFmt formatCode="General" sourceLinked="1"/>
        <c:tickLblPos val="nextTo"/>
        <c:crossAx val="211460480"/>
        <c:crosses val="autoZero"/>
        <c:auto val="1"/>
        <c:lblAlgn val="ctr"/>
        <c:lblOffset val="100"/>
      </c:catAx>
      <c:valAx>
        <c:axId val="211460480"/>
        <c:scaling>
          <c:orientation val="minMax"/>
        </c:scaling>
        <c:axPos val="b"/>
        <c:numFmt formatCode="General" sourceLinked="1"/>
        <c:tickLblPos val="nextTo"/>
        <c:crossAx val="211446400"/>
        <c:crosses val="autoZero"/>
        <c:crossBetween val="between"/>
      </c:valAx>
    </c:plotArea>
    <c:legend>
      <c:legendPos val="r"/>
      <c:layout>
        <c:manualLayout>
          <c:xMode val="edge"/>
          <c:yMode val="edge"/>
          <c:x val="0.84121621621621623"/>
          <c:y val="0.14576802507836994"/>
          <c:w val="0.13344594594594594"/>
          <c:h val="0.30721003134796243"/>
        </c:manualLayout>
      </c:layout>
    </c:legend>
    <c:plotVisOnly val="1"/>
    <c:dispBlanksAs val="gap"/>
  </c:chart>
  <c:txPr>
    <a:bodyPr/>
    <a:lstStyle/>
    <a:p>
      <a:pPr>
        <a:defRPr b="1">
          <a:latin typeface="Times New Roman" pitchFamily="18" charset="0"/>
          <a:cs typeface="Times New Roman" pitchFamily="18" charset="0"/>
        </a:defRPr>
      </a:pPr>
      <a:endParaRPr lang="lt-LT"/>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31250000000000006"/>
          <c:y val="4.2319749216300939E-2"/>
          <c:w val="0.47972972972972977"/>
          <c:h val="0.82915360501567403"/>
        </c:manualLayout>
      </c:layout>
      <c:barChart>
        <c:barDir val="bar"/>
        <c:grouping val="clustered"/>
        <c:ser>
          <c:idx val="0"/>
          <c:order val="0"/>
          <c:tx>
            <c:strRef>
              <c:f>Lapas1!$B$1</c:f>
              <c:strCache>
                <c:ptCount val="1"/>
                <c:pt idx="0">
                  <c:v>Mergaitės</c:v>
                </c:pt>
              </c:strCache>
            </c:strRef>
          </c:tx>
          <c:spPr>
            <a:solidFill>
              <a:srgbClr val="FF0000"/>
            </a:solidFill>
            <a:ln w="6963">
              <a:solidFill>
                <a:srgbClr val="FF0000"/>
              </a:solidFill>
              <a:prstDash val="solid"/>
            </a:ln>
          </c:spPr>
          <c:dLbls>
            <c:spPr>
              <a:noFill/>
              <a:ln w="18989">
                <a:noFill/>
              </a:ln>
            </c:spPr>
            <c:showVal val="1"/>
          </c:dLbls>
          <c:cat>
            <c:strRef>
              <c:f>Lapas1!$A$2:$A$41</c:f>
              <c:strCache>
                <c:ptCount val="40"/>
                <c:pt idx="0">
                  <c:v>Vidurkis</c:v>
                </c:pt>
                <c:pt idx="1">
                  <c:v>Švedija*</c:v>
                </c:pt>
                <c:pt idx="2">
                  <c:v>Čekija</c:v>
                </c:pt>
                <c:pt idx="3">
                  <c:v>Vengrija</c:v>
                </c:pt>
                <c:pt idx="4">
                  <c:v>Anglija*</c:v>
                </c:pt>
                <c:pt idx="5">
                  <c:v>Islandija*</c:v>
                </c:pt>
                <c:pt idx="6">
                  <c:v>Suomija*</c:v>
                </c:pt>
                <c:pt idx="7">
                  <c:v>Airija*</c:v>
                </c:pt>
                <c:pt idx="8">
                  <c:v>Velsas*</c:v>
                </c:pt>
                <c:pt idx="9">
                  <c:v>Malta*</c:v>
                </c:pt>
                <c:pt idx="10">
                  <c:v>Danija*</c:v>
                </c:pt>
                <c:pt idx="11">
                  <c:v>Ispanija</c:v>
                </c:pt>
                <c:pt idx="12">
                  <c:v>Škotija*</c:v>
                </c:pt>
                <c:pt idx="13">
                  <c:v>Norvegija*</c:v>
                </c:pt>
                <c:pt idx="14">
                  <c:v>Kroatija*</c:v>
                </c:pt>
                <c:pt idx="15">
                  <c:v>Belgija (flamandai)*</c:v>
                </c:pt>
                <c:pt idx="16">
                  <c:v>Slovėnija*</c:v>
                </c:pt>
                <c:pt idx="17">
                  <c:v>Nyderlandai*</c:v>
                </c:pt>
                <c:pt idx="18">
                  <c:v>Vokietija*</c:v>
                </c:pt>
                <c:pt idx="19">
                  <c:v>Liuksemburgas</c:v>
                </c:pt>
                <c:pt idx="20">
                  <c:v>Kanada*</c:v>
                </c:pt>
                <c:pt idx="21">
                  <c:v>Austrija*</c:v>
                </c:pt>
                <c:pt idx="22">
                  <c:v>Šveicarija*</c:v>
                </c:pt>
                <c:pt idx="23">
                  <c:v>JAV</c:v>
                </c:pt>
                <c:pt idx="24">
                  <c:v>Prancūzija*</c:v>
                </c:pt>
                <c:pt idx="25">
                  <c:v>Lenkija*</c:v>
                </c:pt>
                <c:pt idx="26">
                  <c:v>Italija*</c:v>
                </c:pt>
                <c:pt idx="27">
                  <c:v>Makedonija*</c:v>
                </c:pt>
                <c:pt idx="28">
                  <c:v>Portugalija*</c:v>
                </c:pt>
                <c:pt idx="29">
                  <c:v>Bulgarija*</c:v>
                </c:pt>
                <c:pt idx="30">
                  <c:v>Graikija*</c:v>
                </c:pt>
                <c:pt idx="31">
                  <c:v>Belgija (prancūzai)*</c:v>
                </c:pt>
                <c:pt idx="32">
                  <c:v>Ukraina*</c:v>
                </c:pt>
                <c:pt idx="33">
                  <c:v>Latvija*</c:v>
                </c:pt>
                <c:pt idx="34">
                  <c:v>Rusijos Federacija*</c:v>
                </c:pt>
                <c:pt idx="35">
                  <c:v>Lietuva*</c:v>
                </c:pt>
                <c:pt idx="36">
                  <c:v>Estija*</c:v>
                </c:pt>
                <c:pt idx="37">
                  <c:v>Turkija*</c:v>
                </c:pt>
                <c:pt idx="38">
                  <c:v>Rumunija*</c:v>
                </c:pt>
                <c:pt idx="39">
                  <c:v>Grenlandija*</c:v>
                </c:pt>
              </c:strCache>
            </c:strRef>
          </c:cat>
          <c:val>
            <c:numRef>
              <c:f>Lapas1!$B$2:$B$41</c:f>
              <c:numCache>
                <c:formatCode>General</c:formatCode>
                <c:ptCount val="40"/>
                <c:pt idx="0">
                  <c:v>6</c:v>
                </c:pt>
                <c:pt idx="1">
                  <c:v>1</c:v>
                </c:pt>
                <c:pt idx="2">
                  <c:v>2</c:v>
                </c:pt>
                <c:pt idx="3">
                  <c:v>2</c:v>
                </c:pt>
                <c:pt idx="4">
                  <c:v>2</c:v>
                </c:pt>
                <c:pt idx="5">
                  <c:v>2</c:v>
                </c:pt>
                <c:pt idx="6">
                  <c:v>2</c:v>
                </c:pt>
                <c:pt idx="7">
                  <c:v>2</c:v>
                </c:pt>
                <c:pt idx="8">
                  <c:v>3</c:v>
                </c:pt>
                <c:pt idx="9">
                  <c:v>2</c:v>
                </c:pt>
                <c:pt idx="10">
                  <c:v>2</c:v>
                </c:pt>
                <c:pt idx="11">
                  <c:v>4</c:v>
                </c:pt>
                <c:pt idx="12">
                  <c:v>2</c:v>
                </c:pt>
                <c:pt idx="13">
                  <c:v>1</c:v>
                </c:pt>
                <c:pt idx="14">
                  <c:v>3</c:v>
                </c:pt>
                <c:pt idx="15">
                  <c:v>4</c:v>
                </c:pt>
                <c:pt idx="16">
                  <c:v>4</c:v>
                </c:pt>
                <c:pt idx="17">
                  <c:v>3</c:v>
                </c:pt>
                <c:pt idx="18">
                  <c:v>5</c:v>
                </c:pt>
                <c:pt idx="19">
                  <c:v>7</c:v>
                </c:pt>
                <c:pt idx="20">
                  <c:v>6</c:v>
                </c:pt>
                <c:pt idx="21">
                  <c:v>5</c:v>
                </c:pt>
                <c:pt idx="22">
                  <c:v>5</c:v>
                </c:pt>
                <c:pt idx="23">
                  <c:v>8</c:v>
                </c:pt>
                <c:pt idx="24">
                  <c:v>6</c:v>
                </c:pt>
                <c:pt idx="25">
                  <c:v>4</c:v>
                </c:pt>
                <c:pt idx="26">
                  <c:v>7</c:v>
                </c:pt>
                <c:pt idx="27">
                  <c:v>7</c:v>
                </c:pt>
                <c:pt idx="28">
                  <c:v>8</c:v>
                </c:pt>
                <c:pt idx="29">
                  <c:v>7</c:v>
                </c:pt>
                <c:pt idx="30">
                  <c:v>8</c:v>
                </c:pt>
                <c:pt idx="31">
                  <c:v>8</c:v>
                </c:pt>
                <c:pt idx="32">
                  <c:v>11</c:v>
                </c:pt>
                <c:pt idx="33">
                  <c:v>14</c:v>
                </c:pt>
                <c:pt idx="34">
                  <c:v>13</c:v>
                </c:pt>
                <c:pt idx="35">
                  <c:v>11</c:v>
                </c:pt>
                <c:pt idx="36">
                  <c:v>9</c:v>
                </c:pt>
                <c:pt idx="37">
                  <c:v>16</c:v>
                </c:pt>
                <c:pt idx="38">
                  <c:v>16</c:v>
                </c:pt>
                <c:pt idx="39">
                  <c:v>22</c:v>
                </c:pt>
              </c:numCache>
            </c:numRef>
          </c:val>
        </c:ser>
        <c:ser>
          <c:idx val="1"/>
          <c:order val="1"/>
          <c:tx>
            <c:strRef>
              <c:f>Lapas1!$C$1</c:f>
              <c:strCache>
                <c:ptCount val="1"/>
                <c:pt idx="0">
                  <c:v>Berniukai</c:v>
                </c:pt>
              </c:strCache>
            </c:strRef>
          </c:tx>
          <c:spPr>
            <a:solidFill>
              <a:srgbClr val="0070C0"/>
            </a:solidFill>
            <a:ln w="6963">
              <a:solidFill>
                <a:srgbClr val="0070C0"/>
              </a:solidFill>
              <a:prstDash val="solid"/>
            </a:ln>
          </c:spPr>
          <c:dPt>
            <c:idx val="15"/>
            <c:spPr>
              <a:solidFill>
                <a:srgbClr val="0070C0"/>
              </a:solidFill>
              <a:ln w="6963">
                <a:solidFill>
                  <a:srgbClr val="FF0000"/>
                </a:solidFill>
                <a:prstDash val="solid"/>
              </a:ln>
            </c:spPr>
          </c:dPt>
          <c:dLbls>
            <c:spPr>
              <a:noFill/>
              <a:ln w="18989">
                <a:noFill/>
              </a:ln>
            </c:spPr>
            <c:showVal val="1"/>
          </c:dLbls>
          <c:cat>
            <c:strRef>
              <c:f>Lapas1!$A$2:$A$41</c:f>
              <c:strCache>
                <c:ptCount val="40"/>
                <c:pt idx="0">
                  <c:v>Vidurkis</c:v>
                </c:pt>
                <c:pt idx="1">
                  <c:v>Švedija*</c:v>
                </c:pt>
                <c:pt idx="2">
                  <c:v>Čekija</c:v>
                </c:pt>
                <c:pt idx="3">
                  <c:v>Vengrija</c:v>
                </c:pt>
                <c:pt idx="4">
                  <c:v>Anglija*</c:v>
                </c:pt>
                <c:pt idx="5">
                  <c:v>Islandija*</c:v>
                </c:pt>
                <c:pt idx="6">
                  <c:v>Suomija*</c:v>
                </c:pt>
                <c:pt idx="7">
                  <c:v>Airija*</c:v>
                </c:pt>
                <c:pt idx="8">
                  <c:v>Velsas*</c:v>
                </c:pt>
                <c:pt idx="9">
                  <c:v>Malta*</c:v>
                </c:pt>
                <c:pt idx="10">
                  <c:v>Danija*</c:v>
                </c:pt>
                <c:pt idx="11">
                  <c:v>Ispanija</c:v>
                </c:pt>
                <c:pt idx="12">
                  <c:v>Škotija*</c:v>
                </c:pt>
                <c:pt idx="13">
                  <c:v>Norvegija*</c:v>
                </c:pt>
                <c:pt idx="14">
                  <c:v>Kroatija*</c:v>
                </c:pt>
                <c:pt idx="15">
                  <c:v>Belgija (flamandai)*</c:v>
                </c:pt>
                <c:pt idx="16">
                  <c:v>Slovėnija*</c:v>
                </c:pt>
                <c:pt idx="17">
                  <c:v>Nyderlandai*</c:v>
                </c:pt>
                <c:pt idx="18">
                  <c:v>Vokietija*</c:v>
                </c:pt>
                <c:pt idx="19">
                  <c:v>Liuksemburgas</c:v>
                </c:pt>
                <c:pt idx="20">
                  <c:v>Kanada*</c:v>
                </c:pt>
                <c:pt idx="21">
                  <c:v>Austrija*</c:v>
                </c:pt>
                <c:pt idx="22">
                  <c:v>Šveicarija*</c:v>
                </c:pt>
                <c:pt idx="23">
                  <c:v>JAV</c:v>
                </c:pt>
                <c:pt idx="24">
                  <c:v>Prancūzija*</c:v>
                </c:pt>
                <c:pt idx="25">
                  <c:v>Lenkija*</c:v>
                </c:pt>
                <c:pt idx="26">
                  <c:v>Italija*</c:v>
                </c:pt>
                <c:pt idx="27">
                  <c:v>Makedonija*</c:v>
                </c:pt>
                <c:pt idx="28">
                  <c:v>Portugalija*</c:v>
                </c:pt>
                <c:pt idx="29">
                  <c:v>Bulgarija*</c:v>
                </c:pt>
                <c:pt idx="30">
                  <c:v>Graikija*</c:v>
                </c:pt>
                <c:pt idx="31">
                  <c:v>Belgija (prancūzai)*</c:v>
                </c:pt>
                <c:pt idx="32">
                  <c:v>Ukraina*</c:v>
                </c:pt>
                <c:pt idx="33">
                  <c:v>Latvija*</c:v>
                </c:pt>
                <c:pt idx="34">
                  <c:v>Rusijos Federacija*</c:v>
                </c:pt>
                <c:pt idx="35">
                  <c:v>Lietuva*</c:v>
                </c:pt>
                <c:pt idx="36">
                  <c:v>Estija*</c:v>
                </c:pt>
                <c:pt idx="37">
                  <c:v>Turkija*</c:v>
                </c:pt>
                <c:pt idx="38">
                  <c:v>Rumunija*</c:v>
                </c:pt>
                <c:pt idx="39">
                  <c:v>Grenlandija*</c:v>
                </c:pt>
              </c:strCache>
            </c:strRef>
          </c:cat>
          <c:val>
            <c:numRef>
              <c:f>Lapas1!$C$2:$C$41</c:f>
              <c:numCache>
                <c:formatCode>General</c:formatCode>
                <c:ptCount val="40"/>
                <c:pt idx="0">
                  <c:v>12</c:v>
                </c:pt>
                <c:pt idx="1">
                  <c:v>3</c:v>
                </c:pt>
                <c:pt idx="2">
                  <c:v>3</c:v>
                </c:pt>
                <c:pt idx="3">
                  <c:v>3</c:v>
                </c:pt>
                <c:pt idx="4">
                  <c:v>4</c:v>
                </c:pt>
                <c:pt idx="5">
                  <c:v>5</c:v>
                </c:pt>
                <c:pt idx="6">
                  <c:v>5</c:v>
                </c:pt>
                <c:pt idx="7">
                  <c:v>6</c:v>
                </c:pt>
                <c:pt idx="8">
                  <c:v>5</c:v>
                </c:pt>
                <c:pt idx="9">
                  <c:v>6</c:v>
                </c:pt>
                <c:pt idx="10">
                  <c:v>7</c:v>
                </c:pt>
                <c:pt idx="11">
                  <c:v>5</c:v>
                </c:pt>
                <c:pt idx="12">
                  <c:v>7</c:v>
                </c:pt>
                <c:pt idx="13">
                  <c:v>8</c:v>
                </c:pt>
                <c:pt idx="14">
                  <c:v>7</c:v>
                </c:pt>
                <c:pt idx="15">
                  <c:v>8</c:v>
                </c:pt>
                <c:pt idx="16">
                  <c:v>8</c:v>
                </c:pt>
                <c:pt idx="17">
                  <c:v>11</c:v>
                </c:pt>
                <c:pt idx="18">
                  <c:v>9</c:v>
                </c:pt>
                <c:pt idx="19">
                  <c:v>8</c:v>
                </c:pt>
                <c:pt idx="20">
                  <c:v>10</c:v>
                </c:pt>
                <c:pt idx="21">
                  <c:v>11</c:v>
                </c:pt>
                <c:pt idx="22">
                  <c:v>13</c:v>
                </c:pt>
                <c:pt idx="23">
                  <c:v>11</c:v>
                </c:pt>
                <c:pt idx="24">
                  <c:v>13</c:v>
                </c:pt>
                <c:pt idx="25">
                  <c:v>15</c:v>
                </c:pt>
                <c:pt idx="26">
                  <c:v>13</c:v>
                </c:pt>
                <c:pt idx="27">
                  <c:v>13</c:v>
                </c:pt>
                <c:pt idx="28">
                  <c:v>14</c:v>
                </c:pt>
                <c:pt idx="29">
                  <c:v>16</c:v>
                </c:pt>
                <c:pt idx="30">
                  <c:v>16</c:v>
                </c:pt>
                <c:pt idx="31">
                  <c:v>17</c:v>
                </c:pt>
                <c:pt idx="32">
                  <c:v>18</c:v>
                </c:pt>
                <c:pt idx="33">
                  <c:v>18</c:v>
                </c:pt>
                <c:pt idx="34">
                  <c:v>20</c:v>
                </c:pt>
                <c:pt idx="35">
                  <c:v>24</c:v>
                </c:pt>
                <c:pt idx="36">
                  <c:v>27</c:v>
                </c:pt>
                <c:pt idx="37">
                  <c:v>21</c:v>
                </c:pt>
                <c:pt idx="38">
                  <c:v>27</c:v>
                </c:pt>
                <c:pt idx="39">
                  <c:v>27</c:v>
                </c:pt>
              </c:numCache>
            </c:numRef>
          </c:val>
        </c:ser>
        <c:overlap val="-25"/>
        <c:axId val="173071744"/>
        <c:axId val="234935424"/>
      </c:barChart>
      <c:catAx>
        <c:axId val="173071744"/>
        <c:scaling>
          <c:orientation val="minMax"/>
        </c:scaling>
        <c:axPos val="l"/>
        <c:majorGridlines/>
        <c:numFmt formatCode="General" sourceLinked="1"/>
        <c:tickLblPos val="nextTo"/>
        <c:crossAx val="234935424"/>
        <c:crosses val="autoZero"/>
        <c:auto val="1"/>
        <c:lblAlgn val="ctr"/>
        <c:lblOffset val="100"/>
      </c:catAx>
      <c:valAx>
        <c:axId val="234935424"/>
        <c:scaling>
          <c:orientation val="minMax"/>
        </c:scaling>
        <c:axPos val="b"/>
        <c:numFmt formatCode="General" sourceLinked="1"/>
        <c:tickLblPos val="nextTo"/>
        <c:crossAx val="173071744"/>
        <c:crosses val="autoZero"/>
        <c:crossBetween val="between"/>
      </c:valAx>
    </c:plotArea>
    <c:legend>
      <c:legendPos val="r"/>
      <c:layout>
        <c:manualLayout>
          <c:xMode val="edge"/>
          <c:yMode val="edge"/>
          <c:x val="0.84966216216216217"/>
          <c:y val="0.24137931034482762"/>
          <c:w val="0.13344594594594594"/>
          <c:h val="0.26332288401253923"/>
        </c:manualLayout>
      </c:layout>
    </c:legend>
    <c:plotVisOnly val="1"/>
    <c:dispBlanksAs val="gap"/>
  </c:chart>
  <c:txPr>
    <a:bodyPr/>
    <a:lstStyle/>
    <a:p>
      <a:pPr>
        <a:defRPr b="1">
          <a:latin typeface="Times New Roman" pitchFamily="18" charset="0"/>
          <a:cs typeface="Times New Roman" pitchFamily="18" charset="0"/>
        </a:defRPr>
      </a:pPr>
      <a:endParaRPr lang="lt-L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8.6402266288951812E-2"/>
          <c:y val="0.11524163568773239"/>
          <c:w val="0.54390934844192629"/>
          <c:h val="0.60966542750933195"/>
        </c:manualLayout>
      </c:layout>
      <c:barChart>
        <c:barDir val="col"/>
        <c:grouping val="clustered"/>
        <c:ser>
          <c:idx val="0"/>
          <c:order val="0"/>
          <c:tx>
            <c:strRef>
              <c:f>Lapas1!$B$1</c:f>
              <c:strCache>
                <c:ptCount val="1"/>
                <c:pt idx="0">
                  <c:v>Piktybiniai navikai</c:v>
                </c:pt>
              </c:strCache>
            </c:strRef>
          </c:tx>
          <c:spPr>
            <a:solidFill>
              <a:srgbClr val="00B0F0"/>
            </a:solidFill>
          </c:spPr>
          <c:dLbls>
            <c:spPr>
              <a:noFill/>
              <a:ln w="25452">
                <a:noFill/>
              </a:ln>
            </c:spPr>
            <c:showVal val="1"/>
          </c:dLbls>
          <c:cat>
            <c:strRef>
              <c:f>Lapas1!$A$2:$A$3</c:f>
              <c:strCache>
                <c:ptCount val="2"/>
                <c:pt idx="0">
                  <c:v>Lietuvos Respublika</c:v>
                </c:pt>
                <c:pt idx="1">
                  <c:v>Šiaulių miesto savivaldybė </c:v>
                </c:pt>
              </c:strCache>
            </c:strRef>
          </c:cat>
          <c:val>
            <c:numRef>
              <c:f>Lapas1!$B$2:$B$3</c:f>
              <c:numCache>
                <c:formatCode>General</c:formatCode>
                <c:ptCount val="2"/>
                <c:pt idx="0">
                  <c:v>243.5</c:v>
                </c:pt>
                <c:pt idx="1">
                  <c:v>244</c:v>
                </c:pt>
              </c:numCache>
            </c:numRef>
          </c:val>
        </c:ser>
        <c:ser>
          <c:idx val="1"/>
          <c:order val="1"/>
          <c:tx>
            <c:strRef>
              <c:f>Lapas1!$C$1</c:f>
              <c:strCache>
                <c:ptCount val="1"/>
                <c:pt idx="0">
                  <c:v>Kraujotakos sistemos ligos</c:v>
                </c:pt>
              </c:strCache>
            </c:strRef>
          </c:tx>
          <c:spPr>
            <a:solidFill>
              <a:srgbClr val="FF0000"/>
            </a:solidFill>
          </c:spPr>
          <c:dLbls>
            <c:spPr>
              <a:noFill/>
              <a:ln w="25452">
                <a:noFill/>
              </a:ln>
            </c:spPr>
            <c:showVal val="1"/>
          </c:dLbls>
          <c:cat>
            <c:strRef>
              <c:f>Lapas1!$A$2:$A$3</c:f>
              <c:strCache>
                <c:ptCount val="2"/>
                <c:pt idx="0">
                  <c:v>Lietuvos Respublika</c:v>
                </c:pt>
                <c:pt idx="1">
                  <c:v>Šiaulių miesto savivaldybė </c:v>
                </c:pt>
              </c:strCache>
            </c:strRef>
          </c:cat>
          <c:val>
            <c:numRef>
              <c:f>Lapas1!$C$2:$C$3</c:f>
              <c:numCache>
                <c:formatCode>General</c:formatCode>
                <c:ptCount val="2"/>
                <c:pt idx="0">
                  <c:v>697.5</c:v>
                </c:pt>
                <c:pt idx="1">
                  <c:v>520.5</c:v>
                </c:pt>
              </c:numCache>
            </c:numRef>
          </c:val>
        </c:ser>
        <c:ser>
          <c:idx val="2"/>
          <c:order val="2"/>
          <c:tx>
            <c:strRef>
              <c:f>Lapas1!$D$1</c:f>
              <c:strCache>
                <c:ptCount val="1"/>
                <c:pt idx="0">
                  <c:v>Kvėpavimo sistemos ligos</c:v>
                </c:pt>
              </c:strCache>
            </c:strRef>
          </c:tx>
          <c:spPr>
            <a:solidFill>
              <a:srgbClr val="00FF00"/>
            </a:solidFill>
          </c:spPr>
          <c:dLbls>
            <c:spPr>
              <a:noFill/>
              <a:ln w="25452">
                <a:noFill/>
              </a:ln>
            </c:spPr>
            <c:showVal val="1"/>
          </c:dLbls>
          <c:cat>
            <c:strRef>
              <c:f>Lapas1!$A$2:$A$3</c:f>
              <c:strCache>
                <c:ptCount val="2"/>
                <c:pt idx="0">
                  <c:v>Lietuvos Respublika</c:v>
                </c:pt>
                <c:pt idx="1">
                  <c:v>Šiaulių miesto savivaldybė </c:v>
                </c:pt>
              </c:strCache>
            </c:strRef>
          </c:cat>
          <c:val>
            <c:numRef>
              <c:f>Lapas1!$D$2:$D$3</c:f>
              <c:numCache>
                <c:formatCode>General</c:formatCode>
                <c:ptCount val="2"/>
                <c:pt idx="0">
                  <c:v>46.7</c:v>
                </c:pt>
                <c:pt idx="1">
                  <c:v>32.6</c:v>
                </c:pt>
              </c:numCache>
            </c:numRef>
          </c:val>
        </c:ser>
        <c:ser>
          <c:idx val="3"/>
          <c:order val="3"/>
          <c:tx>
            <c:strRef>
              <c:f>Lapas1!$E$1</c:f>
              <c:strCache>
                <c:ptCount val="1"/>
                <c:pt idx="0">
                  <c:v>Išorinės mirties priežastys</c:v>
                </c:pt>
              </c:strCache>
            </c:strRef>
          </c:tx>
          <c:spPr>
            <a:solidFill>
              <a:srgbClr val="7030A0"/>
            </a:solidFill>
          </c:spPr>
          <c:dLbls>
            <c:spPr>
              <a:noFill/>
              <a:ln w="25452">
                <a:noFill/>
              </a:ln>
            </c:spPr>
            <c:showVal val="1"/>
          </c:dLbls>
          <c:cat>
            <c:strRef>
              <c:f>Lapas1!$A$2:$A$3</c:f>
              <c:strCache>
                <c:ptCount val="2"/>
                <c:pt idx="0">
                  <c:v>Lietuvos Respublika</c:v>
                </c:pt>
                <c:pt idx="1">
                  <c:v>Šiaulių miesto savivaldybė </c:v>
                </c:pt>
              </c:strCache>
            </c:strRef>
          </c:cat>
          <c:val>
            <c:numRef>
              <c:f>Lapas1!$E$2:$E$3</c:f>
              <c:numCache>
                <c:formatCode>General</c:formatCode>
                <c:ptCount val="2"/>
                <c:pt idx="0">
                  <c:v>124.8</c:v>
                </c:pt>
                <c:pt idx="1">
                  <c:v>108.1</c:v>
                </c:pt>
              </c:numCache>
            </c:numRef>
          </c:val>
        </c:ser>
        <c:overlap val="-25"/>
        <c:axId val="269248768"/>
        <c:axId val="269262848"/>
      </c:barChart>
      <c:catAx>
        <c:axId val="269248768"/>
        <c:scaling>
          <c:orientation val="minMax"/>
        </c:scaling>
        <c:axPos val="b"/>
        <c:majorGridlines/>
        <c:numFmt formatCode="General" sourceLinked="1"/>
        <c:tickLblPos val="nextTo"/>
        <c:crossAx val="269262848"/>
        <c:crosses val="autoZero"/>
        <c:auto val="1"/>
        <c:lblAlgn val="ctr"/>
        <c:lblOffset val="100"/>
      </c:catAx>
      <c:valAx>
        <c:axId val="269262848"/>
        <c:scaling>
          <c:orientation val="minMax"/>
        </c:scaling>
        <c:axPos val="l"/>
        <c:numFmt formatCode="General" sourceLinked="1"/>
        <c:tickLblPos val="nextTo"/>
        <c:crossAx val="269248768"/>
        <c:crosses val="autoZero"/>
        <c:crossBetween val="between"/>
      </c:valAx>
      <c:spPr>
        <a:noFill/>
        <a:ln w="25452">
          <a:noFill/>
        </a:ln>
      </c:spPr>
    </c:plotArea>
    <c:legend>
      <c:legendPos val="r"/>
      <c:layout>
        <c:manualLayout>
          <c:xMode val="edge"/>
          <c:yMode val="edge"/>
          <c:x val="0.69547864793927794"/>
          <c:y val="3.3653918260217477E-2"/>
          <c:w val="0.29521281123643339"/>
          <c:h val="0.50961567304086985"/>
        </c:manualLayout>
      </c:layout>
    </c:legend>
    <c:plotVisOnly val="1"/>
    <c:dispBlanksAs val="gap"/>
  </c:chart>
  <c:spPr>
    <a:solidFill>
      <a:sysClr val="window" lastClr="FFFFFF"/>
    </a:solidFill>
    <a:ln w="9040"/>
  </c:spPr>
  <c:txPr>
    <a:bodyPr/>
    <a:lstStyle/>
    <a:p>
      <a:pPr>
        <a:defRPr b="1">
          <a:latin typeface="Times New Roman" pitchFamily="18" charset="0"/>
          <a:cs typeface="Times New Roman" pitchFamily="18" charset="0"/>
        </a:defRPr>
      </a:pPr>
      <a:endParaRPr lang="lt-LT"/>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3350168350168351"/>
          <c:y val="4.3872919818456889E-2"/>
          <c:w val="0.45622895622895626"/>
          <c:h val="0.74886535552193645"/>
        </c:manualLayout>
      </c:layout>
      <c:barChart>
        <c:barDir val="bar"/>
        <c:grouping val="clustered"/>
        <c:ser>
          <c:idx val="0"/>
          <c:order val="0"/>
          <c:tx>
            <c:strRef>
              <c:f>Lapas1!$B$1</c:f>
              <c:strCache>
                <c:ptCount val="1"/>
                <c:pt idx="0">
                  <c:v>Mergaitės</c:v>
                </c:pt>
              </c:strCache>
            </c:strRef>
          </c:tx>
          <c:spPr>
            <a:solidFill>
              <a:srgbClr val="FF0000"/>
            </a:solidFill>
            <a:ln w="9325">
              <a:solidFill>
                <a:srgbClr val="FF0000"/>
              </a:solidFill>
              <a:prstDash val="solid"/>
            </a:ln>
          </c:spPr>
          <c:dLbls>
            <c:spPr>
              <a:noFill/>
              <a:ln w="25403">
                <a:noFill/>
              </a:ln>
            </c:spPr>
            <c:showVal val="1"/>
          </c:dLbls>
          <c:cat>
            <c:strRef>
              <c:f>Lapas1!$A$2:$A$41</c:f>
              <c:strCache>
                <c:ptCount val="40"/>
                <c:pt idx="0">
                  <c:v>Vidurkis</c:v>
                </c:pt>
                <c:pt idx="1">
                  <c:v>Švedija*</c:v>
                </c:pt>
                <c:pt idx="2">
                  <c:v>Norvegija*</c:v>
                </c:pt>
                <c:pt idx="3">
                  <c:v>Islandija*</c:v>
                </c:pt>
                <c:pt idx="4">
                  <c:v>Velsas</c:v>
                </c:pt>
                <c:pt idx="5">
                  <c:v>Čekija*</c:v>
                </c:pt>
                <c:pt idx="6">
                  <c:v>Suomija</c:v>
                </c:pt>
                <c:pt idx="7">
                  <c:v>Airija*</c:v>
                </c:pt>
                <c:pt idx="8">
                  <c:v>Vengrija</c:v>
                </c:pt>
                <c:pt idx="9">
                  <c:v>Škotija*</c:v>
                </c:pt>
                <c:pt idx="10">
                  <c:v>Belgija (flamandai)*</c:v>
                </c:pt>
                <c:pt idx="11">
                  <c:v>Anglija*</c:v>
                </c:pt>
                <c:pt idx="12">
                  <c:v>Ispanija</c:v>
                </c:pt>
                <c:pt idx="13">
                  <c:v>Danija*</c:v>
                </c:pt>
                <c:pt idx="14">
                  <c:v>Kroatija*</c:v>
                </c:pt>
                <c:pt idx="15">
                  <c:v>Nyderlandai*</c:v>
                </c:pt>
                <c:pt idx="16">
                  <c:v>Malta*</c:v>
                </c:pt>
                <c:pt idx="17">
                  <c:v>Slovėnija*</c:v>
                </c:pt>
                <c:pt idx="18">
                  <c:v>Italija*</c:v>
                </c:pt>
                <c:pt idx="19">
                  <c:v>Lenkija*</c:v>
                </c:pt>
                <c:pt idx="20">
                  <c:v>Kanada*</c:v>
                </c:pt>
                <c:pt idx="21">
                  <c:v>Makedonija*</c:v>
                </c:pt>
                <c:pt idx="22">
                  <c:v>JAV*</c:v>
                </c:pt>
                <c:pt idx="23">
                  <c:v>Belgija (prancūzai)*</c:v>
                </c:pt>
                <c:pt idx="24">
                  <c:v>Portugalija*</c:v>
                </c:pt>
                <c:pt idx="25">
                  <c:v>Vokietija*</c:v>
                </c:pt>
                <c:pt idx="26">
                  <c:v>Liuksemburgas*</c:v>
                </c:pt>
                <c:pt idx="27">
                  <c:v>Prancūzija*</c:v>
                </c:pt>
                <c:pt idx="28">
                  <c:v>Šveicarija*</c:v>
                </c:pt>
                <c:pt idx="29">
                  <c:v>Bulgarija*</c:v>
                </c:pt>
                <c:pt idx="30">
                  <c:v>Turkija*</c:v>
                </c:pt>
                <c:pt idx="31">
                  <c:v>Rusijos Federacija*</c:v>
                </c:pt>
                <c:pt idx="32">
                  <c:v>Austrija*</c:v>
                </c:pt>
                <c:pt idx="33">
                  <c:v>Graikija*</c:v>
                </c:pt>
                <c:pt idx="34">
                  <c:v>Ukraina*</c:v>
                </c:pt>
                <c:pt idx="35">
                  <c:v>Estija*</c:v>
                </c:pt>
                <c:pt idx="36">
                  <c:v>Grenlandija*</c:v>
                </c:pt>
                <c:pt idx="37">
                  <c:v>Lietuva*</c:v>
                </c:pt>
                <c:pt idx="38">
                  <c:v>Rumunija*</c:v>
                </c:pt>
                <c:pt idx="39">
                  <c:v>Latvija*</c:v>
                </c:pt>
              </c:strCache>
            </c:strRef>
          </c:cat>
          <c:val>
            <c:numRef>
              <c:f>Lapas1!$B$2:$B$41</c:f>
              <c:numCache>
                <c:formatCode>General</c:formatCode>
                <c:ptCount val="40"/>
                <c:pt idx="0">
                  <c:v>9</c:v>
                </c:pt>
                <c:pt idx="1">
                  <c:v>1</c:v>
                </c:pt>
                <c:pt idx="2">
                  <c:v>1</c:v>
                </c:pt>
                <c:pt idx="3">
                  <c:v>1</c:v>
                </c:pt>
                <c:pt idx="4">
                  <c:v>3</c:v>
                </c:pt>
                <c:pt idx="5">
                  <c:v>3</c:v>
                </c:pt>
                <c:pt idx="6">
                  <c:v>4</c:v>
                </c:pt>
                <c:pt idx="7">
                  <c:v>3</c:v>
                </c:pt>
                <c:pt idx="8">
                  <c:v>4</c:v>
                </c:pt>
                <c:pt idx="9">
                  <c:v>4</c:v>
                </c:pt>
                <c:pt idx="10">
                  <c:v>4</c:v>
                </c:pt>
                <c:pt idx="11">
                  <c:v>5</c:v>
                </c:pt>
                <c:pt idx="12">
                  <c:v>6</c:v>
                </c:pt>
                <c:pt idx="13">
                  <c:v>6</c:v>
                </c:pt>
                <c:pt idx="14">
                  <c:v>5</c:v>
                </c:pt>
                <c:pt idx="15">
                  <c:v>4</c:v>
                </c:pt>
                <c:pt idx="16">
                  <c:v>4</c:v>
                </c:pt>
                <c:pt idx="17">
                  <c:v>5</c:v>
                </c:pt>
                <c:pt idx="18">
                  <c:v>6</c:v>
                </c:pt>
                <c:pt idx="19">
                  <c:v>6</c:v>
                </c:pt>
                <c:pt idx="20">
                  <c:v>8</c:v>
                </c:pt>
                <c:pt idx="21">
                  <c:v>8</c:v>
                </c:pt>
                <c:pt idx="22">
                  <c:v>9</c:v>
                </c:pt>
                <c:pt idx="23">
                  <c:v>8</c:v>
                </c:pt>
                <c:pt idx="24">
                  <c:v>9</c:v>
                </c:pt>
                <c:pt idx="25">
                  <c:v>7</c:v>
                </c:pt>
                <c:pt idx="26">
                  <c:v>9</c:v>
                </c:pt>
                <c:pt idx="27">
                  <c:v>11</c:v>
                </c:pt>
                <c:pt idx="28">
                  <c:v>10</c:v>
                </c:pt>
                <c:pt idx="29">
                  <c:v>10</c:v>
                </c:pt>
                <c:pt idx="30">
                  <c:v>13</c:v>
                </c:pt>
                <c:pt idx="31">
                  <c:v>15</c:v>
                </c:pt>
                <c:pt idx="32">
                  <c:v>11</c:v>
                </c:pt>
                <c:pt idx="33">
                  <c:v>13</c:v>
                </c:pt>
                <c:pt idx="34">
                  <c:v>18</c:v>
                </c:pt>
                <c:pt idx="35">
                  <c:v>12</c:v>
                </c:pt>
                <c:pt idx="36">
                  <c:v>23</c:v>
                </c:pt>
                <c:pt idx="37">
                  <c:v>18</c:v>
                </c:pt>
                <c:pt idx="38">
                  <c:v>23</c:v>
                </c:pt>
                <c:pt idx="39">
                  <c:v>22</c:v>
                </c:pt>
              </c:numCache>
            </c:numRef>
          </c:val>
        </c:ser>
        <c:ser>
          <c:idx val="1"/>
          <c:order val="1"/>
          <c:tx>
            <c:strRef>
              <c:f>Lapas1!$C$1</c:f>
              <c:strCache>
                <c:ptCount val="1"/>
                <c:pt idx="0">
                  <c:v>Berniukai</c:v>
                </c:pt>
              </c:strCache>
            </c:strRef>
          </c:tx>
          <c:spPr>
            <a:solidFill>
              <a:srgbClr val="0070C0"/>
            </a:solidFill>
            <a:ln w="9325">
              <a:solidFill>
                <a:srgbClr val="0070C0"/>
              </a:solidFill>
              <a:prstDash val="solid"/>
            </a:ln>
          </c:spPr>
          <c:dLbls>
            <c:spPr>
              <a:noFill/>
              <a:ln w="25403">
                <a:noFill/>
              </a:ln>
            </c:spPr>
            <c:showVal val="1"/>
          </c:dLbls>
          <c:cat>
            <c:strRef>
              <c:f>Lapas1!$A$2:$A$41</c:f>
              <c:strCache>
                <c:ptCount val="40"/>
                <c:pt idx="0">
                  <c:v>Vidurkis</c:v>
                </c:pt>
                <c:pt idx="1">
                  <c:v>Švedija*</c:v>
                </c:pt>
                <c:pt idx="2">
                  <c:v>Norvegija*</c:v>
                </c:pt>
                <c:pt idx="3">
                  <c:v>Islandija*</c:v>
                </c:pt>
                <c:pt idx="4">
                  <c:v>Velsas</c:v>
                </c:pt>
                <c:pt idx="5">
                  <c:v>Čekija*</c:v>
                </c:pt>
                <c:pt idx="6">
                  <c:v>Suomija</c:v>
                </c:pt>
                <c:pt idx="7">
                  <c:v>Airija*</c:v>
                </c:pt>
                <c:pt idx="8">
                  <c:v>Vengrija</c:v>
                </c:pt>
                <c:pt idx="9">
                  <c:v>Škotija*</c:v>
                </c:pt>
                <c:pt idx="10">
                  <c:v>Belgija (flamandai)*</c:v>
                </c:pt>
                <c:pt idx="11">
                  <c:v>Anglija*</c:v>
                </c:pt>
                <c:pt idx="12">
                  <c:v>Ispanija</c:v>
                </c:pt>
                <c:pt idx="13">
                  <c:v>Danija*</c:v>
                </c:pt>
                <c:pt idx="14">
                  <c:v>Kroatija*</c:v>
                </c:pt>
                <c:pt idx="15">
                  <c:v>Nyderlandai*</c:v>
                </c:pt>
                <c:pt idx="16">
                  <c:v>Malta*</c:v>
                </c:pt>
                <c:pt idx="17">
                  <c:v>Slovėnija*</c:v>
                </c:pt>
                <c:pt idx="18">
                  <c:v>Italija*</c:v>
                </c:pt>
                <c:pt idx="19">
                  <c:v>Lenkija*</c:v>
                </c:pt>
                <c:pt idx="20">
                  <c:v>Kanada*</c:v>
                </c:pt>
                <c:pt idx="21">
                  <c:v>Makedonija*</c:v>
                </c:pt>
                <c:pt idx="22">
                  <c:v>JAV*</c:v>
                </c:pt>
                <c:pt idx="23">
                  <c:v>Belgija (prancūzai)*</c:v>
                </c:pt>
                <c:pt idx="24">
                  <c:v>Portugalija*</c:v>
                </c:pt>
                <c:pt idx="25">
                  <c:v>Vokietija*</c:v>
                </c:pt>
                <c:pt idx="26">
                  <c:v>Liuksemburgas*</c:v>
                </c:pt>
                <c:pt idx="27">
                  <c:v>Prancūzija*</c:v>
                </c:pt>
                <c:pt idx="28">
                  <c:v>Šveicarija*</c:v>
                </c:pt>
                <c:pt idx="29">
                  <c:v>Bulgarija*</c:v>
                </c:pt>
                <c:pt idx="30">
                  <c:v>Turkija*</c:v>
                </c:pt>
                <c:pt idx="31">
                  <c:v>Rusijos Federacija*</c:v>
                </c:pt>
                <c:pt idx="32">
                  <c:v>Austrija*</c:v>
                </c:pt>
                <c:pt idx="33">
                  <c:v>Graikija*</c:v>
                </c:pt>
                <c:pt idx="34">
                  <c:v>Ukraina*</c:v>
                </c:pt>
                <c:pt idx="35">
                  <c:v>Estija*</c:v>
                </c:pt>
                <c:pt idx="36">
                  <c:v>Grenlandija*</c:v>
                </c:pt>
                <c:pt idx="37">
                  <c:v>Lietuva*</c:v>
                </c:pt>
                <c:pt idx="38">
                  <c:v>Rumunija*</c:v>
                </c:pt>
                <c:pt idx="39">
                  <c:v>Latvija*</c:v>
                </c:pt>
              </c:strCache>
            </c:strRef>
          </c:cat>
          <c:val>
            <c:numRef>
              <c:f>Lapas1!$C$2:$C$41</c:f>
              <c:numCache>
                <c:formatCode>General</c:formatCode>
                <c:ptCount val="40"/>
                <c:pt idx="0">
                  <c:v>15</c:v>
                </c:pt>
                <c:pt idx="1">
                  <c:v>4</c:v>
                </c:pt>
                <c:pt idx="2">
                  <c:v>5</c:v>
                </c:pt>
                <c:pt idx="3">
                  <c:v>6</c:v>
                </c:pt>
                <c:pt idx="4">
                  <c:v>5</c:v>
                </c:pt>
                <c:pt idx="5">
                  <c:v>6</c:v>
                </c:pt>
                <c:pt idx="6">
                  <c:v>6</c:v>
                </c:pt>
                <c:pt idx="7">
                  <c:v>7</c:v>
                </c:pt>
                <c:pt idx="8">
                  <c:v>7</c:v>
                </c:pt>
                <c:pt idx="9">
                  <c:v>7</c:v>
                </c:pt>
                <c:pt idx="10">
                  <c:v>8</c:v>
                </c:pt>
                <c:pt idx="11">
                  <c:v>8</c:v>
                </c:pt>
                <c:pt idx="12">
                  <c:v>8</c:v>
                </c:pt>
                <c:pt idx="13">
                  <c:v>11</c:v>
                </c:pt>
                <c:pt idx="14">
                  <c:v>12</c:v>
                </c:pt>
                <c:pt idx="15">
                  <c:v>12</c:v>
                </c:pt>
                <c:pt idx="16">
                  <c:v>12</c:v>
                </c:pt>
                <c:pt idx="17">
                  <c:v>13</c:v>
                </c:pt>
                <c:pt idx="18">
                  <c:v>12</c:v>
                </c:pt>
                <c:pt idx="19">
                  <c:v>14</c:v>
                </c:pt>
                <c:pt idx="20">
                  <c:v>13</c:v>
                </c:pt>
                <c:pt idx="21">
                  <c:v>13</c:v>
                </c:pt>
                <c:pt idx="22">
                  <c:v>14</c:v>
                </c:pt>
                <c:pt idx="23">
                  <c:v>15</c:v>
                </c:pt>
                <c:pt idx="24">
                  <c:v>15</c:v>
                </c:pt>
                <c:pt idx="25">
                  <c:v>17</c:v>
                </c:pt>
                <c:pt idx="26">
                  <c:v>16</c:v>
                </c:pt>
                <c:pt idx="27">
                  <c:v>15</c:v>
                </c:pt>
                <c:pt idx="28">
                  <c:v>19</c:v>
                </c:pt>
                <c:pt idx="29">
                  <c:v>20</c:v>
                </c:pt>
                <c:pt idx="30">
                  <c:v>19</c:v>
                </c:pt>
                <c:pt idx="31">
                  <c:v>22</c:v>
                </c:pt>
                <c:pt idx="32">
                  <c:v>26</c:v>
                </c:pt>
                <c:pt idx="33">
                  <c:v>28</c:v>
                </c:pt>
                <c:pt idx="34">
                  <c:v>23</c:v>
                </c:pt>
                <c:pt idx="35">
                  <c:v>32</c:v>
                </c:pt>
                <c:pt idx="36">
                  <c:v>27</c:v>
                </c:pt>
                <c:pt idx="37">
                  <c:v>33</c:v>
                </c:pt>
                <c:pt idx="38">
                  <c:v>31</c:v>
                </c:pt>
                <c:pt idx="39">
                  <c:v>35</c:v>
                </c:pt>
              </c:numCache>
            </c:numRef>
          </c:val>
        </c:ser>
        <c:overlap val="-25"/>
        <c:axId val="234943616"/>
        <c:axId val="234945152"/>
      </c:barChart>
      <c:catAx>
        <c:axId val="234943616"/>
        <c:scaling>
          <c:orientation val="minMax"/>
        </c:scaling>
        <c:axPos val="l"/>
        <c:majorGridlines/>
        <c:numFmt formatCode="General" sourceLinked="1"/>
        <c:tickLblPos val="nextTo"/>
        <c:crossAx val="234945152"/>
        <c:crosses val="autoZero"/>
        <c:auto val="1"/>
        <c:lblAlgn val="ctr"/>
        <c:lblOffset val="100"/>
      </c:catAx>
      <c:valAx>
        <c:axId val="234945152"/>
        <c:scaling>
          <c:orientation val="minMax"/>
        </c:scaling>
        <c:axPos val="b"/>
        <c:numFmt formatCode="General" sourceLinked="1"/>
        <c:tickLblPos val="nextTo"/>
        <c:crossAx val="234943616"/>
        <c:crosses val="autoZero"/>
        <c:crossBetween val="between"/>
      </c:valAx>
    </c:plotArea>
    <c:legend>
      <c:legendPos val="r"/>
      <c:layout>
        <c:manualLayout>
          <c:xMode val="edge"/>
          <c:yMode val="edge"/>
          <c:x val="0.84006734006733996"/>
          <c:y val="0.19667170953101362"/>
          <c:w val="0.13299663299663303"/>
          <c:h val="0.46747352496217859"/>
        </c:manualLayout>
      </c:layout>
    </c:legend>
    <c:plotVisOnly val="1"/>
    <c:dispBlanksAs val="gap"/>
  </c:chart>
  <c:txPr>
    <a:bodyPr/>
    <a:lstStyle/>
    <a:p>
      <a:pPr>
        <a:defRPr b="1">
          <a:latin typeface="Times New Roman" pitchFamily="18" charset="0"/>
          <a:cs typeface="Times New Roman" pitchFamily="18" charset="0"/>
        </a:defRPr>
      </a:pPr>
      <a:endParaRPr lang="lt-LT"/>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40709459459459457"/>
          <c:y val="4.2360060514372168E-2"/>
          <c:w val="0.38513513513513514"/>
          <c:h val="0.83207261724659631"/>
        </c:manualLayout>
      </c:layout>
      <c:barChart>
        <c:barDir val="bar"/>
        <c:grouping val="clustered"/>
        <c:ser>
          <c:idx val="0"/>
          <c:order val="0"/>
          <c:tx>
            <c:strRef>
              <c:f>Lapas1!$B$1</c:f>
              <c:strCache>
                <c:ptCount val="1"/>
                <c:pt idx="0">
                  <c:v>Mergaitės</c:v>
                </c:pt>
              </c:strCache>
            </c:strRef>
          </c:tx>
          <c:spPr>
            <a:solidFill>
              <a:srgbClr val="FF0000"/>
            </a:solidFill>
            <a:ln w="9325">
              <a:solidFill>
                <a:srgbClr val="FF0000"/>
              </a:solidFill>
              <a:prstDash val="solid"/>
            </a:ln>
          </c:spPr>
          <c:dLbls>
            <c:spPr>
              <a:noFill/>
              <a:ln w="25409">
                <a:noFill/>
              </a:ln>
            </c:spPr>
            <c:showVal val="1"/>
          </c:dLbls>
          <c:cat>
            <c:strRef>
              <c:f>Lapas1!$A$2:$A$41</c:f>
              <c:strCache>
                <c:ptCount val="40"/>
                <c:pt idx="0">
                  <c:v>Vidurkis</c:v>
                </c:pt>
                <c:pt idx="1">
                  <c:v>Čekija*</c:v>
                </c:pt>
                <c:pt idx="2">
                  <c:v>Velsas*</c:v>
                </c:pt>
                <c:pt idx="3">
                  <c:v>Islandija*</c:v>
                </c:pt>
                <c:pt idx="4">
                  <c:v>Suomija*</c:v>
                </c:pt>
                <c:pt idx="5">
                  <c:v>Švedija*</c:v>
                </c:pt>
                <c:pt idx="6">
                  <c:v>Škotija*</c:v>
                </c:pt>
                <c:pt idx="7">
                  <c:v>Vengrija*</c:v>
                </c:pt>
                <c:pt idx="8">
                  <c:v>Airija*</c:v>
                </c:pt>
                <c:pt idx="9">
                  <c:v>Ispanija</c:v>
                </c:pt>
                <c:pt idx="10">
                  <c:v>Norvegija*</c:v>
                </c:pt>
                <c:pt idx="11">
                  <c:v>Slovėnija*</c:v>
                </c:pt>
                <c:pt idx="12">
                  <c:v>Malta</c:v>
                </c:pt>
                <c:pt idx="13">
                  <c:v>Kroatija*</c:v>
                </c:pt>
                <c:pt idx="14">
                  <c:v>Anglija*</c:v>
                </c:pt>
                <c:pt idx="15">
                  <c:v>Nyderlandai*</c:v>
                </c:pt>
                <c:pt idx="16">
                  <c:v>Kanada*</c:v>
                </c:pt>
                <c:pt idx="17">
                  <c:v>makedonija*</c:v>
                </c:pt>
                <c:pt idx="18">
                  <c:v>Italija*</c:v>
                </c:pt>
                <c:pt idx="19">
                  <c:v>Danija*</c:v>
                </c:pt>
                <c:pt idx="20">
                  <c:v>Belgija (flamandai)*</c:v>
                </c:pt>
                <c:pt idx="21">
                  <c:v>Portugalija*</c:v>
                </c:pt>
                <c:pt idx="22">
                  <c:v>Turkija*</c:v>
                </c:pt>
                <c:pt idx="23">
                  <c:v>JAV*</c:v>
                </c:pt>
                <c:pt idx="24">
                  <c:v>Lenkija*</c:v>
                </c:pt>
                <c:pt idx="25">
                  <c:v>Bulgarija*</c:v>
                </c:pt>
                <c:pt idx="26">
                  <c:v>Belgija (prancūzai)*</c:v>
                </c:pt>
                <c:pt idx="27">
                  <c:v>Prancūzija*</c:v>
                </c:pt>
                <c:pt idx="28">
                  <c:v>Rusijos Federacija*</c:v>
                </c:pt>
                <c:pt idx="29">
                  <c:v>Vokietija*</c:v>
                </c:pt>
                <c:pt idx="30">
                  <c:v>Šveicarija*</c:v>
                </c:pt>
                <c:pt idx="31">
                  <c:v>Liuksemburgas*</c:v>
                </c:pt>
                <c:pt idx="32">
                  <c:v>Austrija*</c:v>
                </c:pt>
                <c:pt idx="33">
                  <c:v>Estija*</c:v>
                </c:pt>
                <c:pt idx="34">
                  <c:v>Grenlandija*</c:v>
                </c:pt>
                <c:pt idx="35">
                  <c:v>Rumunija*</c:v>
                </c:pt>
                <c:pt idx="36">
                  <c:v>Ukraina*</c:v>
                </c:pt>
                <c:pt idx="37">
                  <c:v>Graikija*</c:v>
                </c:pt>
                <c:pt idx="38">
                  <c:v>Latvija*</c:v>
                </c:pt>
                <c:pt idx="39">
                  <c:v>Lietuva*</c:v>
                </c:pt>
              </c:strCache>
            </c:strRef>
          </c:cat>
          <c:val>
            <c:numRef>
              <c:f>Lapas1!$B$2:$B$41</c:f>
              <c:numCache>
                <c:formatCode>General</c:formatCode>
                <c:ptCount val="40"/>
                <c:pt idx="0">
                  <c:v>7</c:v>
                </c:pt>
                <c:pt idx="1">
                  <c:v>2</c:v>
                </c:pt>
                <c:pt idx="2">
                  <c:v>2</c:v>
                </c:pt>
                <c:pt idx="3">
                  <c:v>1</c:v>
                </c:pt>
                <c:pt idx="4">
                  <c:v>2</c:v>
                </c:pt>
                <c:pt idx="5">
                  <c:v>2</c:v>
                </c:pt>
                <c:pt idx="6">
                  <c:v>3</c:v>
                </c:pt>
                <c:pt idx="7">
                  <c:v>2</c:v>
                </c:pt>
                <c:pt idx="8">
                  <c:v>2</c:v>
                </c:pt>
                <c:pt idx="9">
                  <c:v>6</c:v>
                </c:pt>
                <c:pt idx="10">
                  <c:v>3</c:v>
                </c:pt>
                <c:pt idx="11">
                  <c:v>3</c:v>
                </c:pt>
                <c:pt idx="12">
                  <c:v>5</c:v>
                </c:pt>
                <c:pt idx="13">
                  <c:v>4</c:v>
                </c:pt>
                <c:pt idx="14">
                  <c:v>6</c:v>
                </c:pt>
                <c:pt idx="15">
                  <c:v>5</c:v>
                </c:pt>
                <c:pt idx="16">
                  <c:v>5</c:v>
                </c:pt>
                <c:pt idx="17">
                  <c:v>5</c:v>
                </c:pt>
                <c:pt idx="18">
                  <c:v>5</c:v>
                </c:pt>
                <c:pt idx="19">
                  <c:v>5</c:v>
                </c:pt>
                <c:pt idx="20">
                  <c:v>6</c:v>
                </c:pt>
                <c:pt idx="21">
                  <c:v>8</c:v>
                </c:pt>
                <c:pt idx="22">
                  <c:v>7</c:v>
                </c:pt>
                <c:pt idx="23">
                  <c:v>7</c:v>
                </c:pt>
                <c:pt idx="24">
                  <c:v>6</c:v>
                </c:pt>
                <c:pt idx="25">
                  <c:v>8</c:v>
                </c:pt>
                <c:pt idx="26">
                  <c:v>9</c:v>
                </c:pt>
                <c:pt idx="27">
                  <c:v>8</c:v>
                </c:pt>
                <c:pt idx="28">
                  <c:v>11</c:v>
                </c:pt>
                <c:pt idx="29">
                  <c:v>9</c:v>
                </c:pt>
                <c:pt idx="30">
                  <c:v>10</c:v>
                </c:pt>
                <c:pt idx="31">
                  <c:v>10</c:v>
                </c:pt>
                <c:pt idx="32">
                  <c:v>11</c:v>
                </c:pt>
                <c:pt idx="33">
                  <c:v>11</c:v>
                </c:pt>
                <c:pt idx="34">
                  <c:v>14</c:v>
                </c:pt>
                <c:pt idx="35">
                  <c:v>18</c:v>
                </c:pt>
                <c:pt idx="36">
                  <c:v>16</c:v>
                </c:pt>
                <c:pt idx="37">
                  <c:v>12</c:v>
                </c:pt>
                <c:pt idx="38">
                  <c:v>20</c:v>
                </c:pt>
                <c:pt idx="39">
                  <c:v>22</c:v>
                </c:pt>
              </c:numCache>
            </c:numRef>
          </c:val>
        </c:ser>
        <c:ser>
          <c:idx val="1"/>
          <c:order val="1"/>
          <c:tx>
            <c:strRef>
              <c:f>Lapas1!$C$1</c:f>
              <c:strCache>
                <c:ptCount val="1"/>
                <c:pt idx="0">
                  <c:v>Berniukai</c:v>
                </c:pt>
              </c:strCache>
            </c:strRef>
          </c:tx>
          <c:spPr>
            <a:solidFill>
              <a:srgbClr val="0070C0"/>
            </a:solidFill>
            <a:ln w="9325">
              <a:solidFill>
                <a:srgbClr val="0070C0"/>
              </a:solidFill>
              <a:prstDash val="solid"/>
            </a:ln>
          </c:spPr>
          <c:dLbls>
            <c:spPr>
              <a:noFill/>
              <a:ln w="25409">
                <a:noFill/>
              </a:ln>
            </c:spPr>
            <c:showVal val="1"/>
          </c:dLbls>
          <c:cat>
            <c:strRef>
              <c:f>Lapas1!$A$2:$A$41</c:f>
              <c:strCache>
                <c:ptCount val="40"/>
                <c:pt idx="0">
                  <c:v>Vidurkis</c:v>
                </c:pt>
                <c:pt idx="1">
                  <c:v>Čekija*</c:v>
                </c:pt>
                <c:pt idx="2">
                  <c:v>Velsas*</c:v>
                </c:pt>
                <c:pt idx="3">
                  <c:v>Islandija*</c:v>
                </c:pt>
                <c:pt idx="4">
                  <c:v>Suomija*</c:v>
                </c:pt>
                <c:pt idx="5">
                  <c:v>Švedija*</c:v>
                </c:pt>
                <c:pt idx="6">
                  <c:v>Škotija*</c:v>
                </c:pt>
                <c:pt idx="7">
                  <c:v>Vengrija*</c:v>
                </c:pt>
                <c:pt idx="8">
                  <c:v>Airija*</c:v>
                </c:pt>
                <c:pt idx="9">
                  <c:v>Ispanija</c:v>
                </c:pt>
                <c:pt idx="10">
                  <c:v>Norvegija*</c:v>
                </c:pt>
                <c:pt idx="11">
                  <c:v>Slovėnija*</c:v>
                </c:pt>
                <c:pt idx="12">
                  <c:v>Malta</c:v>
                </c:pt>
                <c:pt idx="13">
                  <c:v>Kroatija*</c:v>
                </c:pt>
                <c:pt idx="14">
                  <c:v>Anglija*</c:v>
                </c:pt>
                <c:pt idx="15">
                  <c:v>Nyderlandai*</c:v>
                </c:pt>
                <c:pt idx="16">
                  <c:v>Kanada*</c:v>
                </c:pt>
                <c:pt idx="17">
                  <c:v>makedonija*</c:v>
                </c:pt>
                <c:pt idx="18">
                  <c:v>Italija*</c:v>
                </c:pt>
                <c:pt idx="19">
                  <c:v>Danija*</c:v>
                </c:pt>
                <c:pt idx="20">
                  <c:v>Belgija (flamandai)*</c:v>
                </c:pt>
                <c:pt idx="21">
                  <c:v>Portugalija*</c:v>
                </c:pt>
                <c:pt idx="22">
                  <c:v>Turkija*</c:v>
                </c:pt>
                <c:pt idx="23">
                  <c:v>JAV*</c:v>
                </c:pt>
                <c:pt idx="24">
                  <c:v>Lenkija*</c:v>
                </c:pt>
                <c:pt idx="25">
                  <c:v>Bulgarija*</c:v>
                </c:pt>
                <c:pt idx="26">
                  <c:v>Belgija (prancūzai)*</c:v>
                </c:pt>
                <c:pt idx="27">
                  <c:v>Prancūzija*</c:v>
                </c:pt>
                <c:pt idx="28">
                  <c:v>Rusijos Federacija*</c:v>
                </c:pt>
                <c:pt idx="29">
                  <c:v>Vokietija*</c:v>
                </c:pt>
                <c:pt idx="30">
                  <c:v>Šveicarija*</c:v>
                </c:pt>
                <c:pt idx="31">
                  <c:v>Liuksemburgas*</c:v>
                </c:pt>
                <c:pt idx="32">
                  <c:v>Austrija*</c:v>
                </c:pt>
                <c:pt idx="33">
                  <c:v>Estija*</c:v>
                </c:pt>
                <c:pt idx="34">
                  <c:v>Grenlandija*</c:v>
                </c:pt>
                <c:pt idx="35">
                  <c:v>Rumunija*</c:v>
                </c:pt>
                <c:pt idx="36">
                  <c:v>Ukraina*</c:v>
                </c:pt>
                <c:pt idx="37">
                  <c:v>Graikija*</c:v>
                </c:pt>
                <c:pt idx="38">
                  <c:v>Latvija*</c:v>
                </c:pt>
                <c:pt idx="39">
                  <c:v>Lietuva*</c:v>
                </c:pt>
              </c:strCache>
            </c:strRef>
          </c:cat>
          <c:val>
            <c:numRef>
              <c:f>Lapas1!$C$2:$C$41</c:f>
              <c:numCache>
                <c:formatCode>General</c:formatCode>
                <c:ptCount val="40"/>
                <c:pt idx="0">
                  <c:v>16</c:v>
                </c:pt>
                <c:pt idx="1">
                  <c:v>5</c:v>
                </c:pt>
                <c:pt idx="2">
                  <c:v>5</c:v>
                </c:pt>
                <c:pt idx="3">
                  <c:v>6</c:v>
                </c:pt>
                <c:pt idx="4">
                  <c:v>8</c:v>
                </c:pt>
                <c:pt idx="5">
                  <c:v>9</c:v>
                </c:pt>
                <c:pt idx="6">
                  <c:v>8</c:v>
                </c:pt>
                <c:pt idx="7">
                  <c:v>10</c:v>
                </c:pt>
                <c:pt idx="8">
                  <c:v>9</c:v>
                </c:pt>
                <c:pt idx="9">
                  <c:v>7</c:v>
                </c:pt>
                <c:pt idx="10">
                  <c:v>10</c:v>
                </c:pt>
                <c:pt idx="11">
                  <c:v>11</c:v>
                </c:pt>
                <c:pt idx="12">
                  <c:v>9</c:v>
                </c:pt>
                <c:pt idx="13">
                  <c:v>11</c:v>
                </c:pt>
                <c:pt idx="14">
                  <c:v>10</c:v>
                </c:pt>
                <c:pt idx="15">
                  <c:v>12</c:v>
                </c:pt>
                <c:pt idx="16">
                  <c:v>13</c:v>
                </c:pt>
                <c:pt idx="17">
                  <c:v>13</c:v>
                </c:pt>
                <c:pt idx="18">
                  <c:v>14</c:v>
                </c:pt>
                <c:pt idx="19">
                  <c:v>15</c:v>
                </c:pt>
                <c:pt idx="20">
                  <c:v>13</c:v>
                </c:pt>
                <c:pt idx="21">
                  <c:v>13</c:v>
                </c:pt>
                <c:pt idx="22">
                  <c:v>13</c:v>
                </c:pt>
                <c:pt idx="23">
                  <c:v>14</c:v>
                </c:pt>
                <c:pt idx="24">
                  <c:v>18</c:v>
                </c:pt>
                <c:pt idx="25">
                  <c:v>18</c:v>
                </c:pt>
                <c:pt idx="26">
                  <c:v>16</c:v>
                </c:pt>
                <c:pt idx="27">
                  <c:v>18</c:v>
                </c:pt>
                <c:pt idx="28">
                  <c:v>19</c:v>
                </c:pt>
                <c:pt idx="29">
                  <c:v>21</c:v>
                </c:pt>
                <c:pt idx="30">
                  <c:v>21</c:v>
                </c:pt>
                <c:pt idx="31">
                  <c:v>24</c:v>
                </c:pt>
                <c:pt idx="32">
                  <c:v>26</c:v>
                </c:pt>
                <c:pt idx="33">
                  <c:v>29</c:v>
                </c:pt>
                <c:pt idx="34">
                  <c:v>28</c:v>
                </c:pt>
                <c:pt idx="35">
                  <c:v>27</c:v>
                </c:pt>
                <c:pt idx="36">
                  <c:v>28</c:v>
                </c:pt>
                <c:pt idx="37">
                  <c:v>38</c:v>
                </c:pt>
                <c:pt idx="38">
                  <c:v>35</c:v>
                </c:pt>
                <c:pt idx="39">
                  <c:v>34</c:v>
                </c:pt>
              </c:numCache>
            </c:numRef>
          </c:val>
        </c:ser>
        <c:overlap val="-25"/>
        <c:axId val="234883712"/>
        <c:axId val="234897792"/>
      </c:barChart>
      <c:catAx>
        <c:axId val="234883712"/>
        <c:scaling>
          <c:orientation val="minMax"/>
        </c:scaling>
        <c:axPos val="l"/>
        <c:majorGridlines/>
        <c:numFmt formatCode="General" sourceLinked="1"/>
        <c:tickLblPos val="nextTo"/>
        <c:crossAx val="234897792"/>
        <c:crosses val="autoZero"/>
        <c:auto val="1"/>
        <c:lblAlgn val="ctr"/>
        <c:lblOffset val="100"/>
      </c:catAx>
      <c:valAx>
        <c:axId val="234897792"/>
        <c:scaling>
          <c:orientation val="minMax"/>
        </c:scaling>
        <c:axPos val="b"/>
        <c:numFmt formatCode="General" sourceLinked="1"/>
        <c:tickLblPos val="nextTo"/>
        <c:crossAx val="234883712"/>
        <c:crosses val="autoZero"/>
        <c:crossBetween val="between"/>
      </c:valAx>
    </c:plotArea>
    <c:legend>
      <c:legendPos val="r"/>
      <c:layout>
        <c:manualLayout>
          <c:xMode val="edge"/>
          <c:yMode val="edge"/>
          <c:x val="0.83277027027027051"/>
          <c:y val="0.21633888048411501"/>
          <c:w val="0.13344594594594594"/>
          <c:h val="0.42662632375189113"/>
        </c:manualLayout>
      </c:layout>
    </c:legend>
    <c:plotVisOnly val="1"/>
    <c:dispBlanksAs val="gap"/>
  </c:chart>
  <c:txPr>
    <a:bodyPr/>
    <a:lstStyle/>
    <a:p>
      <a:pPr>
        <a:defRPr b="1">
          <a:latin typeface="Times New Roman" pitchFamily="18" charset="0"/>
          <a:cs typeface="Times New Roman" pitchFamily="18" charset="0"/>
        </a:defRPr>
      </a:pPr>
      <a:endParaRPr lang="lt-LT"/>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t-LT"/>
  <c:chart>
    <c:view3D>
      <c:depthPercent val="100"/>
      <c:rAngAx val="1"/>
    </c:view3D>
    <c:floor>
      <c:spPr>
        <a:noFill/>
      </c:spPr>
    </c:floor>
    <c:sideWall>
      <c:spPr>
        <a:noFill/>
      </c:spPr>
    </c:sideWall>
    <c:backWall>
      <c:spPr>
        <a:noFill/>
      </c:spPr>
    </c:backWall>
    <c:plotArea>
      <c:layout>
        <c:manualLayout>
          <c:layoutTarget val="inner"/>
          <c:xMode val="edge"/>
          <c:yMode val="edge"/>
          <c:x val="4.5056320400500713E-2"/>
          <c:y val="4.7904191616766484E-2"/>
          <c:w val="0.67209011264081153"/>
          <c:h val="0.82934131736526961"/>
        </c:manualLayout>
      </c:layout>
      <c:bar3DChart>
        <c:barDir val="col"/>
        <c:grouping val="clustered"/>
        <c:ser>
          <c:idx val="0"/>
          <c:order val="0"/>
          <c:tx>
            <c:strRef>
              <c:f>Lapas1!$B$1</c:f>
              <c:strCache>
                <c:ptCount val="1"/>
                <c:pt idx="0">
                  <c:v>Padidėjęs kraujo spaudimas*</c:v>
                </c:pt>
              </c:strCache>
            </c:strRef>
          </c:tx>
          <c:spPr>
            <a:solidFill>
              <a:srgbClr val="00B0F0"/>
            </a:solidFill>
          </c:spPr>
          <c:dLbls>
            <c:dLbl>
              <c:idx val="4"/>
              <c:layout>
                <c:manualLayout>
                  <c:x val="-8.3362938075855631E-17"/>
                  <c:y val="0"/>
                </c:manualLayout>
              </c:layout>
              <c:showVal val="1"/>
            </c:dLbl>
            <c:spPr>
              <a:noFill/>
              <a:ln w="25423">
                <a:noFill/>
              </a:ln>
            </c:spPr>
            <c:txPr>
              <a:bodyPr rot="-5400000" vert="horz"/>
              <a:lstStyle/>
              <a:p>
                <a:pPr>
                  <a:defRPr sz="885"/>
                </a:pPr>
                <a:endParaRPr lang="lt-LT"/>
              </a:p>
            </c:txPr>
            <c:showVal val="1"/>
          </c:dLbls>
          <c:cat>
            <c:strRef>
              <c:f>Lapas1!$A$2:$A$6</c:f>
              <c:strCache>
                <c:ptCount val="5"/>
                <c:pt idx="0">
                  <c:v>20-24 m.</c:v>
                </c:pt>
                <c:pt idx="1">
                  <c:v>25-34 m.</c:v>
                </c:pt>
                <c:pt idx="2">
                  <c:v>35-44 m.</c:v>
                </c:pt>
                <c:pt idx="3">
                  <c:v>45-54 m.</c:v>
                </c:pt>
                <c:pt idx="4">
                  <c:v>55-64 m.</c:v>
                </c:pt>
              </c:strCache>
            </c:strRef>
          </c:cat>
          <c:val>
            <c:numRef>
              <c:f>Lapas1!$B$2:$B$6</c:f>
              <c:numCache>
                <c:formatCode>General</c:formatCode>
                <c:ptCount val="5"/>
                <c:pt idx="0">
                  <c:v>8.6</c:v>
                </c:pt>
                <c:pt idx="1">
                  <c:v>7.1</c:v>
                </c:pt>
                <c:pt idx="2">
                  <c:v>19.399999999999999</c:v>
                </c:pt>
                <c:pt idx="3">
                  <c:v>29.5</c:v>
                </c:pt>
                <c:pt idx="4">
                  <c:v>59.1</c:v>
                </c:pt>
              </c:numCache>
            </c:numRef>
          </c:val>
        </c:ser>
        <c:ser>
          <c:idx val="1"/>
          <c:order val="1"/>
          <c:tx>
            <c:strRef>
              <c:f>Lapas1!$C$1</c:f>
              <c:strCache>
                <c:ptCount val="1"/>
                <c:pt idx="0">
                  <c:v>Padidėjęs cholesterolio kiekis kraujyje*</c:v>
                </c:pt>
              </c:strCache>
            </c:strRef>
          </c:tx>
          <c:spPr>
            <a:solidFill>
              <a:srgbClr val="FF0000"/>
            </a:solidFill>
          </c:spPr>
          <c:dLbls>
            <c:dLbl>
              <c:idx val="4"/>
              <c:layout>
                <c:manualLayout>
                  <c:x val="6.8206828165874546E-3"/>
                  <c:y val="0"/>
                </c:manualLayout>
              </c:layout>
              <c:showVal val="1"/>
            </c:dLbl>
            <c:spPr>
              <a:noFill/>
              <a:ln w="25423">
                <a:noFill/>
              </a:ln>
            </c:spPr>
            <c:txPr>
              <a:bodyPr rot="-5400000" vert="horz"/>
              <a:lstStyle/>
              <a:p>
                <a:pPr>
                  <a:defRPr sz="885"/>
                </a:pPr>
                <a:endParaRPr lang="lt-LT"/>
              </a:p>
            </c:txPr>
            <c:showVal val="1"/>
          </c:dLbls>
          <c:cat>
            <c:strRef>
              <c:f>Lapas1!$A$2:$A$6</c:f>
              <c:strCache>
                <c:ptCount val="5"/>
                <c:pt idx="0">
                  <c:v>20-24 m.</c:v>
                </c:pt>
                <c:pt idx="1">
                  <c:v>25-34 m.</c:v>
                </c:pt>
                <c:pt idx="2">
                  <c:v>35-44 m.</c:v>
                </c:pt>
                <c:pt idx="3">
                  <c:v>45-54 m.</c:v>
                </c:pt>
                <c:pt idx="4">
                  <c:v>55-64 m.</c:v>
                </c:pt>
              </c:strCache>
            </c:strRef>
          </c:cat>
          <c:val>
            <c:numRef>
              <c:f>Lapas1!$C$2:$C$6</c:f>
              <c:numCache>
                <c:formatCode>General</c:formatCode>
                <c:ptCount val="5"/>
                <c:pt idx="0">
                  <c:v>1.3</c:v>
                </c:pt>
                <c:pt idx="1">
                  <c:v>2.7</c:v>
                </c:pt>
                <c:pt idx="2">
                  <c:v>5.6</c:v>
                </c:pt>
                <c:pt idx="3">
                  <c:v>12.6</c:v>
                </c:pt>
                <c:pt idx="4">
                  <c:v>17.5</c:v>
                </c:pt>
              </c:numCache>
            </c:numRef>
          </c:val>
        </c:ser>
        <c:ser>
          <c:idx val="2"/>
          <c:order val="2"/>
          <c:tx>
            <c:strRef>
              <c:f>Lapas1!$D$1</c:f>
              <c:strCache>
                <c:ptCount val="1"/>
                <c:pt idx="0">
                  <c:v>Padidėjęs cukraus kiekis kraujyje*</c:v>
                </c:pt>
              </c:strCache>
            </c:strRef>
          </c:tx>
          <c:spPr>
            <a:solidFill>
              <a:srgbClr val="00B050"/>
            </a:solidFill>
          </c:spPr>
          <c:dLbls>
            <c:spPr>
              <a:noFill/>
              <a:ln w="25423">
                <a:noFill/>
              </a:ln>
            </c:spPr>
            <c:txPr>
              <a:bodyPr rot="-5400000" vert="horz"/>
              <a:lstStyle/>
              <a:p>
                <a:pPr>
                  <a:defRPr sz="885"/>
                </a:pPr>
                <a:endParaRPr lang="lt-LT"/>
              </a:p>
            </c:txPr>
            <c:showVal val="1"/>
          </c:dLbls>
          <c:cat>
            <c:strRef>
              <c:f>Lapas1!$A$2:$A$6</c:f>
              <c:strCache>
                <c:ptCount val="5"/>
                <c:pt idx="0">
                  <c:v>20-24 m.</c:v>
                </c:pt>
                <c:pt idx="1">
                  <c:v>25-34 m.</c:v>
                </c:pt>
                <c:pt idx="2">
                  <c:v>35-44 m.</c:v>
                </c:pt>
                <c:pt idx="3">
                  <c:v>45-54 m.</c:v>
                </c:pt>
                <c:pt idx="4">
                  <c:v>55-64 m.</c:v>
                </c:pt>
              </c:strCache>
            </c:strRef>
          </c:cat>
          <c:val>
            <c:numRef>
              <c:f>Lapas1!$D$2:$D$6</c:f>
              <c:numCache>
                <c:formatCode>General</c:formatCode>
                <c:ptCount val="5"/>
                <c:pt idx="0">
                  <c:v>0.70000000000000007</c:v>
                </c:pt>
                <c:pt idx="1">
                  <c:v>1.1000000000000001</c:v>
                </c:pt>
                <c:pt idx="2">
                  <c:v>2.8</c:v>
                </c:pt>
                <c:pt idx="3">
                  <c:v>3.4</c:v>
                </c:pt>
                <c:pt idx="4">
                  <c:v>9.4</c:v>
                </c:pt>
              </c:numCache>
            </c:numRef>
          </c:val>
        </c:ser>
        <c:ser>
          <c:idx val="3"/>
          <c:order val="3"/>
          <c:tx>
            <c:strRef>
              <c:f>Lapas1!$E$1</c:f>
              <c:strCache>
                <c:ptCount val="1"/>
                <c:pt idx="0">
                  <c:v>Gastritas/opaligė*</c:v>
                </c:pt>
              </c:strCache>
            </c:strRef>
          </c:tx>
          <c:spPr>
            <a:solidFill>
              <a:srgbClr val="7030A0"/>
            </a:solidFill>
          </c:spPr>
          <c:dLbls>
            <c:spPr>
              <a:noFill/>
              <a:ln w="25423">
                <a:noFill/>
              </a:ln>
            </c:spPr>
            <c:txPr>
              <a:bodyPr rot="-5400000" vert="horz"/>
              <a:lstStyle/>
              <a:p>
                <a:pPr>
                  <a:defRPr sz="885"/>
                </a:pPr>
                <a:endParaRPr lang="lt-LT"/>
              </a:p>
            </c:txPr>
            <c:showVal val="1"/>
          </c:dLbls>
          <c:cat>
            <c:strRef>
              <c:f>Lapas1!$A$2:$A$6</c:f>
              <c:strCache>
                <c:ptCount val="5"/>
                <c:pt idx="0">
                  <c:v>20-24 m.</c:v>
                </c:pt>
                <c:pt idx="1">
                  <c:v>25-34 m.</c:v>
                </c:pt>
                <c:pt idx="2">
                  <c:v>35-44 m.</c:v>
                </c:pt>
                <c:pt idx="3">
                  <c:v>45-54 m.</c:v>
                </c:pt>
                <c:pt idx="4">
                  <c:v>55-64 m.</c:v>
                </c:pt>
              </c:strCache>
            </c:strRef>
          </c:cat>
          <c:val>
            <c:numRef>
              <c:f>Lapas1!$E$2:$E$6</c:f>
              <c:numCache>
                <c:formatCode>General</c:formatCode>
                <c:ptCount val="5"/>
                <c:pt idx="0">
                  <c:v>2.6</c:v>
                </c:pt>
                <c:pt idx="1">
                  <c:v>14.7</c:v>
                </c:pt>
                <c:pt idx="2">
                  <c:v>10.6</c:v>
                </c:pt>
                <c:pt idx="3">
                  <c:v>8.4</c:v>
                </c:pt>
                <c:pt idx="4">
                  <c:v>12.3</c:v>
                </c:pt>
              </c:numCache>
            </c:numRef>
          </c:val>
        </c:ser>
        <c:ser>
          <c:idx val="4"/>
          <c:order val="4"/>
          <c:tx>
            <c:strRef>
              <c:f>Lapas1!$F$1</c:f>
              <c:strCache>
                <c:ptCount val="1"/>
                <c:pt idx="0">
                  <c:v>Stuburo ligos*</c:v>
                </c:pt>
              </c:strCache>
            </c:strRef>
          </c:tx>
          <c:spPr>
            <a:solidFill>
              <a:srgbClr val="C22C2C"/>
            </a:solidFill>
          </c:spPr>
          <c:dLbls>
            <c:dLbl>
              <c:idx val="1"/>
              <c:layout>
                <c:manualLayout>
                  <c:x val="9.0942437554500551E-3"/>
                  <c:y val="7.4149532296463205E-17"/>
                </c:manualLayout>
              </c:layout>
              <c:showVal val="1"/>
            </c:dLbl>
            <c:spPr>
              <a:noFill/>
              <a:ln w="25423">
                <a:noFill/>
              </a:ln>
            </c:spPr>
            <c:txPr>
              <a:bodyPr rot="-5400000" vert="horz"/>
              <a:lstStyle/>
              <a:p>
                <a:pPr>
                  <a:defRPr sz="885"/>
                </a:pPr>
                <a:endParaRPr lang="lt-LT"/>
              </a:p>
            </c:txPr>
            <c:showVal val="1"/>
          </c:dLbls>
          <c:cat>
            <c:strRef>
              <c:f>Lapas1!$A$2:$A$6</c:f>
              <c:strCache>
                <c:ptCount val="5"/>
                <c:pt idx="0">
                  <c:v>20-24 m.</c:v>
                </c:pt>
                <c:pt idx="1">
                  <c:v>25-34 m.</c:v>
                </c:pt>
                <c:pt idx="2">
                  <c:v>35-44 m.</c:v>
                </c:pt>
                <c:pt idx="3">
                  <c:v>45-54 m.</c:v>
                </c:pt>
                <c:pt idx="4">
                  <c:v>55-64 m.</c:v>
                </c:pt>
              </c:strCache>
            </c:strRef>
          </c:cat>
          <c:val>
            <c:numRef>
              <c:f>Lapas1!$F$2:$F$6</c:f>
              <c:numCache>
                <c:formatCode>General</c:formatCode>
                <c:ptCount val="5"/>
                <c:pt idx="0">
                  <c:v>6</c:v>
                </c:pt>
                <c:pt idx="1">
                  <c:v>12.5</c:v>
                </c:pt>
                <c:pt idx="2">
                  <c:v>19</c:v>
                </c:pt>
                <c:pt idx="3">
                  <c:v>21.5</c:v>
                </c:pt>
                <c:pt idx="4">
                  <c:v>24.6</c:v>
                </c:pt>
              </c:numCache>
            </c:numRef>
          </c:val>
        </c:ser>
        <c:shape val="cylinder"/>
        <c:axId val="234815872"/>
        <c:axId val="234817408"/>
        <c:axId val="0"/>
      </c:bar3DChart>
      <c:catAx>
        <c:axId val="234815872"/>
        <c:scaling>
          <c:orientation val="minMax"/>
        </c:scaling>
        <c:axPos val="b"/>
        <c:numFmt formatCode="General" sourceLinked="1"/>
        <c:tickLblPos val="nextTo"/>
        <c:crossAx val="234817408"/>
        <c:crosses val="autoZero"/>
        <c:auto val="1"/>
        <c:lblAlgn val="ctr"/>
        <c:lblOffset val="100"/>
      </c:catAx>
      <c:valAx>
        <c:axId val="234817408"/>
        <c:scaling>
          <c:orientation val="minMax"/>
        </c:scaling>
        <c:axPos val="l"/>
        <c:majorGridlines/>
        <c:numFmt formatCode="General" sourceLinked="1"/>
        <c:tickLblPos val="nextTo"/>
        <c:crossAx val="234815872"/>
        <c:crosses val="autoZero"/>
        <c:crossBetween val="between"/>
      </c:valAx>
      <c:spPr>
        <a:noFill/>
        <a:ln w="25423">
          <a:noFill/>
        </a:ln>
      </c:spPr>
    </c:plotArea>
    <c:legend>
      <c:legendPos val="r"/>
      <c:layout>
        <c:manualLayout>
          <c:xMode val="edge"/>
          <c:yMode val="edge"/>
          <c:x val="0.71231151574803142"/>
          <c:y val="0.23214303009171824"/>
          <c:w val="0.26130659448818905"/>
          <c:h val="0.73809532111069132"/>
        </c:manualLayout>
      </c:layout>
    </c:legend>
    <c:plotVisOnly val="1"/>
    <c:dispBlanksAs val="gap"/>
  </c:chart>
  <c:spPr>
    <a:noFill/>
  </c:spPr>
  <c:txPr>
    <a:bodyPr/>
    <a:lstStyle/>
    <a:p>
      <a:pPr>
        <a:defRPr b="1">
          <a:latin typeface="Times New Roman" pitchFamily="18" charset="0"/>
          <a:cs typeface="Times New Roman" pitchFamily="18" charset="0"/>
        </a:defRPr>
      </a:pPr>
      <a:endParaRPr lang="lt-LT"/>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t-LT"/>
  <c:chart>
    <c:view3D>
      <c:depthPercent val="100"/>
      <c:rAngAx val="1"/>
    </c:view3D>
    <c:floor>
      <c:spPr>
        <a:noFill/>
      </c:spPr>
    </c:floor>
    <c:sideWall>
      <c:spPr>
        <a:noFill/>
      </c:spPr>
    </c:sideWall>
    <c:backWall>
      <c:spPr>
        <a:noFill/>
      </c:spPr>
    </c:backWall>
    <c:plotArea>
      <c:layout>
        <c:manualLayout>
          <c:layoutTarget val="inner"/>
          <c:xMode val="edge"/>
          <c:yMode val="edge"/>
          <c:x val="5.9760956175299022E-2"/>
          <c:y val="6.7669172932330809E-2"/>
          <c:w val="0.74634794156706519"/>
          <c:h val="0.77067669172932363"/>
        </c:manualLayout>
      </c:layout>
      <c:bar3DChart>
        <c:barDir val="col"/>
        <c:grouping val="clustered"/>
        <c:ser>
          <c:idx val="0"/>
          <c:order val="0"/>
          <c:tx>
            <c:strRef>
              <c:f>Lapas1!$A$2</c:f>
              <c:strCache>
                <c:ptCount val="1"/>
                <c:pt idx="0">
                  <c:v>Vyrai</c:v>
                </c:pt>
              </c:strCache>
            </c:strRef>
          </c:tx>
          <c:spPr>
            <a:solidFill>
              <a:srgbClr val="00B0F0"/>
            </a:solidFill>
          </c:spPr>
          <c:dLbls>
            <c:dLbl>
              <c:idx val="0"/>
              <c:layout>
                <c:manualLayout>
                  <c:x val="2.0833333333333412E-2"/>
                  <c:y val="-1.1904761904761921E-2"/>
                </c:manualLayout>
              </c:layout>
              <c:spPr>
                <a:noFill/>
                <a:ln w="25386">
                  <a:noFill/>
                </a:ln>
              </c:spPr>
              <c:txPr>
                <a:bodyPr/>
                <a:lstStyle/>
                <a:p>
                  <a:pPr>
                    <a:defRPr/>
                  </a:pPr>
                  <a:endParaRPr lang="lt-LT"/>
                </a:p>
              </c:txPr>
              <c:showVal val="1"/>
            </c:dLbl>
            <c:dLbl>
              <c:idx val="1"/>
              <c:layout>
                <c:manualLayout>
                  <c:x val="2.0833333333333412E-2"/>
                  <c:y val="-1.1904761904761921E-2"/>
                </c:manualLayout>
              </c:layout>
              <c:spPr>
                <a:noFill/>
                <a:ln w="25386">
                  <a:noFill/>
                </a:ln>
              </c:spPr>
              <c:txPr>
                <a:bodyPr/>
                <a:lstStyle/>
                <a:p>
                  <a:pPr>
                    <a:defRPr/>
                  </a:pPr>
                  <a:endParaRPr lang="lt-LT"/>
                </a:p>
              </c:txPr>
              <c:showVal val="1"/>
            </c:dLbl>
            <c:spPr>
              <a:noFill/>
              <a:ln w="25386">
                <a:noFill/>
              </a:ln>
            </c:spPr>
            <c:showVal val="1"/>
          </c:dLbls>
          <c:cat>
            <c:strRef>
              <c:f>Lapas1!$B$1:$D$1</c:f>
              <c:strCache>
                <c:ptCount val="3"/>
                <c:pt idx="0">
                  <c:v>Taip, kasdien</c:v>
                </c:pt>
                <c:pt idx="1">
                  <c:v>Retkarčiais</c:v>
                </c:pt>
                <c:pt idx="2">
                  <c:v>Visai nerūkau</c:v>
                </c:pt>
              </c:strCache>
            </c:strRef>
          </c:cat>
          <c:val>
            <c:numRef>
              <c:f>Lapas1!$B$2:$D$2</c:f>
              <c:numCache>
                <c:formatCode>General</c:formatCode>
                <c:ptCount val="3"/>
                <c:pt idx="0">
                  <c:v>57.5</c:v>
                </c:pt>
                <c:pt idx="1">
                  <c:v>23</c:v>
                </c:pt>
                <c:pt idx="2">
                  <c:v>19.399999999999999</c:v>
                </c:pt>
              </c:numCache>
            </c:numRef>
          </c:val>
        </c:ser>
        <c:ser>
          <c:idx val="1"/>
          <c:order val="1"/>
          <c:tx>
            <c:strRef>
              <c:f>Lapas1!$A$3</c:f>
              <c:strCache>
                <c:ptCount val="1"/>
                <c:pt idx="0">
                  <c:v>Moterys</c:v>
                </c:pt>
              </c:strCache>
            </c:strRef>
          </c:tx>
          <c:spPr>
            <a:solidFill>
              <a:srgbClr val="FF0000"/>
            </a:solidFill>
          </c:spPr>
          <c:dLbls>
            <c:dLbl>
              <c:idx val="0"/>
              <c:layout>
                <c:manualLayout>
                  <c:x val="2.0833333333333412E-2"/>
                  <c:y val="-1.1904761904761921E-2"/>
                </c:manualLayout>
              </c:layout>
              <c:spPr>
                <a:noFill/>
                <a:ln w="25386">
                  <a:noFill/>
                </a:ln>
              </c:spPr>
              <c:txPr>
                <a:bodyPr/>
                <a:lstStyle/>
                <a:p>
                  <a:pPr>
                    <a:defRPr/>
                  </a:pPr>
                  <a:endParaRPr lang="lt-LT"/>
                </a:p>
              </c:txPr>
              <c:showVal val="1"/>
            </c:dLbl>
            <c:dLbl>
              <c:idx val="1"/>
              <c:layout>
                <c:manualLayout>
                  <c:x val="1.6203703703703703E-2"/>
                  <c:y val="-1.1904761904761921E-2"/>
                </c:manualLayout>
              </c:layout>
              <c:spPr>
                <a:noFill/>
                <a:ln w="25386">
                  <a:noFill/>
                </a:ln>
              </c:spPr>
              <c:txPr>
                <a:bodyPr/>
                <a:lstStyle/>
                <a:p>
                  <a:pPr>
                    <a:defRPr/>
                  </a:pPr>
                  <a:endParaRPr lang="lt-LT"/>
                </a:p>
              </c:txPr>
              <c:showVal val="1"/>
            </c:dLbl>
            <c:spPr>
              <a:noFill/>
              <a:ln w="25386">
                <a:noFill/>
              </a:ln>
            </c:spPr>
            <c:showVal val="1"/>
          </c:dLbls>
          <c:cat>
            <c:strRef>
              <c:f>Lapas1!$B$1:$D$1</c:f>
              <c:strCache>
                <c:ptCount val="3"/>
                <c:pt idx="0">
                  <c:v>Taip, kasdien</c:v>
                </c:pt>
                <c:pt idx="1">
                  <c:v>Retkarčiais</c:v>
                </c:pt>
                <c:pt idx="2">
                  <c:v>Visai nerūkau</c:v>
                </c:pt>
              </c:strCache>
            </c:strRef>
          </c:cat>
          <c:val>
            <c:numRef>
              <c:f>Lapas1!$B$3:$D$3</c:f>
              <c:numCache>
                <c:formatCode>General</c:formatCode>
                <c:ptCount val="3"/>
                <c:pt idx="0">
                  <c:v>55.2</c:v>
                </c:pt>
                <c:pt idx="1">
                  <c:v>25.9</c:v>
                </c:pt>
                <c:pt idx="2">
                  <c:v>18.899999999999999</c:v>
                </c:pt>
              </c:numCache>
            </c:numRef>
          </c:val>
        </c:ser>
        <c:shape val="cylinder"/>
        <c:axId val="233179008"/>
        <c:axId val="233180544"/>
        <c:axId val="0"/>
      </c:bar3DChart>
      <c:catAx>
        <c:axId val="233179008"/>
        <c:scaling>
          <c:orientation val="minMax"/>
        </c:scaling>
        <c:axPos val="b"/>
        <c:numFmt formatCode="General" sourceLinked="1"/>
        <c:tickLblPos val="nextTo"/>
        <c:crossAx val="233180544"/>
        <c:crosses val="autoZero"/>
        <c:auto val="1"/>
        <c:lblAlgn val="ctr"/>
        <c:lblOffset val="100"/>
      </c:catAx>
      <c:valAx>
        <c:axId val="233180544"/>
        <c:scaling>
          <c:orientation val="minMax"/>
        </c:scaling>
        <c:axPos val="l"/>
        <c:majorGridlines/>
        <c:numFmt formatCode="General" sourceLinked="1"/>
        <c:tickLblPos val="nextTo"/>
        <c:crossAx val="233179008"/>
        <c:crosses val="autoZero"/>
        <c:crossBetween val="between"/>
      </c:valAx>
      <c:spPr>
        <a:noFill/>
        <a:ln w="25386">
          <a:noFill/>
        </a:ln>
      </c:spPr>
    </c:plotArea>
    <c:legend>
      <c:legendPos val="r"/>
      <c:layout>
        <c:manualLayout>
          <c:xMode val="edge"/>
          <c:yMode val="edge"/>
          <c:x val="0.86111116866970572"/>
          <c:y val="0.47761203460678525"/>
          <c:w val="0.10978829948888003"/>
          <c:h val="0.2201492174589289"/>
        </c:manualLayout>
      </c:layout>
    </c:legend>
    <c:plotVisOnly val="1"/>
    <c:dispBlanksAs val="gap"/>
  </c:chart>
  <c:spPr>
    <a:noFill/>
  </c:spPr>
  <c:txPr>
    <a:bodyPr/>
    <a:lstStyle/>
    <a:p>
      <a:pPr>
        <a:defRPr b="1">
          <a:latin typeface="Times New Roman" pitchFamily="18" charset="0"/>
          <a:cs typeface="Times New Roman" pitchFamily="18" charset="0"/>
        </a:defRPr>
      </a:pPr>
      <a:endParaRPr lang="lt-LT"/>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t-LT"/>
  <c:chart>
    <c:view3D>
      <c:depthPercent val="100"/>
      <c:rAngAx val="1"/>
    </c:view3D>
    <c:floor>
      <c:spPr>
        <a:noFill/>
      </c:spPr>
    </c:floor>
    <c:sideWall>
      <c:spPr>
        <a:solidFill>
          <a:sysClr val="window" lastClr="FFFFFF"/>
        </a:solidFill>
      </c:spPr>
    </c:sideWall>
    <c:backWall>
      <c:spPr>
        <a:solidFill>
          <a:sysClr val="window" lastClr="FFFFFF"/>
        </a:solidFill>
      </c:spPr>
    </c:backWall>
    <c:plotArea>
      <c:layout>
        <c:manualLayout>
          <c:layoutTarget val="inner"/>
          <c:xMode val="edge"/>
          <c:yMode val="edge"/>
          <c:x val="6.1497326203208594E-2"/>
          <c:y val="7.10900473933649E-2"/>
          <c:w val="0.61363636363636354"/>
          <c:h val="0.72511848341232232"/>
        </c:manualLayout>
      </c:layout>
      <c:bar3DChart>
        <c:barDir val="col"/>
        <c:grouping val="clustered"/>
        <c:ser>
          <c:idx val="0"/>
          <c:order val="0"/>
          <c:tx>
            <c:strRef>
              <c:f>Lapas1!$B$1</c:f>
              <c:strCache>
                <c:ptCount val="1"/>
                <c:pt idx="0">
                  <c:v>Šiauliai, 2008 m.</c:v>
                </c:pt>
              </c:strCache>
            </c:strRef>
          </c:tx>
          <c:spPr>
            <a:solidFill>
              <a:srgbClr val="FF0000"/>
            </a:solidFill>
          </c:spPr>
          <c:dLbls>
            <c:dLbl>
              <c:idx val="0"/>
              <c:layout>
                <c:manualLayout>
                  <c:x val="0"/>
                  <c:y val="-2.3841650142557111E-2"/>
                </c:manualLayout>
              </c:layout>
              <c:spPr>
                <a:noFill/>
                <a:ln w="25425">
                  <a:noFill/>
                </a:ln>
              </c:spPr>
              <c:txPr>
                <a:bodyPr/>
                <a:lstStyle/>
                <a:p>
                  <a:pPr>
                    <a:defRPr/>
                  </a:pPr>
                  <a:endParaRPr lang="lt-LT"/>
                </a:p>
              </c:txPr>
              <c:showVal val="1"/>
            </c:dLbl>
            <c:dLbl>
              <c:idx val="1"/>
              <c:layout>
                <c:manualLayout>
                  <c:x val="1.4636718940882407E-2"/>
                  <c:y val="-1.788123760691801E-2"/>
                </c:manualLayout>
              </c:layout>
              <c:spPr>
                <a:noFill/>
                <a:ln w="25425">
                  <a:noFill/>
                </a:ln>
              </c:spPr>
              <c:txPr>
                <a:bodyPr/>
                <a:lstStyle/>
                <a:p>
                  <a:pPr>
                    <a:defRPr/>
                  </a:pPr>
                  <a:endParaRPr lang="lt-LT"/>
                </a:p>
              </c:txPr>
              <c:showVal val="1"/>
            </c:dLbl>
            <c:spPr>
              <a:noFill/>
              <a:ln w="25425">
                <a:noFill/>
              </a:ln>
            </c:spPr>
            <c:showVal val="1"/>
          </c:dLbls>
          <c:cat>
            <c:strRef>
              <c:f>Lapas1!$A$2:$A$3</c:f>
              <c:strCache>
                <c:ptCount val="2"/>
                <c:pt idx="0">
                  <c:v>Vyrai</c:v>
                </c:pt>
                <c:pt idx="1">
                  <c:v>Moterys</c:v>
                </c:pt>
              </c:strCache>
            </c:strRef>
          </c:cat>
          <c:val>
            <c:numRef>
              <c:f>Lapas1!$B$2:$B$3</c:f>
              <c:numCache>
                <c:formatCode>General</c:formatCode>
                <c:ptCount val="2"/>
                <c:pt idx="0">
                  <c:v>57.5</c:v>
                </c:pt>
                <c:pt idx="1">
                  <c:v>55.2</c:v>
                </c:pt>
              </c:numCache>
            </c:numRef>
          </c:val>
        </c:ser>
        <c:ser>
          <c:idx val="1"/>
          <c:order val="1"/>
          <c:tx>
            <c:strRef>
              <c:f>Lapas1!$C$1</c:f>
              <c:strCache>
                <c:ptCount val="1"/>
                <c:pt idx="0">
                  <c:v>Lietuva, 2008 m.</c:v>
                </c:pt>
              </c:strCache>
            </c:strRef>
          </c:tx>
          <c:spPr>
            <a:solidFill>
              <a:srgbClr val="00B0F0"/>
            </a:solidFill>
          </c:spPr>
          <c:dLbls>
            <c:dLbl>
              <c:idx val="0"/>
              <c:layout>
                <c:manualLayout>
                  <c:x val="1.1709375152706054E-2"/>
                  <c:y val="-1.788123760691801E-2"/>
                </c:manualLayout>
              </c:layout>
              <c:spPr>
                <a:noFill/>
                <a:ln w="25425">
                  <a:noFill/>
                </a:ln>
              </c:spPr>
              <c:txPr>
                <a:bodyPr/>
                <a:lstStyle/>
                <a:p>
                  <a:pPr>
                    <a:defRPr/>
                  </a:pPr>
                  <a:endParaRPr lang="lt-LT"/>
                </a:p>
              </c:txPr>
              <c:showVal val="1"/>
            </c:dLbl>
            <c:dLbl>
              <c:idx val="1"/>
              <c:layout>
                <c:manualLayout>
                  <c:x val="1.1709375152706054E-2"/>
                  <c:y val="-2.3841650142557111E-2"/>
                </c:manualLayout>
              </c:layout>
              <c:spPr>
                <a:noFill/>
                <a:ln w="25425">
                  <a:noFill/>
                </a:ln>
              </c:spPr>
              <c:txPr>
                <a:bodyPr/>
                <a:lstStyle/>
                <a:p>
                  <a:pPr>
                    <a:defRPr/>
                  </a:pPr>
                  <a:endParaRPr lang="lt-LT"/>
                </a:p>
              </c:txPr>
              <c:showVal val="1"/>
            </c:dLbl>
            <c:spPr>
              <a:noFill/>
              <a:ln w="25425">
                <a:noFill/>
              </a:ln>
            </c:spPr>
            <c:showVal val="1"/>
          </c:dLbls>
          <c:cat>
            <c:strRef>
              <c:f>Lapas1!$A$2:$A$3</c:f>
              <c:strCache>
                <c:ptCount val="2"/>
                <c:pt idx="0">
                  <c:v>Vyrai</c:v>
                </c:pt>
                <c:pt idx="1">
                  <c:v>Moterys</c:v>
                </c:pt>
              </c:strCache>
            </c:strRef>
          </c:cat>
          <c:val>
            <c:numRef>
              <c:f>Lapas1!$C$2:$C$3</c:f>
              <c:numCache>
                <c:formatCode>General</c:formatCode>
                <c:ptCount val="2"/>
                <c:pt idx="0">
                  <c:v>39</c:v>
                </c:pt>
                <c:pt idx="1">
                  <c:v>14</c:v>
                </c:pt>
              </c:numCache>
            </c:numRef>
          </c:val>
        </c:ser>
        <c:shape val="cylinder"/>
        <c:axId val="232457728"/>
        <c:axId val="232459264"/>
        <c:axId val="0"/>
      </c:bar3DChart>
      <c:catAx>
        <c:axId val="232457728"/>
        <c:scaling>
          <c:orientation val="minMax"/>
        </c:scaling>
        <c:axPos val="b"/>
        <c:numFmt formatCode="General" sourceLinked="1"/>
        <c:tickLblPos val="nextTo"/>
        <c:crossAx val="232459264"/>
        <c:crosses val="autoZero"/>
        <c:auto val="1"/>
        <c:lblAlgn val="ctr"/>
        <c:lblOffset val="100"/>
      </c:catAx>
      <c:valAx>
        <c:axId val="232459264"/>
        <c:scaling>
          <c:orientation val="minMax"/>
        </c:scaling>
        <c:axPos val="l"/>
        <c:majorGridlines/>
        <c:numFmt formatCode="General" sourceLinked="1"/>
        <c:tickLblPos val="nextTo"/>
        <c:crossAx val="232457728"/>
        <c:crosses val="autoZero"/>
        <c:crossBetween val="between"/>
      </c:valAx>
      <c:spPr>
        <a:noFill/>
        <a:ln w="25425">
          <a:noFill/>
        </a:ln>
      </c:spPr>
    </c:plotArea>
    <c:legend>
      <c:legendPos val="r"/>
      <c:layout>
        <c:manualLayout>
          <c:xMode val="edge"/>
          <c:yMode val="edge"/>
          <c:x val="0.74468078314535013"/>
          <c:y val="0.41509464258144202"/>
          <c:w val="0.19015960842732504"/>
          <c:h val="0.27830168287787549"/>
        </c:manualLayout>
      </c:layout>
    </c:legend>
    <c:plotVisOnly val="1"/>
    <c:dispBlanksAs val="gap"/>
  </c:chart>
  <c:spPr>
    <a:noFill/>
  </c:spPr>
  <c:txPr>
    <a:bodyPr/>
    <a:lstStyle/>
    <a:p>
      <a:pPr>
        <a:defRPr b="1">
          <a:latin typeface="Times New Roman" pitchFamily="18" charset="0"/>
          <a:cs typeface="Times New Roman" pitchFamily="18" charset="0"/>
        </a:defRPr>
      </a:pPr>
      <a:endParaRPr lang="lt-LT"/>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t-LT"/>
  <c:style val="26"/>
  <c:chart>
    <c:view3D>
      <c:depthPercent val="100"/>
      <c:rAngAx val="1"/>
    </c:view3D>
    <c:floor>
      <c:spPr>
        <a:solidFill>
          <a:srgbClr val="9BBB59">
            <a:lumMod val="40000"/>
            <a:lumOff val="60000"/>
          </a:srgbClr>
        </a:solidFill>
      </c:spPr>
    </c:floor>
    <c:sideWall>
      <c:spPr>
        <a:noFill/>
        <a:effectLst>
          <a:softEdge rad="127000"/>
        </a:effectLst>
      </c:spPr>
    </c:sideWall>
    <c:backWall>
      <c:spPr>
        <a:noFill/>
        <a:effectLst>
          <a:softEdge rad="127000"/>
        </a:effectLst>
      </c:spPr>
    </c:backWall>
    <c:plotArea>
      <c:layout>
        <c:manualLayout>
          <c:layoutTarget val="inner"/>
          <c:xMode val="edge"/>
          <c:yMode val="edge"/>
          <c:x val="0.24847560975609759"/>
          <c:y val="1.3615733736762482E-2"/>
          <c:w val="0.57012195121951226"/>
          <c:h val="0.94704992435703483"/>
        </c:manualLayout>
      </c:layout>
      <c:bar3DChart>
        <c:barDir val="bar"/>
        <c:grouping val="clustered"/>
        <c:ser>
          <c:idx val="0"/>
          <c:order val="0"/>
          <c:tx>
            <c:strRef>
              <c:f>Lapas1!$B$1</c:f>
              <c:strCache>
                <c:ptCount val="1"/>
                <c:pt idx="0">
                  <c:v>Nė karto</c:v>
                </c:pt>
              </c:strCache>
            </c:strRef>
          </c:tx>
          <c:spPr>
            <a:solidFill>
              <a:srgbClr val="1F497D"/>
            </a:solidFill>
          </c:spPr>
          <c:dLbls>
            <c:spPr>
              <a:noFill/>
              <a:ln w="19056">
                <a:noFill/>
              </a:ln>
            </c:spPr>
            <c:showVal val="1"/>
          </c:dLbls>
          <c:cat>
            <c:strRef>
              <c:f>Lapas1!$A$2:$A$21</c:f>
              <c:strCache>
                <c:ptCount val="20"/>
                <c:pt idx="0">
                  <c:v>Virtos bulvės</c:v>
                </c:pt>
                <c:pt idx="1">
                  <c:v>Keptos bulvės</c:v>
                </c:pt>
                <c:pt idx="2">
                  <c:v>Ryžiai/makaronai</c:v>
                </c:pt>
                <c:pt idx="3">
                  <c:v>Košės ar dribsniai</c:v>
                </c:pt>
                <c:pt idx="4">
                  <c:v>Fermentinis sūris geltonas</c:v>
                </c:pt>
                <c:pt idx="5">
                  <c:v>Varškės sūris</c:v>
                </c:pt>
                <c:pt idx="6">
                  <c:v>Vištiena</c:v>
                </c:pt>
                <c:pt idx="7">
                  <c:v>Žuvis</c:v>
                </c:pt>
                <c:pt idx="8">
                  <c:v>Mėsa</c:v>
                </c:pt>
                <c:pt idx="9">
                  <c:v>Mėsos produktai</c:v>
                </c:pt>
                <c:pt idx="10">
                  <c:v>Šviežios daržovės</c:v>
                </c:pt>
                <c:pt idx="11">
                  <c:v>Kitokios daržovės</c:v>
                </c:pt>
                <c:pt idx="12">
                  <c:v>Šviežūs vaisiai/uogos</c:v>
                </c:pt>
                <c:pt idx="13">
                  <c:v>Kitokie vaisiai/uogos</c:v>
                </c:pt>
                <c:pt idx="14">
                  <c:v>Konditeriniai gaminiai</c:v>
                </c:pt>
                <c:pt idx="15">
                  <c:v>Saldainiai/šokoladas</c:v>
                </c:pt>
                <c:pt idx="16">
                  <c:v>Kiaušiniai</c:v>
                </c:pt>
                <c:pt idx="17">
                  <c:v>Limonadas</c:v>
                </c:pt>
                <c:pt idx="18">
                  <c:v>Sultys</c:v>
                </c:pt>
                <c:pt idx="19">
                  <c:v>Sojos produktai</c:v>
                </c:pt>
              </c:strCache>
            </c:strRef>
          </c:cat>
          <c:val>
            <c:numRef>
              <c:f>Lapas1!$B$2:$B$21</c:f>
              <c:numCache>
                <c:formatCode>General</c:formatCode>
                <c:ptCount val="20"/>
                <c:pt idx="0">
                  <c:v>10.7</c:v>
                </c:pt>
                <c:pt idx="1">
                  <c:v>39.300000000000011</c:v>
                </c:pt>
                <c:pt idx="2">
                  <c:v>26.4</c:v>
                </c:pt>
                <c:pt idx="3">
                  <c:v>48.1</c:v>
                </c:pt>
                <c:pt idx="4">
                  <c:v>22.3</c:v>
                </c:pt>
                <c:pt idx="5">
                  <c:v>40.4</c:v>
                </c:pt>
                <c:pt idx="6">
                  <c:v>15.3</c:v>
                </c:pt>
                <c:pt idx="7">
                  <c:v>22</c:v>
                </c:pt>
                <c:pt idx="8">
                  <c:v>7.2</c:v>
                </c:pt>
                <c:pt idx="9">
                  <c:v>9.8000000000000007</c:v>
                </c:pt>
                <c:pt idx="10">
                  <c:v>3.7</c:v>
                </c:pt>
                <c:pt idx="11">
                  <c:v>32.300000000000011</c:v>
                </c:pt>
                <c:pt idx="12">
                  <c:v>11.1</c:v>
                </c:pt>
                <c:pt idx="13">
                  <c:v>33.1</c:v>
                </c:pt>
                <c:pt idx="14">
                  <c:v>22.2</c:v>
                </c:pt>
                <c:pt idx="15">
                  <c:v>24.3</c:v>
                </c:pt>
                <c:pt idx="16">
                  <c:v>21.5</c:v>
                </c:pt>
                <c:pt idx="17">
                  <c:v>75.8</c:v>
                </c:pt>
                <c:pt idx="18">
                  <c:v>22.6</c:v>
                </c:pt>
                <c:pt idx="19">
                  <c:v>85.2</c:v>
                </c:pt>
              </c:numCache>
            </c:numRef>
          </c:val>
        </c:ser>
        <c:ser>
          <c:idx val="1"/>
          <c:order val="1"/>
          <c:tx>
            <c:strRef>
              <c:f>Lapas1!$C$1</c:f>
              <c:strCache>
                <c:ptCount val="1"/>
                <c:pt idx="0">
                  <c:v>1-2 dienas</c:v>
                </c:pt>
              </c:strCache>
            </c:strRef>
          </c:tx>
          <c:spPr>
            <a:solidFill>
              <a:srgbClr val="FF0000"/>
            </a:solidFill>
          </c:spPr>
          <c:dLbls>
            <c:dLbl>
              <c:idx val="5"/>
              <c:layout>
                <c:manualLayout>
                  <c:x val="-9.2836257309941491E-3"/>
                  <c:y val="-1.3223140495868134E-2"/>
                </c:manualLayout>
              </c:layout>
              <c:spPr>
                <a:noFill/>
                <a:ln w="19056">
                  <a:noFill/>
                </a:ln>
              </c:spPr>
              <c:txPr>
                <a:bodyPr/>
                <a:lstStyle/>
                <a:p>
                  <a:pPr>
                    <a:defRPr/>
                  </a:pPr>
                  <a:endParaRPr lang="lt-LT"/>
                </a:p>
              </c:txPr>
              <c:showVal val="1"/>
            </c:dLbl>
            <c:spPr>
              <a:noFill/>
              <a:ln w="19056">
                <a:noFill/>
              </a:ln>
            </c:spPr>
            <c:showVal val="1"/>
          </c:dLbls>
          <c:cat>
            <c:strRef>
              <c:f>Lapas1!$A$2:$A$21</c:f>
              <c:strCache>
                <c:ptCount val="20"/>
                <c:pt idx="0">
                  <c:v>Virtos bulvės</c:v>
                </c:pt>
                <c:pt idx="1">
                  <c:v>Keptos bulvės</c:v>
                </c:pt>
                <c:pt idx="2">
                  <c:v>Ryžiai/makaronai</c:v>
                </c:pt>
                <c:pt idx="3">
                  <c:v>Košės ar dribsniai</c:v>
                </c:pt>
                <c:pt idx="4">
                  <c:v>Fermentinis sūris geltonas</c:v>
                </c:pt>
                <c:pt idx="5">
                  <c:v>Varškės sūris</c:v>
                </c:pt>
                <c:pt idx="6">
                  <c:v>Vištiena</c:v>
                </c:pt>
                <c:pt idx="7">
                  <c:v>Žuvis</c:v>
                </c:pt>
                <c:pt idx="8">
                  <c:v>Mėsa</c:v>
                </c:pt>
                <c:pt idx="9">
                  <c:v>Mėsos produktai</c:v>
                </c:pt>
                <c:pt idx="10">
                  <c:v>Šviežios daržovės</c:v>
                </c:pt>
                <c:pt idx="11">
                  <c:v>Kitokios daržovės</c:v>
                </c:pt>
                <c:pt idx="12">
                  <c:v>Šviežūs vaisiai/uogos</c:v>
                </c:pt>
                <c:pt idx="13">
                  <c:v>Kitokie vaisiai/uogos</c:v>
                </c:pt>
                <c:pt idx="14">
                  <c:v>Konditeriniai gaminiai</c:v>
                </c:pt>
                <c:pt idx="15">
                  <c:v>Saldainiai/šokoladas</c:v>
                </c:pt>
                <c:pt idx="16">
                  <c:v>Kiaušiniai</c:v>
                </c:pt>
                <c:pt idx="17">
                  <c:v>Limonadas</c:v>
                </c:pt>
                <c:pt idx="18">
                  <c:v>Sultys</c:v>
                </c:pt>
                <c:pt idx="19">
                  <c:v>Sojos produktai</c:v>
                </c:pt>
              </c:strCache>
            </c:strRef>
          </c:cat>
          <c:val>
            <c:numRef>
              <c:f>Lapas1!$C$2:$C$21</c:f>
              <c:numCache>
                <c:formatCode>General</c:formatCode>
                <c:ptCount val="20"/>
                <c:pt idx="0">
                  <c:v>45.5</c:v>
                </c:pt>
                <c:pt idx="1">
                  <c:v>47</c:v>
                </c:pt>
                <c:pt idx="2">
                  <c:v>56.7</c:v>
                </c:pt>
                <c:pt idx="3">
                  <c:v>33</c:v>
                </c:pt>
                <c:pt idx="4">
                  <c:v>49.3</c:v>
                </c:pt>
                <c:pt idx="5">
                  <c:v>41.2</c:v>
                </c:pt>
                <c:pt idx="6">
                  <c:v>57.9</c:v>
                </c:pt>
                <c:pt idx="7">
                  <c:v>56.6</c:v>
                </c:pt>
                <c:pt idx="8">
                  <c:v>35.6</c:v>
                </c:pt>
                <c:pt idx="9">
                  <c:v>31.6</c:v>
                </c:pt>
                <c:pt idx="10">
                  <c:v>27.3</c:v>
                </c:pt>
                <c:pt idx="11">
                  <c:v>40.700000000000003</c:v>
                </c:pt>
                <c:pt idx="12">
                  <c:v>33.700000000000003</c:v>
                </c:pt>
                <c:pt idx="13">
                  <c:v>42.7</c:v>
                </c:pt>
                <c:pt idx="14">
                  <c:v>47.3</c:v>
                </c:pt>
                <c:pt idx="15">
                  <c:v>47.3</c:v>
                </c:pt>
                <c:pt idx="16">
                  <c:v>53.4</c:v>
                </c:pt>
                <c:pt idx="17">
                  <c:v>15.4</c:v>
                </c:pt>
                <c:pt idx="18">
                  <c:v>42.6</c:v>
                </c:pt>
                <c:pt idx="19">
                  <c:v>11.4</c:v>
                </c:pt>
              </c:numCache>
            </c:numRef>
          </c:val>
        </c:ser>
        <c:ser>
          <c:idx val="2"/>
          <c:order val="2"/>
          <c:tx>
            <c:strRef>
              <c:f>Lapas1!$D$1</c:f>
              <c:strCache>
                <c:ptCount val="1"/>
                <c:pt idx="0">
                  <c:v>3-5 dienas</c:v>
                </c:pt>
              </c:strCache>
            </c:strRef>
          </c:tx>
          <c:dLbls>
            <c:spPr>
              <a:noFill/>
              <a:ln w="19056">
                <a:noFill/>
              </a:ln>
            </c:spPr>
            <c:showVal val="1"/>
          </c:dLbls>
          <c:cat>
            <c:strRef>
              <c:f>Lapas1!$A$2:$A$21</c:f>
              <c:strCache>
                <c:ptCount val="20"/>
                <c:pt idx="0">
                  <c:v>Virtos bulvės</c:v>
                </c:pt>
                <c:pt idx="1">
                  <c:v>Keptos bulvės</c:v>
                </c:pt>
                <c:pt idx="2">
                  <c:v>Ryžiai/makaronai</c:v>
                </c:pt>
                <c:pt idx="3">
                  <c:v>Košės ar dribsniai</c:v>
                </c:pt>
                <c:pt idx="4">
                  <c:v>Fermentinis sūris geltonas</c:v>
                </c:pt>
                <c:pt idx="5">
                  <c:v>Varškės sūris</c:v>
                </c:pt>
                <c:pt idx="6">
                  <c:v>Vištiena</c:v>
                </c:pt>
                <c:pt idx="7">
                  <c:v>Žuvis</c:v>
                </c:pt>
                <c:pt idx="8">
                  <c:v>Mėsa</c:v>
                </c:pt>
                <c:pt idx="9">
                  <c:v>Mėsos produktai</c:v>
                </c:pt>
                <c:pt idx="10">
                  <c:v>Šviežios daržovės</c:v>
                </c:pt>
                <c:pt idx="11">
                  <c:v>Kitokios daržovės</c:v>
                </c:pt>
                <c:pt idx="12">
                  <c:v>Šviežūs vaisiai/uogos</c:v>
                </c:pt>
                <c:pt idx="13">
                  <c:v>Kitokie vaisiai/uogos</c:v>
                </c:pt>
                <c:pt idx="14">
                  <c:v>Konditeriniai gaminiai</c:v>
                </c:pt>
                <c:pt idx="15">
                  <c:v>Saldainiai/šokoladas</c:v>
                </c:pt>
                <c:pt idx="16">
                  <c:v>Kiaušiniai</c:v>
                </c:pt>
                <c:pt idx="17">
                  <c:v>Limonadas</c:v>
                </c:pt>
                <c:pt idx="18">
                  <c:v>Sultys</c:v>
                </c:pt>
                <c:pt idx="19">
                  <c:v>Sojos produktai</c:v>
                </c:pt>
              </c:strCache>
            </c:strRef>
          </c:cat>
          <c:val>
            <c:numRef>
              <c:f>Lapas1!$D$2:$D$21</c:f>
              <c:numCache>
                <c:formatCode>General</c:formatCode>
                <c:ptCount val="20"/>
                <c:pt idx="0">
                  <c:v>37.800000000000011</c:v>
                </c:pt>
                <c:pt idx="1">
                  <c:v>10.9</c:v>
                </c:pt>
                <c:pt idx="2">
                  <c:v>14.3</c:v>
                </c:pt>
                <c:pt idx="3">
                  <c:v>13.2</c:v>
                </c:pt>
                <c:pt idx="4">
                  <c:v>25.4</c:v>
                </c:pt>
                <c:pt idx="5">
                  <c:v>15</c:v>
                </c:pt>
                <c:pt idx="6">
                  <c:v>23.1</c:v>
                </c:pt>
                <c:pt idx="7">
                  <c:v>17.899999999999999</c:v>
                </c:pt>
                <c:pt idx="8">
                  <c:v>42.9</c:v>
                </c:pt>
                <c:pt idx="9">
                  <c:v>35.200000000000003</c:v>
                </c:pt>
                <c:pt idx="10">
                  <c:v>33.700000000000003</c:v>
                </c:pt>
                <c:pt idx="11">
                  <c:v>19.600000000000001</c:v>
                </c:pt>
                <c:pt idx="12">
                  <c:v>29.6</c:v>
                </c:pt>
                <c:pt idx="13">
                  <c:v>17.100000000000001</c:v>
                </c:pt>
                <c:pt idx="14">
                  <c:v>21.9</c:v>
                </c:pt>
                <c:pt idx="15">
                  <c:v>20.399999999999999</c:v>
                </c:pt>
                <c:pt idx="16">
                  <c:v>20.8</c:v>
                </c:pt>
                <c:pt idx="17">
                  <c:v>5.9</c:v>
                </c:pt>
                <c:pt idx="18">
                  <c:v>25.1</c:v>
                </c:pt>
                <c:pt idx="19">
                  <c:v>2.4</c:v>
                </c:pt>
              </c:numCache>
            </c:numRef>
          </c:val>
        </c:ser>
        <c:ser>
          <c:idx val="3"/>
          <c:order val="3"/>
          <c:tx>
            <c:strRef>
              <c:f>Lapas1!$E$1</c:f>
              <c:strCache>
                <c:ptCount val="1"/>
                <c:pt idx="0">
                  <c:v>6-7 dienas</c:v>
                </c:pt>
              </c:strCache>
            </c:strRef>
          </c:tx>
          <c:dLbls>
            <c:dLbl>
              <c:idx val="18"/>
              <c:layout>
                <c:manualLayout>
                  <c:x val="0"/>
                  <c:y val="-3.0933415822442414E-3"/>
                </c:manualLayout>
              </c:layout>
              <c:spPr>
                <a:noFill/>
                <a:ln w="19056">
                  <a:noFill/>
                </a:ln>
              </c:spPr>
              <c:txPr>
                <a:bodyPr/>
                <a:lstStyle/>
                <a:p>
                  <a:pPr>
                    <a:defRPr/>
                  </a:pPr>
                  <a:endParaRPr lang="lt-LT"/>
                </a:p>
              </c:txPr>
              <c:showVal val="1"/>
            </c:dLbl>
            <c:dLbl>
              <c:idx val="19"/>
              <c:layout>
                <c:manualLayout>
                  <c:x val="0"/>
                  <c:y val="-7.7333539556106393E-3"/>
                </c:manualLayout>
              </c:layout>
              <c:spPr>
                <a:noFill/>
                <a:ln w="19056">
                  <a:noFill/>
                </a:ln>
              </c:spPr>
              <c:txPr>
                <a:bodyPr/>
                <a:lstStyle/>
                <a:p>
                  <a:pPr>
                    <a:defRPr/>
                  </a:pPr>
                  <a:endParaRPr lang="lt-LT"/>
                </a:p>
              </c:txPr>
              <c:showVal val="1"/>
            </c:dLbl>
            <c:spPr>
              <a:noFill/>
              <a:ln w="19056">
                <a:noFill/>
              </a:ln>
            </c:spPr>
            <c:showVal val="1"/>
          </c:dLbls>
          <c:cat>
            <c:strRef>
              <c:f>Lapas1!$A$2:$A$21</c:f>
              <c:strCache>
                <c:ptCount val="20"/>
                <c:pt idx="0">
                  <c:v>Virtos bulvės</c:v>
                </c:pt>
                <c:pt idx="1">
                  <c:v>Keptos bulvės</c:v>
                </c:pt>
                <c:pt idx="2">
                  <c:v>Ryžiai/makaronai</c:v>
                </c:pt>
                <c:pt idx="3">
                  <c:v>Košės ar dribsniai</c:v>
                </c:pt>
                <c:pt idx="4">
                  <c:v>Fermentinis sūris geltonas</c:v>
                </c:pt>
                <c:pt idx="5">
                  <c:v>Varškės sūris</c:v>
                </c:pt>
                <c:pt idx="6">
                  <c:v>Vištiena</c:v>
                </c:pt>
                <c:pt idx="7">
                  <c:v>Žuvis</c:v>
                </c:pt>
                <c:pt idx="8">
                  <c:v>Mėsa</c:v>
                </c:pt>
                <c:pt idx="9">
                  <c:v>Mėsos produktai</c:v>
                </c:pt>
                <c:pt idx="10">
                  <c:v>Šviežios daržovės</c:v>
                </c:pt>
                <c:pt idx="11">
                  <c:v>Kitokios daržovės</c:v>
                </c:pt>
                <c:pt idx="12">
                  <c:v>Šviežūs vaisiai/uogos</c:v>
                </c:pt>
                <c:pt idx="13">
                  <c:v>Kitokie vaisiai/uogos</c:v>
                </c:pt>
                <c:pt idx="14">
                  <c:v>Konditeriniai gaminiai</c:v>
                </c:pt>
                <c:pt idx="15">
                  <c:v>Saldainiai/šokoladas</c:v>
                </c:pt>
                <c:pt idx="16">
                  <c:v>Kiaušiniai</c:v>
                </c:pt>
                <c:pt idx="17">
                  <c:v>Limonadas</c:v>
                </c:pt>
                <c:pt idx="18">
                  <c:v>Sultys</c:v>
                </c:pt>
                <c:pt idx="19">
                  <c:v>Sojos produktai</c:v>
                </c:pt>
              </c:strCache>
            </c:strRef>
          </c:cat>
          <c:val>
            <c:numRef>
              <c:f>Lapas1!$E$2:$E$21</c:f>
              <c:numCache>
                <c:formatCode>General</c:formatCode>
                <c:ptCount val="20"/>
                <c:pt idx="0">
                  <c:v>5.9</c:v>
                </c:pt>
                <c:pt idx="1">
                  <c:v>2.4</c:v>
                </c:pt>
                <c:pt idx="2">
                  <c:v>2.2000000000000002</c:v>
                </c:pt>
                <c:pt idx="3">
                  <c:v>5.4</c:v>
                </c:pt>
                <c:pt idx="4">
                  <c:v>2.7</c:v>
                </c:pt>
                <c:pt idx="5">
                  <c:v>3.2</c:v>
                </c:pt>
                <c:pt idx="6">
                  <c:v>3.6</c:v>
                </c:pt>
                <c:pt idx="7">
                  <c:v>3.3</c:v>
                </c:pt>
                <c:pt idx="8">
                  <c:v>14</c:v>
                </c:pt>
                <c:pt idx="9">
                  <c:v>23.3</c:v>
                </c:pt>
                <c:pt idx="10">
                  <c:v>35.200000000000003</c:v>
                </c:pt>
                <c:pt idx="11">
                  <c:v>7.1</c:v>
                </c:pt>
                <c:pt idx="12">
                  <c:v>25.5</c:v>
                </c:pt>
                <c:pt idx="13">
                  <c:v>6.9</c:v>
                </c:pt>
                <c:pt idx="14">
                  <c:v>8.4</c:v>
                </c:pt>
                <c:pt idx="15">
                  <c:v>7.7</c:v>
                </c:pt>
                <c:pt idx="16">
                  <c:v>4.2</c:v>
                </c:pt>
                <c:pt idx="17">
                  <c:v>2.8</c:v>
                </c:pt>
                <c:pt idx="18">
                  <c:v>9.6</c:v>
                </c:pt>
                <c:pt idx="19">
                  <c:v>0.60000000000000009</c:v>
                </c:pt>
              </c:numCache>
            </c:numRef>
          </c:val>
        </c:ser>
        <c:dLbls>
          <c:showVal val="1"/>
        </c:dLbls>
        <c:shape val="cylinder"/>
        <c:axId val="295876480"/>
        <c:axId val="295878016"/>
        <c:axId val="0"/>
      </c:bar3DChart>
      <c:catAx>
        <c:axId val="295876480"/>
        <c:scaling>
          <c:orientation val="minMax"/>
        </c:scaling>
        <c:axPos val="l"/>
        <c:majorGridlines/>
        <c:numFmt formatCode="General" sourceLinked="1"/>
        <c:majorTickMark val="none"/>
        <c:tickLblPos val="nextTo"/>
        <c:crossAx val="295878016"/>
        <c:crosses val="autoZero"/>
        <c:auto val="1"/>
        <c:lblAlgn val="ctr"/>
        <c:lblOffset val="100"/>
      </c:catAx>
      <c:valAx>
        <c:axId val="295878016"/>
        <c:scaling>
          <c:orientation val="minMax"/>
        </c:scaling>
        <c:delete val="1"/>
        <c:axPos val="b"/>
        <c:numFmt formatCode="General" sourceLinked="1"/>
        <c:tickLblPos val="none"/>
        <c:crossAx val="295876480"/>
        <c:crosses val="autoZero"/>
        <c:crossBetween val="between"/>
      </c:valAx>
      <c:spPr>
        <a:noFill/>
        <a:ln w="19056">
          <a:noFill/>
        </a:ln>
      </c:spPr>
    </c:plotArea>
    <c:legend>
      <c:legendPos val="r"/>
      <c:layout>
        <c:manualLayout>
          <c:xMode val="edge"/>
          <c:yMode val="edge"/>
          <c:x val="0.85975609756097571"/>
          <c:y val="0.43721633888048417"/>
          <c:w val="0.11737804878048781"/>
          <c:h val="0.51588502269288972"/>
        </c:manualLayout>
      </c:layout>
    </c:legend>
    <c:plotVisOnly val="1"/>
    <c:dispBlanksAs val="gap"/>
  </c:chart>
  <c:spPr>
    <a:solidFill>
      <a:sysClr val="window" lastClr="FFFFFF"/>
    </a:solidFill>
    <a:ln w="1517" cap="flat" cmpd="sng" algn="ctr">
      <a:solidFill>
        <a:sysClr val="windowText" lastClr="000000"/>
      </a:solidFill>
      <a:prstDash val="solid"/>
    </a:ln>
    <a:effectLst/>
  </c:spPr>
  <c:txPr>
    <a:bodyPr/>
    <a:lstStyle/>
    <a:p>
      <a:pPr>
        <a:defRPr b="1">
          <a:solidFill>
            <a:sysClr val="windowText" lastClr="000000"/>
          </a:solidFill>
          <a:latin typeface="+mn-lt"/>
          <a:ea typeface="+mn-ea"/>
          <a:cs typeface="+mn-cs"/>
        </a:defRPr>
      </a:pPr>
      <a:endParaRPr lang="lt-LT"/>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t-LT"/>
  <c:chart>
    <c:view3D>
      <c:depthPercent val="100"/>
      <c:rAngAx val="1"/>
    </c:view3D>
    <c:floor>
      <c:spPr>
        <a:solidFill>
          <a:srgbClr val="9BBB59">
            <a:lumMod val="40000"/>
            <a:lumOff val="60000"/>
          </a:srgbClr>
        </a:solidFill>
      </c:spPr>
    </c:floor>
    <c:sideWall>
      <c:spPr>
        <a:noFill/>
      </c:spPr>
    </c:sideWall>
    <c:backWall>
      <c:spPr>
        <a:noFill/>
      </c:spPr>
    </c:backWall>
    <c:plotArea>
      <c:layout>
        <c:manualLayout>
          <c:layoutTarget val="inner"/>
          <c:xMode val="edge"/>
          <c:yMode val="edge"/>
          <c:x val="0.25388350417651107"/>
          <c:y val="4.6402417575920514E-2"/>
          <c:w val="0.45604914709730743"/>
          <c:h val="0.81658024479351254"/>
        </c:manualLayout>
      </c:layout>
      <c:bar3DChart>
        <c:barDir val="bar"/>
        <c:grouping val="clustered"/>
        <c:ser>
          <c:idx val="0"/>
          <c:order val="0"/>
          <c:tx>
            <c:strRef>
              <c:f>Lapas1!$A$2</c:f>
              <c:strCache>
                <c:ptCount val="1"/>
                <c:pt idx="0">
                  <c:v>Stiprūs alkoholiniai gėrimai</c:v>
                </c:pt>
              </c:strCache>
            </c:strRef>
          </c:tx>
          <c:spPr>
            <a:solidFill>
              <a:srgbClr val="00B050"/>
            </a:solidFill>
          </c:spPr>
          <c:dLbls>
            <c:spPr>
              <a:noFill/>
              <a:ln w="25129">
                <a:noFill/>
              </a:ln>
            </c:spPr>
            <c:showVal val="1"/>
          </c:dLbls>
          <c:cat>
            <c:strRef>
              <c:f>Lapas1!$B$1:$H$1</c:f>
              <c:strCache>
                <c:ptCount val="7"/>
                <c:pt idx="0">
                  <c:v>Kasdien</c:v>
                </c:pt>
                <c:pt idx="1">
                  <c:v>2-3 k/sav</c:v>
                </c:pt>
                <c:pt idx="2">
                  <c:v>1k./sav.</c:v>
                </c:pt>
                <c:pt idx="3">
                  <c:v>2-3 k./mėn.</c:v>
                </c:pt>
                <c:pt idx="4">
                  <c:v>Kelis kartus per metus</c:v>
                </c:pt>
                <c:pt idx="5">
                  <c:v>Niekada</c:v>
                </c:pt>
                <c:pt idx="6">
                  <c:v>Neatsakyta</c:v>
                </c:pt>
              </c:strCache>
            </c:strRef>
          </c:cat>
          <c:val>
            <c:numRef>
              <c:f>Lapas1!$B$2:$H$2</c:f>
              <c:numCache>
                <c:formatCode>General</c:formatCode>
                <c:ptCount val="7"/>
                <c:pt idx="0">
                  <c:v>0.9</c:v>
                </c:pt>
                <c:pt idx="1">
                  <c:v>9.1</c:v>
                </c:pt>
                <c:pt idx="2">
                  <c:v>15.6</c:v>
                </c:pt>
                <c:pt idx="3">
                  <c:v>27</c:v>
                </c:pt>
                <c:pt idx="4">
                  <c:v>33.4</c:v>
                </c:pt>
                <c:pt idx="5">
                  <c:v>13.3</c:v>
                </c:pt>
                <c:pt idx="6">
                  <c:v>0.8</c:v>
                </c:pt>
              </c:numCache>
            </c:numRef>
          </c:val>
        </c:ser>
        <c:ser>
          <c:idx val="1"/>
          <c:order val="1"/>
          <c:tx>
            <c:strRef>
              <c:f>Lapas1!$A$3</c:f>
              <c:strCache>
                <c:ptCount val="1"/>
                <c:pt idx="0">
                  <c:v>Vynas/šampanas</c:v>
                </c:pt>
              </c:strCache>
            </c:strRef>
          </c:tx>
          <c:spPr>
            <a:solidFill>
              <a:srgbClr val="FF0000"/>
            </a:solidFill>
          </c:spPr>
          <c:dLbls>
            <c:dLbl>
              <c:idx val="3"/>
              <c:layout>
                <c:manualLayout>
                  <c:x val="-2.3163321846514356E-3"/>
                  <c:y val="-8.4368031956218968E-3"/>
                </c:manualLayout>
              </c:layout>
              <c:spPr>
                <a:noFill/>
                <a:ln w="25129">
                  <a:noFill/>
                </a:ln>
              </c:spPr>
              <c:txPr>
                <a:bodyPr/>
                <a:lstStyle/>
                <a:p>
                  <a:pPr>
                    <a:defRPr/>
                  </a:pPr>
                  <a:endParaRPr lang="lt-LT"/>
                </a:p>
              </c:txPr>
              <c:showVal val="1"/>
            </c:dLbl>
            <c:dLbl>
              <c:idx val="4"/>
              <c:layout>
                <c:manualLayout>
                  <c:x val="0"/>
                  <c:y val="-8.4368031956218968E-3"/>
                </c:manualLayout>
              </c:layout>
              <c:spPr>
                <a:noFill/>
                <a:ln w="25129">
                  <a:noFill/>
                </a:ln>
              </c:spPr>
              <c:txPr>
                <a:bodyPr/>
                <a:lstStyle/>
                <a:p>
                  <a:pPr>
                    <a:defRPr/>
                  </a:pPr>
                  <a:endParaRPr lang="lt-LT"/>
                </a:p>
              </c:txPr>
              <c:showVal val="1"/>
            </c:dLbl>
            <c:dLbl>
              <c:idx val="6"/>
              <c:layout>
                <c:manualLayout>
                  <c:x val="0"/>
                  <c:y val="-8.4368031956218968E-3"/>
                </c:manualLayout>
              </c:layout>
              <c:spPr>
                <a:noFill/>
                <a:ln w="25129">
                  <a:noFill/>
                </a:ln>
              </c:spPr>
              <c:txPr>
                <a:bodyPr/>
                <a:lstStyle/>
                <a:p>
                  <a:pPr>
                    <a:defRPr/>
                  </a:pPr>
                  <a:endParaRPr lang="lt-LT"/>
                </a:p>
              </c:txPr>
              <c:showVal val="1"/>
            </c:dLbl>
            <c:spPr>
              <a:noFill/>
              <a:ln w="25129">
                <a:noFill/>
              </a:ln>
            </c:spPr>
            <c:showVal val="1"/>
          </c:dLbls>
          <c:cat>
            <c:strRef>
              <c:f>Lapas1!$B$1:$H$1</c:f>
              <c:strCache>
                <c:ptCount val="7"/>
                <c:pt idx="0">
                  <c:v>Kasdien</c:v>
                </c:pt>
                <c:pt idx="1">
                  <c:v>2-3 k/sav</c:v>
                </c:pt>
                <c:pt idx="2">
                  <c:v>1k./sav.</c:v>
                </c:pt>
                <c:pt idx="3">
                  <c:v>2-3 k./mėn.</c:v>
                </c:pt>
                <c:pt idx="4">
                  <c:v>Kelis kartus per metus</c:v>
                </c:pt>
                <c:pt idx="5">
                  <c:v>Niekada</c:v>
                </c:pt>
                <c:pt idx="6">
                  <c:v>Neatsakyta</c:v>
                </c:pt>
              </c:strCache>
            </c:strRef>
          </c:cat>
          <c:val>
            <c:numRef>
              <c:f>Lapas1!$B$3:$H$3</c:f>
              <c:numCache>
                <c:formatCode>General</c:formatCode>
                <c:ptCount val="7"/>
                <c:pt idx="0">
                  <c:v>0.5</c:v>
                </c:pt>
                <c:pt idx="1">
                  <c:v>3</c:v>
                </c:pt>
                <c:pt idx="2">
                  <c:v>7.3</c:v>
                </c:pt>
                <c:pt idx="3">
                  <c:v>17.5</c:v>
                </c:pt>
                <c:pt idx="4">
                  <c:v>39.300000000000011</c:v>
                </c:pt>
                <c:pt idx="5">
                  <c:v>31.6</c:v>
                </c:pt>
                <c:pt idx="6">
                  <c:v>0.8</c:v>
                </c:pt>
              </c:numCache>
            </c:numRef>
          </c:val>
        </c:ser>
        <c:ser>
          <c:idx val="2"/>
          <c:order val="2"/>
          <c:tx>
            <c:strRef>
              <c:f>Lapas1!$A$4</c:f>
              <c:strCache>
                <c:ptCount val="1"/>
                <c:pt idx="0">
                  <c:v>Alus</c:v>
                </c:pt>
              </c:strCache>
            </c:strRef>
          </c:tx>
          <c:spPr>
            <a:solidFill>
              <a:srgbClr val="1F497D"/>
            </a:solidFill>
          </c:spPr>
          <c:dLbls>
            <c:dLbl>
              <c:idx val="2"/>
              <c:layout>
                <c:manualLayout>
                  <c:x val="-2.3163321846514356E-3"/>
                  <c:y val="-1.2655204793432845E-2"/>
                </c:manualLayout>
              </c:layout>
              <c:spPr>
                <a:noFill/>
                <a:ln w="25129">
                  <a:noFill/>
                </a:ln>
              </c:spPr>
              <c:txPr>
                <a:bodyPr/>
                <a:lstStyle/>
                <a:p>
                  <a:pPr>
                    <a:defRPr/>
                  </a:pPr>
                  <a:endParaRPr lang="lt-LT"/>
                </a:p>
              </c:txPr>
              <c:showVal val="1"/>
            </c:dLbl>
            <c:dLbl>
              <c:idx val="3"/>
              <c:layout>
                <c:manualLayout>
                  <c:x val="-6.9489965539544047E-3"/>
                  <c:y val="-1.2655204793432845E-2"/>
                </c:manualLayout>
              </c:layout>
              <c:spPr>
                <a:noFill/>
                <a:ln w="25129">
                  <a:noFill/>
                </a:ln>
              </c:spPr>
              <c:txPr>
                <a:bodyPr/>
                <a:lstStyle/>
                <a:p>
                  <a:pPr>
                    <a:defRPr/>
                  </a:pPr>
                  <a:endParaRPr lang="lt-LT"/>
                </a:p>
              </c:txPr>
              <c:showVal val="1"/>
            </c:dLbl>
            <c:dLbl>
              <c:idx val="4"/>
              <c:layout>
                <c:manualLayout>
                  <c:x val="-4.6326643693028824E-3"/>
                  <c:y val="-1.2655204793432883E-2"/>
                </c:manualLayout>
              </c:layout>
              <c:spPr>
                <a:noFill/>
                <a:ln w="25129">
                  <a:noFill/>
                </a:ln>
              </c:spPr>
              <c:txPr>
                <a:bodyPr/>
                <a:lstStyle/>
                <a:p>
                  <a:pPr>
                    <a:defRPr/>
                  </a:pPr>
                  <a:endParaRPr lang="lt-LT"/>
                </a:p>
              </c:txPr>
              <c:showVal val="1"/>
            </c:dLbl>
            <c:dLbl>
              <c:idx val="5"/>
              <c:layout>
                <c:manualLayout>
                  <c:x val="0"/>
                  <c:y val="-1.2655204793432845E-2"/>
                </c:manualLayout>
              </c:layout>
              <c:spPr>
                <a:noFill/>
                <a:ln w="25129">
                  <a:noFill/>
                </a:ln>
              </c:spPr>
              <c:txPr>
                <a:bodyPr/>
                <a:lstStyle/>
                <a:p>
                  <a:pPr>
                    <a:defRPr/>
                  </a:pPr>
                  <a:endParaRPr lang="lt-LT"/>
                </a:p>
              </c:txPr>
              <c:showVal val="1"/>
            </c:dLbl>
            <c:dLbl>
              <c:idx val="6"/>
              <c:layout>
                <c:manualLayout>
                  <c:x val="-2.3163321846514356E-3"/>
                  <c:y val="-1.2655204793432845E-2"/>
                </c:manualLayout>
              </c:layout>
              <c:spPr>
                <a:noFill/>
                <a:ln w="25129">
                  <a:noFill/>
                </a:ln>
              </c:spPr>
              <c:txPr>
                <a:bodyPr/>
                <a:lstStyle/>
                <a:p>
                  <a:pPr>
                    <a:defRPr/>
                  </a:pPr>
                  <a:endParaRPr lang="lt-LT"/>
                </a:p>
              </c:txPr>
              <c:showVal val="1"/>
            </c:dLbl>
            <c:spPr>
              <a:noFill/>
              <a:ln w="25129">
                <a:noFill/>
              </a:ln>
            </c:spPr>
            <c:showVal val="1"/>
          </c:dLbls>
          <c:cat>
            <c:strRef>
              <c:f>Lapas1!$B$1:$H$1</c:f>
              <c:strCache>
                <c:ptCount val="7"/>
                <c:pt idx="0">
                  <c:v>Kasdien</c:v>
                </c:pt>
                <c:pt idx="1">
                  <c:v>2-3 k/sav</c:v>
                </c:pt>
                <c:pt idx="2">
                  <c:v>1k./sav.</c:v>
                </c:pt>
                <c:pt idx="3">
                  <c:v>2-3 k./mėn.</c:v>
                </c:pt>
                <c:pt idx="4">
                  <c:v>Kelis kartus per metus</c:v>
                </c:pt>
                <c:pt idx="5">
                  <c:v>Niekada</c:v>
                </c:pt>
                <c:pt idx="6">
                  <c:v>Neatsakyta</c:v>
                </c:pt>
              </c:strCache>
            </c:strRef>
          </c:cat>
          <c:val>
            <c:numRef>
              <c:f>Lapas1!$B$4:$H$4</c:f>
              <c:numCache>
                <c:formatCode>General</c:formatCode>
                <c:ptCount val="7"/>
                <c:pt idx="0">
                  <c:v>6.1</c:v>
                </c:pt>
                <c:pt idx="1">
                  <c:v>15.1</c:v>
                </c:pt>
                <c:pt idx="2">
                  <c:v>10.4</c:v>
                </c:pt>
                <c:pt idx="3">
                  <c:v>14.9</c:v>
                </c:pt>
                <c:pt idx="4">
                  <c:v>24.1</c:v>
                </c:pt>
                <c:pt idx="5">
                  <c:v>28.6</c:v>
                </c:pt>
                <c:pt idx="6">
                  <c:v>0.9</c:v>
                </c:pt>
              </c:numCache>
            </c:numRef>
          </c:val>
        </c:ser>
        <c:shape val="cylinder"/>
        <c:axId val="232100992"/>
        <c:axId val="232102528"/>
        <c:axId val="0"/>
      </c:bar3DChart>
      <c:catAx>
        <c:axId val="232100992"/>
        <c:scaling>
          <c:orientation val="minMax"/>
        </c:scaling>
        <c:axPos val="l"/>
        <c:numFmt formatCode="General" sourceLinked="1"/>
        <c:tickLblPos val="nextTo"/>
        <c:crossAx val="232102528"/>
        <c:crosses val="autoZero"/>
        <c:auto val="1"/>
        <c:lblAlgn val="ctr"/>
        <c:lblOffset val="100"/>
      </c:catAx>
      <c:valAx>
        <c:axId val="232102528"/>
        <c:scaling>
          <c:orientation val="minMax"/>
        </c:scaling>
        <c:axPos val="b"/>
        <c:numFmt formatCode="General" sourceLinked="1"/>
        <c:tickLblPos val="nextTo"/>
        <c:spPr>
          <a:noFill/>
        </c:spPr>
        <c:crossAx val="232100992"/>
        <c:crosses val="autoZero"/>
        <c:crossBetween val="between"/>
      </c:valAx>
      <c:spPr>
        <a:noFill/>
        <a:ln w="25129">
          <a:noFill/>
        </a:ln>
      </c:spPr>
    </c:plotArea>
    <c:legend>
      <c:legendPos val="r"/>
      <c:layout>
        <c:manualLayout>
          <c:xMode val="edge"/>
          <c:yMode val="edge"/>
          <c:x val="0.7160665157819126"/>
          <c:y val="0.38659802140117105"/>
          <c:w val="0.26731303165417608"/>
          <c:h val="0.47422673127397574"/>
        </c:manualLayout>
      </c:layout>
    </c:legend>
    <c:plotVisOnly val="1"/>
    <c:dispBlanksAs val="gap"/>
  </c:chart>
  <c:spPr>
    <a:noFill/>
  </c:spPr>
  <c:txPr>
    <a:bodyPr/>
    <a:lstStyle/>
    <a:p>
      <a:pPr>
        <a:defRPr b="1">
          <a:latin typeface="Times New Roman" pitchFamily="18" charset="0"/>
          <a:cs typeface="Times New Roman" pitchFamily="18" charset="0"/>
        </a:defRPr>
      </a:pPr>
      <a:endParaRPr lang="lt-LT"/>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lt-LT"/>
  <c:chart>
    <c:view3D>
      <c:depthPercent val="100"/>
      <c:rAngAx val="1"/>
    </c:view3D>
    <c:floor>
      <c:spPr>
        <a:solidFill>
          <a:srgbClr val="9BBB59">
            <a:lumMod val="40000"/>
            <a:lumOff val="60000"/>
          </a:srgbClr>
        </a:solidFill>
      </c:spPr>
    </c:floor>
    <c:sideWall>
      <c:spPr>
        <a:noFill/>
      </c:spPr>
    </c:sideWall>
    <c:backWall>
      <c:spPr>
        <a:noFill/>
      </c:spPr>
    </c:backWall>
    <c:plotArea>
      <c:layout>
        <c:manualLayout>
          <c:layoutTarget val="inner"/>
          <c:xMode val="edge"/>
          <c:yMode val="edge"/>
          <c:x val="0.25522182123067982"/>
          <c:y val="4.3650793650793704E-2"/>
          <c:w val="0.60138232720909879"/>
          <c:h val="0.84729815023122113"/>
        </c:manualLayout>
      </c:layout>
      <c:bar3DChart>
        <c:barDir val="bar"/>
        <c:grouping val="clustered"/>
        <c:ser>
          <c:idx val="0"/>
          <c:order val="0"/>
          <c:tx>
            <c:strRef>
              <c:f>Lapas1!$A$2</c:f>
              <c:strCache>
                <c:ptCount val="1"/>
                <c:pt idx="0">
                  <c:v>Vyrai</c:v>
                </c:pt>
              </c:strCache>
            </c:strRef>
          </c:tx>
          <c:spPr>
            <a:solidFill>
              <a:srgbClr val="1F497D"/>
            </a:solidFill>
          </c:spPr>
          <c:dLbls>
            <c:spPr>
              <a:noFill/>
              <a:ln w="25382">
                <a:noFill/>
              </a:ln>
            </c:spPr>
            <c:showVal val="1"/>
          </c:dLbls>
          <c:cat>
            <c:strRef>
              <c:f>Lapas1!$B$1:$H$1</c:f>
              <c:strCache>
                <c:ptCount val="7"/>
                <c:pt idx="0">
                  <c:v>Kasdien</c:v>
                </c:pt>
                <c:pt idx="1">
                  <c:v>2-3 k./sav.</c:v>
                </c:pt>
                <c:pt idx="2">
                  <c:v>Kelis kartus per sav.</c:v>
                </c:pt>
                <c:pt idx="3">
                  <c:v>2-3 k./mėn.</c:v>
                </c:pt>
                <c:pt idx="4">
                  <c:v>Kelis kartus per metus</c:v>
                </c:pt>
                <c:pt idx="5">
                  <c:v>Niekada</c:v>
                </c:pt>
                <c:pt idx="6">
                  <c:v>Neatsakyta</c:v>
                </c:pt>
              </c:strCache>
            </c:strRef>
          </c:cat>
          <c:val>
            <c:numRef>
              <c:f>Lapas1!$B$2:$H$2</c:f>
              <c:numCache>
                <c:formatCode>General</c:formatCode>
                <c:ptCount val="7"/>
                <c:pt idx="0">
                  <c:v>8.4</c:v>
                </c:pt>
                <c:pt idx="1">
                  <c:v>25.4</c:v>
                </c:pt>
                <c:pt idx="2">
                  <c:v>16.3</c:v>
                </c:pt>
                <c:pt idx="3">
                  <c:v>25.2</c:v>
                </c:pt>
                <c:pt idx="4">
                  <c:v>17.3</c:v>
                </c:pt>
                <c:pt idx="5">
                  <c:v>7.2</c:v>
                </c:pt>
                <c:pt idx="6">
                  <c:v>0.5</c:v>
                </c:pt>
              </c:numCache>
            </c:numRef>
          </c:val>
        </c:ser>
        <c:ser>
          <c:idx val="1"/>
          <c:order val="1"/>
          <c:tx>
            <c:strRef>
              <c:f>Lapas1!$A$3</c:f>
              <c:strCache>
                <c:ptCount val="1"/>
                <c:pt idx="0">
                  <c:v>Moterys</c:v>
                </c:pt>
              </c:strCache>
            </c:strRef>
          </c:tx>
          <c:spPr>
            <a:solidFill>
              <a:srgbClr val="FF0000"/>
            </a:solidFill>
          </c:spPr>
          <c:dLbls>
            <c:dLbl>
              <c:idx val="0"/>
              <c:layout>
                <c:manualLayout>
                  <c:x val="0"/>
                  <c:y val="-7.9365079365079413E-3"/>
                </c:manualLayout>
              </c:layout>
              <c:spPr>
                <a:noFill/>
                <a:ln w="25382">
                  <a:noFill/>
                </a:ln>
              </c:spPr>
              <c:txPr>
                <a:bodyPr/>
                <a:lstStyle/>
                <a:p>
                  <a:pPr>
                    <a:defRPr/>
                  </a:pPr>
                  <a:endParaRPr lang="lt-LT"/>
                </a:p>
              </c:txPr>
              <c:showVal val="1"/>
            </c:dLbl>
            <c:dLbl>
              <c:idx val="2"/>
              <c:layout>
                <c:manualLayout>
                  <c:x val="0"/>
                  <c:y val="-1.5873015873015799E-2"/>
                </c:manualLayout>
              </c:layout>
              <c:spPr>
                <a:noFill/>
                <a:ln w="25382">
                  <a:noFill/>
                </a:ln>
              </c:spPr>
              <c:txPr>
                <a:bodyPr/>
                <a:lstStyle/>
                <a:p>
                  <a:pPr>
                    <a:defRPr/>
                  </a:pPr>
                  <a:endParaRPr lang="lt-LT"/>
                </a:p>
              </c:txPr>
              <c:showVal val="1"/>
            </c:dLbl>
            <c:dLbl>
              <c:idx val="3"/>
              <c:layout>
                <c:manualLayout>
                  <c:x val="0"/>
                  <c:y val="-1.1904761904761921E-2"/>
                </c:manualLayout>
              </c:layout>
              <c:spPr>
                <a:noFill/>
                <a:ln w="25382">
                  <a:noFill/>
                </a:ln>
              </c:spPr>
              <c:txPr>
                <a:bodyPr/>
                <a:lstStyle/>
                <a:p>
                  <a:pPr>
                    <a:defRPr/>
                  </a:pPr>
                  <a:endParaRPr lang="lt-LT"/>
                </a:p>
              </c:txPr>
              <c:showVal val="1"/>
            </c:dLbl>
            <c:dLbl>
              <c:idx val="6"/>
              <c:layout>
                <c:manualLayout>
                  <c:x val="0"/>
                  <c:y val="-9.6223675342834748E-3"/>
                </c:manualLayout>
              </c:layout>
              <c:spPr>
                <a:noFill/>
                <a:ln w="25382">
                  <a:noFill/>
                </a:ln>
              </c:spPr>
              <c:txPr>
                <a:bodyPr/>
                <a:lstStyle/>
                <a:p>
                  <a:pPr>
                    <a:defRPr/>
                  </a:pPr>
                  <a:endParaRPr lang="lt-LT"/>
                </a:p>
              </c:txPr>
              <c:showVal val="1"/>
            </c:dLbl>
            <c:spPr>
              <a:noFill/>
              <a:ln w="25382">
                <a:noFill/>
              </a:ln>
            </c:spPr>
            <c:showVal val="1"/>
          </c:dLbls>
          <c:cat>
            <c:strRef>
              <c:f>Lapas1!$B$1:$H$1</c:f>
              <c:strCache>
                <c:ptCount val="7"/>
                <c:pt idx="0">
                  <c:v>Kasdien</c:v>
                </c:pt>
                <c:pt idx="1">
                  <c:v>2-3 k./sav.</c:v>
                </c:pt>
                <c:pt idx="2">
                  <c:v>Kelis kartus per sav.</c:v>
                </c:pt>
                <c:pt idx="3">
                  <c:v>2-3 k./mėn.</c:v>
                </c:pt>
                <c:pt idx="4">
                  <c:v>Kelis kartus per metus</c:v>
                </c:pt>
                <c:pt idx="5">
                  <c:v>Niekada</c:v>
                </c:pt>
                <c:pt idx="6">
                  <c:v>Neatsakyta</c:v>
                </c:pt>
              </c:strCache>
            </c:strRef>
          </c:cat>
          <c:val>
            <c:numRef>
              <c:f>Lapas1!$B$3:$H$3</c:f>
              <c:numCache>
                <c:formatCode>General</c:formatCode>
                <c:ptCount val="7"/>
                <c:pt idx="0">
                  <c:v>1.1000000000000001</c:v>
                </c:pt>
                <c:pt idx="1">
                  <c:v>4.8</c:v>
                </c:pt>
                <c:pt idx="2">
                  <c:v>13.8</c:v>
                </c:pt>
                <c:pt idx="3">
                  <c:v>24.4</c:v>
                </c:pt>
                <c:pt idx="4">
                  <c:v>39.4</c:v>
                </c:pt>
                <c:pt idx="5">
                  <c:v>15.7</c:v>
                </c:pt>
                <c:pt idx="6">
                  <c:v>0.9</c:v>
                </c:pt>
              </c:numCache>
            </c:numRef>
          </c:val>
        </c:ser>
        <c:shape val="cylinder"/>
        <c:axId val="231954688"/>
        <c:axId val="232001536"/>
        <c:axId val="0"/>
      </c:bar3DChart>
      <c:catAx>
        <c:axId val="231954688"/>
        <c:scaling>
          <c:orientation val="minMax"/>
        </c:scaling>
        <c:axPos val="l"/>
        <c:numFmt formatCode="General" sourceLinked="1"/>
        <c:tickLblPos val="nextTo"/>
        <c:crossAx val="232001536"/>
        <c:crosses val="autoZero"/>
        <c:auto val="1"/>
        <c:lblAlgn val="ctr"/>
        <c:lblOffset val="100"/>
      </c:catAx>
      <c:valAx>
        <c:axId val="232001536"/>
        <c:scaling>
          <c:orientation val="minMax"/>
        </c:scaling>
        <c:axPos val="b"/>
        <c:numFmt formatCode="General" sourceLinked="1"/>
        <c:tickLblPos val="nextTo"/>
        <c:crossAx val="231954688"/>
        <c:crosses val="autoZero"/>
        <c:crossBetween val="between"/>
      </c:valAx>
      <c:spPr>
        <a:noFill/>
        <a:ln w="25382">
          <a:noFill/>
        </a:ln>
      </c:spPr>
    </c:plotArea>
    <c:legend>
      <c:legendPos val="r"/>
      <c:layout>
        <c:manualLayout>
          <c:xMode val="edge"/>
          <c:yMode val="edge"/>
          <c:x val="0.8434649631060267"/>
          <c:y val="0.46130962411986332"/>
          <c:w val="0.13373862229485489"/>
          <c:h val="0.18749997578715938"/>
        </c:manualLayout>
      </c:layout>
    </c:legend>
    <c:plotVisOnly val="1"/>
    <c:dispBlanksAs val="gap"/>
  </c:chart>
  <c:spPr>
    <a:noFill/>
  </c:spPr>
  <c:txPr>
    <a:bodyPr/>
    <a:lstStyle/>
    <a:p>
      <a:pPr>
        <a:defRPr b="1">
          <a:latin typeface="Times New Roman" pitchFamily="18" charset="0"/>
          <a:cs typeface="Times New Roman" pitchFamily="18" charset="0"/>
        </a:defRPr>
      </a:pPr>
      <a:endParaRPr lang="lt-LT"/>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lt-LT"/>
  <c:style val="26"/>
  <c:chart>
    <c:view3D>
      <c:depthPercent val="100"/>
      <c:rAngAx val="1"/>
    </c:view3D>
    <c:floor>
      <c:spPr>
        <a:solidFill>
          <a:srgbClr val="9BBB59">
            <a:lumMod val="40000"/>
            <a:lumOff val="60000"/>
          </a:srgbClr>
        </a:solidFill>
      </c:spPr>
    </c:floor>
    <c:sideWall>
      <c:spPr>
        <a:noFill/>
        <a:effectLst>
          <a:softEdge rad="127000"/>
        </a:effectLst>
      </c:spPr>
    </c:sideWall>
    <c:backWall>
      <c:spPr>
        <a:noFill/>
        <a:effectLst>
          <a:softEdge rad="127000"/>
        </a:effectLst>
      </c:spPr>
    </c:backWall>
    <c:plotArea>
      <c:layout>
        <c:manualLayout>
          <c:layoutTarget val="inner"/>
          <c:xMode val="edge"/>
          <c:yMode val="edge"/>
          <c:x val="2.7243589743589751E-2"/>
          <c:y val="7.2398190045249514E-2"/>
          <c:w val="0.66346153846154199"/>
          <c:h val="0.63348416289592757"/>
        </c:manualLayout>
      </c:layout>
      <c:bar3DChart>
        <c:barDir val="col"/>
        <c:grouping val="clustered"/>
        <c:ser>
          <c:idx val="0"/>
          <c:order val="0"/>
          <c:tx>
            <c:strRef>
              <c:f>Lapas1!$A$2</c:f>
              <c:strCache>
                <c:ptCount val="1"/>
                <c:pt idx="0">
                  <c:v>Į darbą vykstu automobiliu arba autobusu</c:v>
                </c:pt>
              </c:strCache>
            </c:strRef>
          </c:tx>
          <c:spPr>
            <a:solidFill>
              <a:srgbClr val="1F497D"/>
            </a:solidFill>
          </c:spPr>
          <c:dLbls>
            <c:spPr>
              <a:noFill/>
              <a:ln w="25421">
                <a:noFill/>
              </a:ln>
            </c:spPr>
            <c:showVal val="1"/>
          </c:dLbls>
          <c:cat>
            <c:strRef>
              <c:f>Lapas1!$B$1:$F$1</c:f>
              <c:strCache>
                <c:ptCount val="5"/>
                <c:pt idx="0">
                  <c:v>20-24 m.</c:v>
                </c:pt>
                <c:pt idx="1">
                  <c:v>25-34 m.</c:v>
                </c:pt>
                <c:pt idx="2">
                  <c:v>35-44 m.</c:v>
                </c:pt>
                <c:pt idx="3">
                  <c:v>45-54 m.</c:v>
                </c:pt>
                <c:pt idx="4">
                  <c:v>55-64 m.</c:v>
                </c:pt>
              </c:strCache>
            </c:strRef>
          </c:cat>
          <c:val>
            <c:numRef>
              <c:f>Lapas1!$B$2:$F$2</c:f>
              <c:numCache>
                <c:formatCode>General</c:formatCode>
                <c:ptCount val="5"/>
                <c:pt idx="0">
                  <c:v>33.800000000000011</c:v>
                </c:pt>
                <c:pt idx="1">
                  <c:v>60.3</c:v>
                </c:pt>
                <c:pt idx="2">
                  <c:v>53.2</c:v>
                </c:pt>
                <c:pt idx="3">
                  <c:v>47.1</c:v>
                </c:pt>
                <c:pt idx="4">
                  <c:v>32.200000000000003</c:v>
                </c:pt>
              </c:numCache>
            </c:numRef>
          </c:val>
        </c:ser>
        <c:ser>
          <c:idx val="1"/>
          <c:order val="1"/>
          <c:tx>
            <c:strRef>
              <c:f>Lapas1!$A$3</c:f>
              <c:strCache>
                <c:ptCount val="1"/>
                <c:pt idx="0">
                  <c:v>15-30 min.</c:v>
                </c:pt>
              </c:strCache>
            </c:strRef>
          </c:tx>
          <c:spPr>
            <a:solidFill>
              <a:srgbClr val="FF0000"/>
            </a:solidFill>
          </c:spPr>
          <c:dLbls>
            <c:dLbl>
              <c:idx val="0"/>
              <c:layout>
                <c:manualLayout>
                  <c:x val="1.3457139012246001E-2"/>
                  <c:y val="1.1638056444573755E-2"/>
                </c:manualLayout>
              </c:layout>
              <c:spPr>
                <a:noFill/>
                <a:ln w="25421">
                  <a:noFill/>
                </a:ln>
              </c:spPr>
              <c:txPr>
                <a:bodyPr/>
                <a:lstStyle/>
                <a:p>
                  <a:pPr>
                    <a:defRPr/>
                  </a:pPr>
                  <a:endParaRPr lang="lt-LT"/>
                </a:p>
              </c:txPr>
              <c:showVal val="1"/>
            </c:dLbl>
            <c:dLbl>
              <c:idx val="1"/>
              <c:layout>
                <c:manualLayout>
                  <c:x val="1.8839994617144393E-2"/>
                  <c:y val="0"/>
                </c:manualLayout>
              </c:layout>
              <c:spPr>
                <a:noFill/>
                <a:ln w="25421">
                  <a:noFill/>
                </a:ln>
              </c:spPr>
              <c:txPr>
                <a:bodyPr/>
                <a:lstStyle/>
                <a:p>
                  <a:pPr>
                    <a:defRPr/>
                  </a:pPr>
                  <a:endParaRPr lang="lt-LT"/>
                </a:p>
              </c:txPr>
              <c:showVal val="1"/>
            </c:dLbl>
            <c:dLbl>
              <c:idx val="3"/>
              <c:layout>
                <c:manualLayout>
                  <c:x val="1.6148566814695203E-2"/>
                  <c:y val="0"/>
                </c:manualLayout>
              </c:layout>
              <c:spPr>
                <a:noFill/>
                <a:ln w="25421">
                  <a:noFill/>
                </a:ln>
              </c:spPr>
              <c:txPr>
                <a:bodyPr/>
                <a:lstStyle/>
                <a:p>
                  <a:pPr>
                    <a:defRPr/>
                  </a:pPr>
                  <a:endParaRPr lang="lt-LT"/>
                </a:p>
              </c:txPr>
              <c:showVal val="1"/>
            </c:dLbl>
            <c:dLbl>
              <c:idx val="4"/>
              <c:layout>
                <c:manualLayout>
                  <c:x val="2.1531422419593962E-2"/>
                  <c:y val="0"/>
                </c:manualLayout>
              </c:layout>
              <c:spPr>
                <a:noFill/>
                <a:ln w="25421">
                  <a:noFill/>
                </a:ln>
              </c:spPr>
              <c:txPr>
                <a:bodyPr/>
                <a:lstStyle/>
                <a:p>
                  <a:pPr>
                    <a:defRPr/>
                  </a:pPr>
                  <a:endParaRPr lang="lt-LT"/>
                </a:p>
              </c:txPr>
              <c:showVal val="1"/>
            </c:dLbl>
            <c:spPr>
              <a:noFill/>
              <a:ln w="25421">
                <a:noFill/>
              </a:ln>
            </c:spPr>
            <c:showVal val="1"/>
          </c:dLbls>
          <c:cat>
            <c:strRef>
              <c:f>Lapas1!$B$1:$F$1</c:f>
              <c:strCache>
                <c:ptCount val="5"/>
                <c:pt idx="0">
                  <c:v>20-24 m.</c:v>
                </c:pt>
                <c:pt idx="1">
                  <c:v>25-34 m.</c:v>
                </c:pt>
                <c:pt idx="2">
                  <c:v>35-44 m.</c:v>
                </c:pt>
                <c:pt idx="3">
                  <c:v>45-54 m.</c:v>
                </c:pt>
                <c:pt idx="4">
                  <c:v>55-64 m.</c:v>
                </c:pt>
              </c:strCache>
            </c:strRef>
          </c:cat>
          <c:val>
            <c:numRef>
              <c:f>Lapas1!$B$3:$F$3</c:f>
              <c:numCache>
                <c:formatCode>General</c:formatCode>
                <c:ptCount val="5"/>
                <c:pt idx="0">
                  <c:v>23.8</c:v>
                </c:pt>
                <c:pt idx="1">
                  <c:v>11.4</c:v>
                </c:pt>
                <c:pt idx="2">
                  <c:v>15.7</c:v>
                </c:pt>
                <c:pt idx="3">
                  <c:v>19.2</c:v>
                </c:pt>
                <c:pt idx="4">
                  <c:v>11.1</c:v>
                </c:pt>
              </c:numCache>
            </c:numRef>
          </c:val>
        </c:ser>
        <c:dLbls>
          <c:showVal val="1"/>
        </c:dLbls>
        <c:shape val="cylinder"/>
        <c:axId val="229709696"/>
        <c:axId val="229711232"/>
        <c:axId val="0"/>
      </c:bar3DChart>
      <c:catAx>
        <c:axId val="229709696"/>
        <c:scaling>
          <c:orientation val="minMax"/>
        </c:scaling>
        <c:axPos val="b"/>
        <c:numFmt formatCode="General" sourceLinked="1"/>
        <c:majorTickMark val="none"/>
        <c:tickLblPos val="nextTo"/>
        <c:crossAx val="229711232"/>
        <c:crosses val="autoZero"/>
        <c:auto val="1"/>
        <c:lblAlgn val="ctr"/>
        <c:lblOffset val="100"/>
      </c:catAx>
      <c:valAx>
        <c:axId val="229711232"/>
        <c:scaling>
          <c:orientation val="minMax"/>
        </c:scaling>
        <c:delete val="1"/>
        <c:axPos val="l"/>
        <c:numFmt formatCode="General" sourceLinked="1"/>
        <c:tickLblPos val="none"/>
        <c:crossAx val="229709696"/>
        <c:crosses val="autoZero"/>
        <c:crossBetween val="between"/>
      </c:valAx>
      <c:spPr>
        <a:noFill/>
        <a:ln w="25421">
          <a:noFill/>
        </a:ln>
      </c:spPr>
    </c:plotArea>
    <c:legend>
      <c:legendPos val="r"/>
      <c:layout>
        <c:manualLayout>
          <c:xMode val="edge"/>
          <c:yMode val="edge"/>
          <c:x val="0.73024060429277193"/>
          <c:y val="0.2415458846087353"/>
          <c:w val="0.24054988843739289"/>
          <c:h val="0.65700473069608822"/>
        </c:manualLayout>
      </c:layout>
    </c:legend>
    <c:plotVisOnly val="1"/>
    <c:dispBlanksAs val="gap"/>
  </c:chart>
  <c:spPr>
    <a:noFill/>
    <a:ln w="15291">
      <a:solidFill>
        <a:sysClr val="windowText" lastClr="000000"/>
      </a:solidFill>
    </a:ln>
    <a:effectLst>
      <a:softEdge rad="127000"/>
    </a:effectLst>
  </c:spPr>
  <c:txPr>
    <a:bodyPr/>
    <a:lstStyle/>
    <a:p>
      <a:pPr>
        <a:defRPr b="1">
          <a:latin typeface="Times New Roman" pitchFamily="18" charset="0"/>
          <a:cs typeface="Times New Roman" pitchFamily="18" charset="0"/>
        </a:defRPr>
      </a:pPr>
      <a:endParaRPr lang="lt-LT"/>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lt-LT"/>
  <c:style val="26"/>
  <c:chart>
    <c:view3D>
      <c:depthPercent val="100"/>
      <c:rAngAx val="1"/>
    </c:view3D>
    <c:floor>
      <c:spPr>
        <a:solidFill>
          <a:srgbClr val="9BBB59">
            <a:lumMod val="40000"/>
            <a:lumOff val="60000"/>
          </a:srgbClr>
        </a:solidFill>
      </c:spPr>
    </c:floor>
    <c:sideWall>
      <c:spPr>
        <a:noFill/>
        <a:effectLst>
          <a:softEdge rad="127000"/>
        </a:effectLst>
      </c:spPr>
    </c:sideWall>
    <c:backWall>
      <c:spPr>
        <a:noFill/>
        <a:effectLst>
          <a:softEdge rad="127000"/>
        </a:effectLst>
      </c:spPr>
    </c:backWall>
    <c:plotArea>
      <c:layout/>
      <c:bar3DChart>
        <c:barDir val="bar"/>
        <c:grouping val="clustered"/>
        <c:ser>
          <c:idx val="0"/>
          <c:order val="0"/>
          <c:tx>
            <c:strRef>
              <c:f>Lapas1!$B$1</c:f>
              <c:strCache>
                <c:ptCount val="1"/>
                <c:pt idx="0">
                  <c:v>Vyrai</c:v>
                </c:pt>
              </c:strCache>
            </c:strRef>
          </c:tx>
          <c:spPr>
            <a:solidFill>
              <a:srgbClr val="1F497D"/>
            </a:solidFill>
          </c:spPr>
          <c:dLbls>
            <c:dLbl>
              <c:idx val="0"/>
              <c:layout>
                <c:manualLayout>
                  <c:x val="2.6571443010426645E-3"/>
                  <c:y val="-9.447302841657429E-3"/>
                </c:manualLayout>
              </c:layout>
              <c:showVal val="1"/>
            </c:dLbl>
            <c:dLbl>
              <c:idx val="1"/>
              <c:layout>
                <c:manualLayout>
                  <c:x val="1.1840592846828191E-3"/>
                  <c:y val="-1.572415361437221E-2"/>
                </c:manualLayout>
              </c:layout>
              <c:showVal val="1"/>
            </c:dLbl>
            <c:dLbl>
              <c:idx val="2"/>
              <c:layout>
                <c:manualLayout>
                  <c:x val="-2.6698751963665338E-2"/>
                  <c:y val="3.9876441437599996E-2"/>
                </c:manualLayout>
              </c:layout>
              <c:showVal val="1"/>
            </c:dLbl>
            <c:dLbl>
              <c:idx val="3"/>
              <c:layout>
                <c:manualLayout>
                  <c:x val="1.6760911850377572E-3"/>
                  <c:y val="-9.4374484777850419E-5"/>
                </c:manualLayout>
              </c:layout>
              <c:showVal val="1"/>
            </c:dLbl>
            <c:dLbl>
              <c:idx val="4"/>
              <c:layout>
                <c:manualLayout>
                  <c:x val="-1.1620812863365452E-2"/>
                  <c:y val="3.2561092318333855E-3"/>
                </c:manualLayout>
              </c:layout>
              <c:showVal val="1"/>
            </c:dLbl>
            <c:dLbl>
              <c:idx val="5"/>
              <c:layout>
                <c:manualLayout>
                  <c:x val="7.8417584119068271E-3"/>
                  <c:y val="-1.9727678444526565E-3"/>
                </c:manualLayout>
              </c:layout>
              <c:showVal val="1"/>
            </c:dLbl>
            <c:dLbl>
              <c:idx val="6"/>
              <c:layout>
                <c:manualLayout>
                  <c:x val="-1.1517743609922903E-2"/>
                  <c:y val="-2.2689523917813537E-2"/>
                </c:manualLayout>
              </c:layout>
              <c:showVal val="1"/>
            </c:dLbl>
            <c:spPr>
              <a:noFill/>
              <a:ln w="18819">
                <a:noFill/>
              </a:ln>
            </c:spPr>
            <c:showVal val="1"/>
          </c:dLbls>
          <c:cat>
            <c:strRef>
              <c:f>Lapas1!$A$2:$A$8</c:f>
              <c:strCache>
                <c:ptCount val="7"/>
                <c:pt idx="0">
                  <c:v>Kasdien</c:v>
                </c:pt>
                <c:pt idx="1">
                  <c:v>4-6 kartus per sav.</c:v>
                </c:pt>
                <c:pt idx="2">
                  <c:v>2-3 kartus per sav.</c:v>
                </c:pt>
                <c:pt idx="3">
                  <c:v>Kartą per sav.</c:v>
                </c:pt>
                <c:pt idx="4">
                  <c:v>2-3 kartus per mėn.</c:v>
                </c:pt>
                <c:pt idx="5">
                  <c:v>Kelis kartus per metus</c:v>
                </c:pt>
                <c:pt idx="6">
                  <c:v>Negaliu mankštintis </c:v>
                </c:pt>
              </c:strCache>
            </c:strRef>
          </c:cat>
          <c:val>
            <c:numRef>
              <c:f>Lapas1!$B$2:$B$8</c:f>
              <c:numCache>
                <c:formatCode>General</c:formatCode>
                <c:ptCount val="7"/>
                <c:pt idx="0">
                  <c:v>18</c:v>
                </c:pt>
                <c:pt idx="1">
                  <c:v>7.9</c:v>
                </c:pt>
                <c:pt idx="2">
                  <c:v>15.6</c:v>
                </c:pt>
                <c:pt idx="3">
                  <c:v>15.1</c:v>
                </c:pt>
                <c:pt idx="4">
                  <c:v>10.8</c:v>
                </c:pt>
                <c:pt idx="5">
                  <c:v>22.3</c:v>
                </c:pt>
                <c:pt idx="6">
                  <c:v>5</c:v>
                </c:pt>
              </c:numCache>
            </c:numRef>
          </c:val>
        </c:ser>
        <c:ser>
          <c:idx val="1"/>
          <c:order val="1"/>
          <c:tx>
            <c:strRef>
              <c:f>Lapas1!$C$1</c:f>
              <c:strCache>
                <c:ptCount val="1"/>
                <c:pt idx="0">
                  <c:v>Moterys</c:v>
                </c:pt>
              </c:strCache>
            </c:strRef>
          </c:tx>
          <c:spPr>
            <a:solidFill>
              <a:srgbClr val="FF0000"/>
            </a:solidFill>
          </c:spPr>
          <c:dLbls>
            <c:dLbl>
              <c:idx val="0"/>
              <c:layout>
                <c:manualLayout>
                  <c:x val="-1.1356732804958167E-3"/>
                  <c:y val="-1.5406160872490218E-2"/>
                </c:manualLayout>
              </c:layout>
              <c:showVal val="1"/>
            </c:dLbl>
            <c:dLbl>
              <c:idx val="1"/>
              <c:layout>
                <c:manualLayout>
                  <c:x val="-9.6301051266584302E-3"/>
                  <c:y val="-2.5098685768972021E-2"/>
                </c:manualLayout>
              </c:layout>
              <c:showVal val="1"/>
            </c:dLbl>
            <c:dLbl>
              <c:idx val="2"/>
              <c:layout>
                <c:manualLayout>
                  <c:x val="-8.7909842896020628E-3"/>
                  <c:y val="-1.3518292162938117E-2"/>
                </c:manualLayout>
              </c:layout>
              <c:showVal val="1"/>
            </c:dLbl>
            <c:dLbl>
              <c:idx val="3"/>
              <c:layout>
                <c:manualLayout>
                  <c:x val="-1.7526485961069695E-4"/>
                  <c:y val="-3.9397746761799177E-2"/>
                </c:manualLayout>
              </c:layout>
              <c:showVal val="1"/>
            </c:dLbl>
            <c:dLbl>
              <c:idx val="4"/>
              <c:layout>
                <c:manualLayout>
                  <c:x val="1.9513537866349255E-3"/>
                  <c:y val="-7.5158475226697746E-3"/>
                </c:manualLayout>
              </c:layout>
              <c:showVal val="1"/>
            </c:dLbl>
            <c:dLbl>
              <c:idx val="5"/>
              <c:layout>
                <c:manualLayout>
                  <c:x val="-6.2987825006103016E-3"/>
                  <c:y val="-1.6859679543667148E-2"/>
                </c:manualLayout>
              </c:layout>
              <c:spPr>
                <a:noFill/>
                <a:ln w="18819">
                  <a:noFill/>
                </a:ln>
              </c:spPr>
              <c:txPr>
                <a:bodyPr/>
                <a:lstStyle/>
                <a:p>
                  <a:pPr>
                    <a:defRPr/>
                  </a:pPr>
                  <a:endParaRPr lang="lt-LT"/>
                </a:p>
              </c:txPr>
              <c:showVal val="1"/>
            </c:dLbl>
            <c:dLbl>
              <c:idx val="6"/>
              <c:layout>
                <c:manualLayout>
                  <c:x val="-4.4604136857516845E-3"/>
                  <c:y val="-3.3111965471825044E-2"/>
                </c:manualLayout>
              </c:layout>
              <c:showVal val="1"/>
            </c:dLbl>
            <c:spPr>
              <a:noFill/>
              <a:ln w="18819">
                <a:noFill/>
              </a:ln>
            </c:spPr>
            <c:showVal val="1"/>
          </c:dLbls>
          <c:cat>
            <c:strRef>
              <c:f>Lapas1!$A$2:$A$8</c:f>
              <c:strCache>
                <c:ptCount val="7"/>
                <c:pt idx="0">
                  <c:v>Kasdien</c:v>
                </c:pt>
                <c:pt idx="1">
                  <c:v>4-6 kartus per sav.</c:v>
                </c:pt>
                <c:pt idx="2">
                  <c:v>2-3 kartus per sav.</c:v>
                </c:pt>
                <c:pt idx="3">
                  <c:v>Kartą per sav.</c:v>
                </c:pt>
                <c:pt idx="4">
                  <c:v>2-3 kartus per mėn.</c:v>
                </c:pt>
                <c:pt idx="5">
                  <c:v>Kelis kartus per metus</c:v>
                </c:pt>
                <c:pt idx="6">
                  <c:v>Negaliu mankštintis </c:v>
                </c:pt>
              </c:strCache>
            </c:strRef>
          </c:cat>
          <c:val>
            <c:numRef>
              <c:f>Lapas1!$C$2:$C$8</c:f>
              <c:numCache>
                <c:formatCode>General</c:formatCode>
                <c:ptCount val="7"/>
                <c:pt idx="0">
                  <c:v>9.9</c:v>
                </c:pt>
                <c:pt idx="1">
                  <c:v>5.0999999999999996</c:v>
                </c:pt>
                <c:pt idx="2">
                  <c:v>18.7</c:v>
                </c:pt>
                <c:pt idx="3">
                  <c:v>15.2</c:v>
                </c:pt>
                <c:pt idx="4">
                  <c:v>15.9</c:v>
                </c:pt>
                <c:pt idx="5">
                  <c:v>23.3</c:v>
                </c:pt>
                <c:pt idx="6">
                  <c:v>5.0999999999999996</c:v>
                </c:pt>
              </c:numCache>
            </c:numRef>
          </c:val>
        </c:ser>
        <c:dLbls>
          <c:showVal val="1"/>
        </c:dLbls>
        <c:shape val="cylinder"/>
        <c:axId val="229647872"/>
        <c:axId val="229649408"/>
        <c:axId val="0"/>
      </c:bar3DChart>
      <c:catAx>
        <c:axId val="229647872"/>
        <c:scaling>
          <c:orientation val="minMax"/>
        </c:scaling>
        <c:axPos val="l"/>
        <c:numFmt formatCode="General" sourceLinked="1"/>
        <c:majorTickMark val="none"/>
        <c:tickLblPos val="nextTo"/>
        <c:crossAx val="229649408"/>
        <c:crosses val="autoZero"/>
        <c:auto val="1"/>
        <c:lblAlgn val="ctr"/>
        <c:lblOffset val="100"/>
      </c:catAx>
      <c:valAx>
        <c:axId val="229649408"/>
        <c:scaling>
          <c:orientation val="minMax"/>
        </c:scaling>
        <c:delete val="1"/>
        <c:axPos val="b"/>
        <c:numFmt formatCode="General" sourceLinked="1"/>
        <c:tickLblPos val="none"/>
        <c:crossAx val="229647872"/>
        <c:crosses val="autoZero"/>
        <c:crossBetween val="between"/>
      </c:valAx>
      <c:spPr>
        <a:noFill/>
        <a:ln w="18819">
          <a:noFill/>
        </a:ln>
      </c:spPr>
    </c:plotArea>
    <c:legend>
      <c:legendPos val="r"/>
      <c:layout>
        <c:manualLayout>
          <c:xMode val="edge"/>
          <c:yMode val="edge"/>
          <c:x val="0.78619153674832964"/>
          <c:y val="0.47321428571428581"/>
          <c:w val="0.18040089086859692"/>
          <c:h val="0.2053571428571429"/>
        </c:manualLayout>
      </c:layout>
    </c:legend>
    <c:plotVisOnly val="1"/>
    <c:dispBlanksAs val="gap"/>
  </c:chart>
  <c:spPr>
    <a:noFill/>
    <a:effectLst>
      <a:softEdge rad="127000"/>
    </a:effectLst>
  </c:spPr>
  <c:txPr>
    <a:bodyPr/>
    <a:lstStyle/>
    <a:p>
      <a:pPr>
        <a:defRPr b="1">
          <a:latin typeface="Times New Roman" pitchFamily="18" charset="0"/>
          <a:cs typeface="Times New Roman" pitchFamily="18" charset="0"/>
        </a:defRPr>
      </a:pPr>
      <a:endParaRPr lang="lt-L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lineChart>
        <c:grouping val="standard"/>
        <c:ser>
          <c:idx val="0"/>
          <c:order val="0"/>
          <c:tx>
            <c:strRef>
              <c:f>Lapas1!$B$1</c:f>
              <c:strCache>
                <c:ptCount val="1"/>
                <c:pt idx="0">
                  <c:v>Piktybiniai navikai</c:v>
                </c:pt>
              </c:strCache>
            </c:strRef>
          </c:tx>
          <c:dLbls>
            <c:dLbl>
              <c:idx val="0"/>
              <c:layout>
                <c:manualLayout>
                  <c:x val="-5.5041831792161995E-2"/>
                  <c:y val="-7.7399380804954024E-2"/>
                </c:manualLayout>
              </c:layout>
              <c:spPr>
                <a:noFill/>
                <a:ln w="25399">
                  <a:noFill/>
                </a:ln>
              </c:spPr>
              <c:txPr>
                <a:bodyPr/>
                <a:lstStyle/>
                <a:p>
                  <a:pPr>
                    <a:defRPr/>
                  </a:pPr>
                  <a:endParaRPr lang="lt-LT"/>
                </a:p>
              </c:txPr>
              <c:dLblPos val="r"/>
              <c:showVal val="1"/>
            </c:dLbl>
            <c:dLbl>
              <c:idx val="1"/>
              <c:layout>
                <c:manualLayout>
                  <c:x val="-4.8436811977102832E-2"/>
                  <c:y val="-7.7399380804954024E-2"/>
                </c:manualLayout>
              </c:layout>
              <c:spPr>
                <a:noFill/>
                <a:ln w="25399">
                  <a:noFill/>
                </a:ln>
              </c:spPr>
              <c:txPr>
                <a:bodyPr/>
                <a:lstStyle/>
                <a:p>
                  <a:pPr>
                    <a:defRPr/>
                  </a:pPr>
                  <a:endParaRPr lang="lt-LT"/>
                </a:p>
              </c:txPr>
              <c:dLblPos val="r"/>
              <c:showVal val="1"/>
            </c:dLbl>
            <c:dLbl>
              <c:idx val="2"/>
              <c:layout>
                <c:manualLayout>
                  <c:x val="-4.1831792162043163E-2"/>
                  <c:y val="-7.2239422084623334E-2"/>
                </c:manualLayout>
              </c:layout>
              <c:spPr>
                <a:noFill/>
                <a:ln w="25399">
                  <a:noFill/>
                </a:ln>
              </c:spPr>
              <c:txPr>
                <a:bodyPr/>
                <a:lstStyle/>
                <a:p>
                  <a:pPr>
                    <a:defRPr/>
                  </a:pPr>
                  <a:endParaRPr lang="lt-LT"/>
                </a:p>
              </c:txPr>
              <c:dLblPos val="r"/>
              <c:showVal val="1"/>
            </c:dLbl>
            <c:dLbl>
              <c:idx val="3"/>
              <c:layout>
                <c:manualLayout>
                  <c:x val="-5.5041831792161995E-2"/>
                  <c:y val="-7.7399380804954024E-2"/>
                </c:manualLayout>
              </c:layout>
              <c:spPr>
                <a:noFill/>
                <a:ln w="25399">
                  <a:noFill/>
                </a:ln>
              </c:spPr>
              <c:txPr>
                <a:bodyPr/>
                <a:lstStyle/>
                <a:p>
                  <a:pPr>
                    <a:defRPr/>
                  </a:pPr>
                  <a:endParaRPr lang="lt-LT"/>
                </a:p>
              </c:txPr>
              <c:dLblPos val="r"/>
              <c:showVal val="1"/>
            </c:dLbl>
            <c:dLbl>
              <c:idx val="4"/>
              <c:layout>
                <c:manualLayout>
                  <c:x val="-4.8436811977102832E-2"/>
                  <c:y val="-6.1919504643962849E-2"/>
                </c:manualLayout>
              </c:layout>
              <c:spPr>
                <a:noFill/>
                <a:ln w="25399">
                  <a:noFill/>
                </a:ln>
              </c:spPr>
              <c:txPr>
                <a:bodyPr/>
                <a:lstStyle/>
                <a:p>
                  <a:pPr>
                    <a:defRPr/>
                  </a:pPr>
                  <a:endParaRPr lang="lt-LT"/>
                </a:p>
              </c:txPr>
              <c:dLblPos val="r"/>
              <c:showVal val="1"/>
            </c:dLbl>
            <c:dLbl>
              <c:idx val="5"/>
              <c:layout>
                <c:manualLayout>
                  <c:x val="-4.1831792162043163E-2"/>
                  <c:y val="-8.771929824561403E-2"/>
                </c:manualLayout>
              </c:layout>
              <c:spPr>
                <a:noFill/>
                <a:ln w="25399">
                  <a:noFill/>
                </a:ln>
              </c:spPr>
              <c:txPr>
                <a:bodyPr/>
                <a:lstStyle/>
                <a:p>
                  <a:pPr>
                    <a:defRPr/>
                  </a:pPr>
                  <a:endParaRPr lang="lt-LT"/>
                </a:p>
              </c:txPr>
              <c:dLblPos val="r"/>
              <c:showVal val="1"/>
            </c:dLbl>
            <c:spPr>
              <a:noFill/>
              <a:ln w="25399">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Lapas1!$B$2:$B$7</c:f>
              <c:numCache>
                <c:formatCode>General</c:formatCode>
                <c:ptCount val="6"/>
                <c:pt idx="0">
                  <c:v>225.9</c:v>
                </c:pt>
                <c:pt idx="1">
                  <c:v>225.4</c:v>
                </c:pt>
                <c:pt idx="2">
                  <c:v>230</c:v>
                </c:pt>
                <c:pt idx="3">
                  <c:v>240.4</c:v>
                </c:pt>
                <c:pt idx="4">
                  <c:v>255.1</c:v>
                </c:pt>
                <c:pt idx="5">
                  <c:v>244</c:v>
                </c:pt>
              </c:numCache>
            </c:numRef>
          </c:val>
        </c:ser>
        <c:ser>
          <c:idx val="1"/>
          <c:order val="1"/>
          <c:tx>
            <c:strRef>
              <c:f>Lapas1!$C$1</c:f>
              <c:strCache>
                <c:ptCount val="1"/>
                <c:pt idx="0">
                  <c:v>Kraujotakos sistemos ligos</c:v>
                </c:pt>
              </c:strCache>
            </c:strRef>
          </c:tx>
          <c:dLbls>
            <c:dLbl>
              <c:idx val="0"/>
              <c:layout>
                <c:manualLayout>
                  <c:x val="-5.2840158520475446E-2"/>
                  <c:y val="-6.7079463364293088E-2"/>
                </c:manualLayout>
              </c:layout>
              <c:spPr>
                <a:noFill/>
                <a:ln w="25399">
                  <a:noFill/>
                </a:ln>
              </c:spPr>
              <c:txPr>
                <a:bodyPr/>
                <a:lstStyle/>
                <a:p>
                  <a:pPr>
                    <a:defRPr/>
                  </a:pPr>
                  <a:endParaRPr lang="lt-LT"/>
                </a:p>
              </c:txPr>
              <c:dLblPos val="r"/>
              <c:showVal val="1"/>
            </c:dLbl>
            <c:dLbl>
              <c:idx val="1"/>
              <c:layout>
                <c:manualLayout>
                  <c:x val="-5.9445178335535025E-2"/>
                  <c:y val="-7.7399380804954024E-2"/>
                </c:manualLayout>
              </c:layout>
              <c:spPr>
                <a:noFill/>
                <a:ln w="25399">
                  <a:noFill/>
                </a:ln>
              </c:spPr>
              <c:txPr>
                <a:bodyPr/>
                <a:lstStyle/>
                <a:p>
                  <a:pPr>
                    <a:defRPr/>
                  </a:pPr>
                  <a:endParaRPr lang="lt-LT"/>
                </a:p>
              </c:txPr>
              <c:dLblPos val="r"/>
              <c:showVal val="1"/>
            </c:dLbl>
            <c:dLbl>
              <c:idx val="2"/>
              <c:layout>
                <c:manualLayout>
                  <c:x val="-4.1831792162043163E-2"/>
                  <c:y val="-7.2239422084623334E-2"/>
                </c:manualLayout>
              </c:layout>
              <c:spPr>
                <a:noFill/>
                <a:ln w="25399">
                  <a:noFill/>
                </a:ln>
              </c:spPr>
              <c:txPr>
                <a:bodyPr/>
                <a:lstStyle/>
                <a:p>
                  <a:pPr>
                    <a:defRPr/>
                  </a:pPr>
                  <a:endParaRPr lang="lt-LT"/>
                </a:p>
              </c:txPr>
              <c:dLblPos val="r"/>
              <c:showVal val="1"/>
            </c:dLbl>
            <c:dLbl>
              <c:idx val="3"/>
              <c:layout>
                <c:manualLayout>
                  <c:x val="-4.1831792162043163E-2"/>
                  <c:y val="-7.7399380804954024E-2"/>
                </c:manualLayout>
              </c:layout>
              <c:spPr>
                <a:noFill/>
                <a:ln w="25399">
                  <a:noFill/>
                </a:ln>
              </c:spPr>
              <c:txPr>
                <a:bodyPr/>
                <a:lstStyle/>
                <a:p>
                  <a:pPr>
                    <a:defRPr/>
                  </a:pPr>
                  <a:endParaRPr lang="lt-LT"/>
                </a:p>
              </c:txPr>
              <c:dLblPos val="r"/>
              <c:showVal val="1"/>
            </c:dLbl>
            <c:dLbl>
              <c:idx val="4"/>
              <c:layout>
                <c:manualLayout>
                  <c:x val="-4.1831792162043163E-2"/>
                  <c:y val="-8.2559339525285227E-2"/>
                </c:manualLayout>
              </c:layout>
              <c:spPr>
                <a:noFill/>
                <a:ln w="25399">
                  <a:noFill/>
                </a:ln>
              </c:spPr>
              <c:txPr>
                <a:bodyPr/>
                <a:lstStyle/>
                <a:p>
                  <a:pPr>
                    <a:defRPr/>
                  </a:pPr>
                  <a:endParaRPr lang="lt-LT"/>
                </a:p>
              </c:txPr>
              <c:dLblPos val="r"/>
              <c:showVal val="1"/>
            </c:dLbl>
            <c:dLbl>
              <c:idx val="5"/>
              <c:layout>
                <c:manualLayout>
                  <c:x val="-4.1831792162043163E-2"/>
                  <c:y val="-8.2559339525285227E-2"/>
                </c:manualLayout>
              </c:layout>
              <c:spPr>
                <a:noFill/>
                <a:ln w="25399">
                  <a:noFill/>
                </a:ln>
              </c:spPr>
              <c:txPr>
                <a:bodyPr/>
                <a:lstStyle/>
                <a:p>
                  <a:pPr>
                    <a:defRPr/>
                  </a:pPr>
                  <a:endParaRPr lang="lt-LT"/>
                </a:p>
              </c:txPr>
              <c:dLblPos val="r"/>
              <c:showVal val="1"/>
            </c:dLbl>
            <c:spPr>
              <a:noFill/>
              <a:ln w="25399">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Lapas1!$C$2:$C$7</c:f>
              <c:numCache>
                <c:formatCode>General</c:formatCode>
                <c:ptCount val="6"/>
                <c:pt idx="0">
                  <c:v>527.6</c:v>
                </c:pt>
                <c:pt idx="1">
                  <c:v>572.1</c:v>
                </c:pt>
                <c:pt idx="2">
                  <c:v>595.1</c:v>
                </c:pt>
                <c:pt idx="3">
                  <c:v>548.79999999999995</c:v>
                </c:pt>
                <c:pt idx="4">
                  <c:v>548</c:v>
                </c:pt>
                <c:pt idx="5">
                  <c:v>520.5</c:v>
                </c:pt>
              </c:numCache>
            </c:numRef>
          </c:val>
        </c:ser>
        <c:ser>
          <c:idx val="2"/>
          <c:order val="2"/>
          <c:tx>
            <c:strRef>
              <c:f>Lapas1!$D$1</c:f>
              <c:strCache>
                <c:ptCount val="1"/>
                <c:pt idx="0">
                  <c:v>Kvėpavimo sistemos ligos</c:v>
                </c:pt>
              </c:strCache>
            </c:strRef>
          </c:tx>
          <c:spPr>
            <a:ln>
              <a:solidFill>
                <a:srgbClr val="66FF33"/>
              </a:solidFill>
            </a:ln>
          </c:spPr>
          <c:marker>
            <c:spPr>
              <a:solidFill>
                <a:srgbClr val="00FF00"/>
              </a:solidFill>
              <a:ln>
                <a:solidFill>
                  <a:srgbClr val="66FF33"/>
                </a:solidFill>
              </a:ln>
            </c:spPr>
          </c:marker>
          <c:dLbls>
            <c:spPr>
              <a:noFill/>
              <a:ln w="25399">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Lapas1!$D$2:$D$7</c:f>
              <c:numCache>
                <c:formatCode>General</c:formatCode>
                <c:ptCount val="6"/>
                <c:pt idx="0">
                  <c:v>32.9</c:v>
                </c:pt>
                <c:pt idx="1">
                  <c:v>23.3</c:v>
                </c:pt>
                <c:pt idx="2">
                  <c:v>37.300000000000011</c:v>
                </c:pt>
                <c:pt idx="3">
                  <c:v>49.3</c:v>
                </c:pt>
                <c:pt idx="4">
                  <c:v>33.200000000000003</c:v>
                </c:pt>
                <c:pt idx="5">
                  <c:v>32.6</c:v>
                </c:pt>
              </c:numCache>
            </c:numRef>
          </c:val>
        </c:ser>
        <c:ser>
          <c:idx val="3"/>
          <c:order val="3"/>
          <c:tx>
            <c:strRef>
              <c:f>Lapas1!$E$1</c:f>
              <c:strCache>
                <c:ptCount val="1"/>
                <c:pt idx="0">
                  <c:v>Išorinės mirties priežastys</c:v>
                </c:pt>
              </c:strCache>
            </c:strRef>
          </c:tx>
          <c:dLbls>
            <c:dLbl>
              <c:idx val="0"/>
              <c:layout>
                <c:manualLayout>
                  <c:x val="-3.5226772346983709E-2"/>
                  <c:y val="-6.1919504643962849E-2"/>
                </c:manualLayout>
              </c:layout>
              <c:spPr>
                <a:noFill/>
                <a:ln w="25399">
                  <a:noFill/>
                </a:ln>
              </c:spPr>
              <c:txPr>
                <a:bodyPr/>
                <a:lstStyle/>
                <a:p>
                  <a:pPr>
                    <a:defRPr/>
                  </a:pPr>
                  <a:endParaRPr lang="lt-LT"/>
                </a:p>
              </c:txPr>
              <c:dLblPos val="r"/>
              <c:showVal val="1"/>
            </c:dLbl>
            <c:dLbl>
              <c:idx val="1"/>
              <c:layout>
                <c:manualLayout>
                  <c:x val="-1.5411712901805368E-2"/>
                  <c:y val="-4.1279669762641767E-2"/>
                </c:manualLayout>
              </c:layout>
              <c:spPr>
                <a:noFill/>
                <a:ln w="25399">
                  <a:noFill/>
                </a:ln>
              </c:spPr>
              <c:txPr>
                <a:bodyPr/>
                <a:lstStyle/>
                <a:p>
                  <a:pPr>
                    <a:defRPr/>
                  </a:pPr>
                  <a:endParaRPr lang="lt-LT"/>
                </a:p>
              </c:txPr>
              <c:dLblPos val="r"/>
              <c:showVal val="1"/>
            </c:dLbl>
            <c:dLbl>
              <c:idx val="2"/>
              <c:layout>
                <c:manualLayout>
                  <c:x val="-2.6420079260237778E-2"/>
                  <c:y val="-4.1279669762641767E-2"/>
                </c:manualLayout>
              </c:layout>
              <c:spPr>
                <a:noFill/>
                <a:ln w="25399">
                  <a:noFill/>
                </a:ln>
              </c:spPr>
              <c:txPr>
                <a:bodyPr/>
                <a:lstStyle/>
                <a:p>
                  <a:pPr>
                    <a:defRPr/>
                  </a:pPr>
                  <a:endParaRPr lang="lt-LT"/>
                </a:p>
              </c:txPr>
              <c:dLblPos val="r"/>
              <c:showVal val="1"/>
            </c:dLbl>
            <c:dLbl>
              <c:idx val="3"/>
              <c:layout>
                <c:manualLayout>
                  <c:x val="-7.4243196482870304E-3"/>
                  <c:y val="-4.6439628482972076E-2"/>
                </c:manualLayout>
              </c:layout>
              <c:spPr>
                <a:noFill/>
                <a:ln w="25399">
                  <a:noFill/>
                </a:ln>
              </c:spPr>
              <c:txPr>
                <a:bodyPr/>
                <a:lstStyle/>
                <a:p>
                  <a:pPr>
                    <a:defRPr/>
                  </a:pPr>
                  <a:endParaRPr lang="lt-LT"/>
                </a:p>
              </c:txPr>
              <c:dLblPos val="r"/>
              <c:showVal val="1"/>
            </c:dLbl>
            <c:dLbl>
              <c:idx val="4"/>
              <c:layout>
                <c:manualLayout>
                  <c:x val="-3.7428445618670612E-2"/>
                  <c:y val="-7.2239422084623334E-2"/>
                </c:manualLayout>
              </c:layout>
              <c:spPr>
                <a:noFill/>
                <a:ln w="25399">
                  <a:noFill/>
                </a:ln>
              </c:spPr>
              <c:txPr>
                <a:bodyPr/>
                <a:lstStyle/>
                <a:p>
                  <a:pPr>
                    <a:defRPr/>
                  </a:pPr>
                  <a:endParaRPr lang="lt-LT"/>
                </a:p>
              </c:txPr>
              <c:dLblPos val="r"/>
              <c:showVal val="1"/>
            </c:dLbl>
            <c:dLbl>
              <c:idx val="5"/>
              <c:layout>
                <c:manualLayout>
                  <c:x val="-5.0638485248789084E-2"/>
                  <c:y val="-6.7079463364293088E-2"/>
                </c:manualLayout>
              </c:layout>
              <c:spPr>
                <a:noFill/>
                <a:ln w="25399">
                  <a:noFill/>
                </a:ln>
              </c:spPr>
              <c:txPr>
                <a:bodyPr/>
                <a:lstStyle/>
                <a:p>
                  <a:pPr>
                    <a:defRPr/>
                  </a:pPr>
                  <a:endParaRPr lang="lt-LT"/>
                </a:p>
              </c:txPr>
              <c:dLblPos val="r"/>
              <c:showVal val="1"/>
            </c:dLbl>
            <c:spPr>
              <a:noFill/>
              <a:ln w="25399">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Lapas1!$E$2:$E$7</c:f>
              <c:numCache>
                <c:formatCode>General</c:formatCode>
                <c:ptCount val="6"/>
                <c:pt idx="0">
                  <c:v>98.9</c:v>
                </c:pt>
                <c:pt idx="1">
                  <c:v>111.9</c:v>
                </c:pt>
                <c:pt idx="2">
                  <c:v>115.8</c:v>
                </c:pt>
                <c:pt idx="3">
                  <c:v>119</c:v>
                </c:pt>
                <c:pt idx="4">
                  <c:v>95.6</c:v>
                </c:pt>
                <c:pt idx="5">
                  <c:v>108.1</c:v>
                </c:pt>
              </c:numCache>
            </c:numRef>
          </c:val>
        </c:ser>
        <c:dLbls>
          <c:showVal val="1"/>
        </c:dLbls>
        <c:marker val="1"/>
        <c:axId val="268346880"/>
        <c:axId val="268348416"/>
      </c:lineChart>
      <c:catAx>
        <c:axId val="268346880"/>
        <c:scaling>
          <c:orientation val="minMax"/>
        </c:scaling>
        <c:axPos val="b"/>
        <c:numFmt formatCode="General" sourceLinked="1"/>
        <c:majorTickMark val="none"/>
        <c:tickLblPos val="nextTo"/>
        <c:crossAx val="268348416"/>
        <c:crosses val="autoZero"/>
        <c:auto val="1"/>
        <c:lblAlgn val="ctr"/>
        <c:lblOffset val="100"/>
      </c:catAx>
      <c:valAx>
        <c:axId val="268348416"/>
        <c:scaling>
          <c:orientation val="minMax"/>
        </c:scaling>
        <c:delete val="1"/>
        <c:axPos val="l"/>
        <c:majorGridlines/>
        <c:numFmt formatCode="General" sourceLinked="1"/>
        <c:tickLblPos val="none"/>
        <c:crossAx val="268346880"/>
        <c:crosses val="autoZero"/>
        <c:crossBetween val="between"/>
      </c:valAx>
      <c:spPr>
        <a:noFill/>
        <a:ln w="25399">
          <a:noFill/>
        </a:ln>
      </c:spPr>
    </c:plotArea>
    <c:legend>
      <c:legendPos val="r"/>
      <c:layout>
        <c:manualLayout>
          <c:xMode val="edge"/>
          <c:yMode val="edge"/>
          <c:x val="0.68260284296146145"/>
          <c:y val="0.30851070282881315"/>
          <c:w val="0.30942889564547005"/>
          <c:h val="0.40425546806649143"/>
        </c:manualLayout>
      </c:layout>
    </c:legend>
    <c:plotVisOnly val="1"/>
    <c:dispBlanksAs val="gap"/>
  </c:chart>
  <c:spPr>
    <a:solidFill>
      <a:sysClr val="window" lastClr="FFFFFF"/>
    </a:solidFill>
    <a:effectLst>
      <a:softEdge rad="127000"/>
    </a:effectLst>
  </c:spPr>
  <c:txPr>
    <a:bodyPr/>
    <a:lstStyle/>
    <a:p>
      <a:pPr>
        <a:defRPr b="1">
          <a:latin typeface="Times New Roman" pitchFamily="18" charset="0"/>
          <a:cs typeface="Times New Roman" pitchFamily="18" charset="0"/>
        </a:defRPr>
      </a:pPr>
      <a:endParaRPr lang="lt-LT"/>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lang val="lt-LT"/>
  <c:style val="26"/>
  <c:chart>
    <c:view3D>
      <c:depthPercent val="100"/>
      <c:rAngAx val="1"/>
    </c:view3D>
    <c:floor>
      <c:spPr>
        <a:noFill/>
      </c:spPr>
    </c:floor>
    <c:sideWall>
      <c:spPr>
        <a:noFill/>
        <a:effectLst>
          <a:softEdge rad="127000"/>
        </a:effectLst>
      </c:spPr>
    </c:sideWall>
    <c:backWall>
      <c:spPr>
        <a:noFill/>
        <a:effectLst>
          <a:softEdge rad="127000"/>
        </a:effectLst>
      </c:spPr>
    </c:backWall>
    <c:plotArea>
      <c:layout/>
      <c:bar3DChart>
        <c:barDir val="col"/>
        <c:grouping val="clustered"/>
        <c:ser>
          <c:idx val="0"/>
          <c:order val="0"/>
          <c:tx>
            <c:strRef>
              <c:f>Lapas1!$B$1</c:f>
              <c:strCache>
                <c:ptCount val="1"/>
                <c:pt idx="0">
                  <c:v>Vyrai</c:v>
                </c:pt>
              </c:strCache>
            </c:strRef>
          </c:tx>
          <c:spPr>
            <a:solidFill>
              <a:srgbClr val="1F497D"/>
            </a:solidFill>
          </c:spPr>
          <c:dLbls>
            <c:spPr>
              <a:noFill/>
              <a:ln w="24608">
                <a:noFill/>
              </a:ln>
            </c:spPr>
            <c:showVal val="1"/>
          </c:dLbls>
          <c:cat>
            <c:strRef>
              <c:f>Lapas1!$A$2:$A$4</c:f>
              <c:strCache>
                <c:ptCount val="3"/>
                <c:pt idx="0">
                  <c:v>Ne </c:v>
                </c:pt>
                <c:pt idx="1">
                  <c:v>Taip</c:v>
                </c:pt>
                <c:pt idx="2">
                  <c:v>Sunku pasakyti</c:v>
                </c:pt>
              </c:strCache>
            </c:strRef>
          </c:cat>
          <c:val>
            <c:numRef>
              <c:f>Lapas1!$B$2:$B$4</c:f>
              <c:numCache>
                <c:formatCode>General</c:formatCode>
                <c:ptCount val="3"/>
                <c:pt idx="0">
                  <c:v>46</c:v>
                </c:pt>
                <c:pt idx="1">
                  <c:v>40.300000000000011</c:v>
                </c:pt>
                <c:pt idx="2">
                  <c:v>13.7</c:v>
                </c:pt>
              </c:numCache>
            </c:numRef>
          </c:val>
        </c:ser>
        <c:ser>
          <c:idx val="1"/>
          <c:order val="1"/>
          <c:tx>
            <c:strRef>
              <c:f>Lapas1!$C$1</c:f>
              <c:strCache>
                <c:ptCount val="1"/>
                <c:pt idx="0">
                  <c:v>Moterys</c:v>
                </c:pt>
              </c:strCache>
            </c:strRef>
          </c:tx>
          <c:spPr>
            <a:solidFill>
              <a:srgbClr val="FF0000"/>
            </a:solidFill>
          </c:spPr>
          <c:dLbls>
            <c:dLbl>
              <c:idx val="1"/>
              <c:layout>
                <c:manualLayout>
                  <c:x val="1.07657112097968E-2"/>
                  <c:y val="-5.3340475843903689E-17"/>
                </c:manualLayout>
              </c:layout>
              <c:spPr>
                <a:noFill/>
                <a:ln w="24608">
                  <a:noFill/>
                </a:ln>
              </c:spPr>
              <c:txPr>
                <a:bodyPr/>
                <a:lstStyle/>
                <a:p>
                  <a:pPr>
                    <a:defRPr/>
                  </a:pPr>
                  <a:endParaRPr lang="lt-LT"/>
                </a:p>
              </c:txPr>
              <c:showVal val="1"/>
            </c:dLbl>
            <c:spPr>
              <a:noFill/>
              <a:ln w="24608">
                <a:noFill/>
              </a:ln>
            </c:spPr>
            <c:showVal val="1"/>
          </c:dLbls>
          <c:cat>
            <c:strRef>
              <c:f>Lapas1!$A$2:$A$4</c:f>
              <c:strCache>
                <c:ptCount val="3"/>
                <c:pt idx="0">
                  <c:v>Ne </c:v>
                </c:pt>
                <c:pt idx="1">
                  <c:v>Taip</c:v>
                </c:pt>
                <c:pt idx="2">
                  <c:v>Sunku pasakyti</c:v>
                </c:pt>
              </c:strCache>
            </c:strRef>
          </c:cat>
          <c:val>
            <c:numRef>
              <c:f>Lapas1!$C$2:$C$4</c:f>
              <c:numCache>
                <c:formatCode>General</c:formatCode>
                <c:ptCount val="3"/>
                <c:pt idx="0">
                  <c:v>61</c:v>
                </c:pt>
                <c:pt idx="1">
                  <c:v>26.3</c:v>
                </c:pt>
                <c:pt idx="2">
                  <c:v>12.5</c:v>
                </c:pt>
              </c:numCache>
            </c:numRef>
          </c:val>
        </c:ser>
        <c:dLbls>
          <c:showVal val="1"/>
        </c:dLbls>
        <c:shape val="cylinder"/>
        <c:axId val="228194560"/>
        <c:axId val="228257792"/>
        <c:axId val="0"/>
      </c:bar3DChart>
      <c:catAx>
        <c:axId val="228194560"/>
        <c:scaling>
          <c:orientation val="minMax"/>
        </c:scaling>
        <c:axPos val="b"/>
        <c:numFmt formatCode="General" sourceLinked="1"/>
        <c:majorTickMark val="none"/>
        <c:tickLblPos val="nextTo"/>
        <c:crossAx val="228257792"/>
        <c:crosses val="autoZero"/>
        <c:auto val="1"/>
        <c:lblAlgn val="ctr"/>
        <c:lblOffset val="100"/>
      </c:catAx>
      <c:valAx>
        <c:axId val="228257792"/>
        <c:scaling>
          <c:orientation val="minMax"/>
        </c:scaling>
        <c:delete val="1"/>
        <c:axPos val="l"/>
        <c:numFmt formatCode="General" sourceLinked="1"/>
        <c:tickLblPos val="none"/>
        <c:crossAx val="228194560"/>
        <c:crosses val="autoZero"/>
        <c:crossBetween val="between"/>
      </c:valAx>
      <c:spPr>
        <a:noFill/>
        <a:ln w="24608">
          <a:noFill/>
        </a:ln>
      </c:spPr>
    </c:plotArea>
    <c:legend>
      <c:legendPos val="r"/>
      <c:layout>
        <c:manualLayout>
          <c:xMode val="edge"/>
          <c:yMode val="edge"/>
          <c:x val="0.82887699037620288"/>
          <c:y val="0.45161274840644916"/>
          <c:w val="0.13725494313210873"/>
          <c:h val="0.24884769403824536"/>
        </c:manualLayout>
      </c:layout>
    </c:legend>
    <c:plotVisOnly val="1"/>
    <c:dispBlanksAs val="gap"/>
  </c:chart>
  <c:spPr>
    <a:noFill/>
    <a:effectLst>
      <a:softEdge rad="127000"/>
    </a:effectLst>
  </c:spPr>
  <c:txPr>
    <a:bodyPr/>
    <a:lstStyle/>
    <a:p>
      <a:pPr>
        <a:defRPr b="1">
          <a:latin typeface="Times New Roman" pitchFamily="18" charset="0"/>
          <a:cs typeface="Times New Roman" pitchFamily="18" charset="0"/>
        </a:defRPr>
      </a:pPr>
      <a:endParaRPr lang="lt-LT"/>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lt-LT"/>
  <c:style val="26"/>
  <c:chart>
    <c:view3D>
      <c:depthPercent val="100"/>
      <c:rAngAx val="1"/>
    </c:view3D>
    <c:floor>
      <c:spPr>
        <a:solidFill>
          <a:srgbClr val="9BBB59">
            <a:lumMod val="40000"/>
            <a:lumOff val="60000"/>
          </a:srgbClr>
        </a:solidFill>
      </c:spPr>
    </c:floor>
    <c:sideWall>
      <c:spPr>
        <a:noFill/>
        <a:effectLst>
          <a:softEdge rad="127000"/>
        </a:effectLst>
      </c:spPr>
    </c:sideWall>
    <c:backWall>
      <c:spPr>
        <a:noFill/>
        <a:effectLst>
          <a:softEdge rad="127000"/>
        </a:effectLst>
      </c:spPr>
    </c:backWall>
    <c:plotArea>
      <c:layout>
        <c:manualLayout>
          <c:layoutTarget val="inner"/>
          <c:xMode val="edge"/>
          <c:yMode val="edge"/>
          <c:x val="0.46404199475065616"/>
          <c:y val="4.0204678362573097E-2"/>
          <c:w val="0.37960177949341406"/>
          <c:h val="0.91959064327485385"/>
        </c:manualLayout>
      </c:layout>
      <c:bar3DChart>
        <c:barDir val="bar"/>
        <c:grouping val="clustered"/>
        <c:ser>
          <c:idx val="0"/>
          <c:order val="0"/>
          <c:tx>
            <c:strRef>
              <c:f>Lapas1!$B$1</c:f>
              <c:strCache>
                <c:ptCount val="1"/>
                <c:pt idx="0">
                  <c:v>Vyrai</c:v>
                </c:pt>
              </c:strCache>
            </c:strRef>
          </c:tx>
          <c:spPr>
            <a:solidFill>
              <a:schemeClr val="tx2"/>
            </a:solidFill>
          </c:spPr>
          <c:dLbls>
            <c:dLbl>
              <c:idx val="0"/>
              <c:layout>
                <c:manualLayout>
                  <c:x val="-1.8300970280460273E-2"/>
                  <c:y val="-2.4998828453383404E-2"/>
                </c:manualLayout>
              </c:layout>
              <c:showVal val="1"/>
            </c:dLbl>
            <c:dLbl>
              <c:idx val="1"/>
              <c:layout>
                <c:manualLayout>
                  <c:x val="-2.4851616128775973E-2"/>
                  <c:y val="-2.588085279221336E-2"/>
                </c:manualLayout>
              </c:layout>
              <c:showVal val="1"/>
            </c:dLbl>
            <c:dLbl>
              <c:idx val="2"/>
              <c:layout>
                <c:manualLayout>
                  <c:x val="-2.4226459305985618E-2"/>
                  <c:y val="-2.6762877131043316E-2"/>
                </c:manualLayout>
              </c:layout>
              <c:showVal val="1"/>
            </c:dLbl>
            <c:dLbl>
              <c:idx val="3"/>
              <c:layout>
                <c:manualLayout>
                  <c:x val="-2.4681247108629862E-2"/>
                  <c:y val="-3.3544606484622728E-2"/>
                </c:manualLayout>
              </c:layout>
              <c:showVal val="1"/>
            </c:dLbl>
            <c:dLbl>
              <c:idx val="4"/>
              <c:layout>
                <c:manualLayout>
                  <c:x val="-2.4681247108629862E-2"/>
                  <c:y val="-2.8526925808703227E-2"/>
                </c:manualLayout>
              </c:layout>
              <c:showVal val="1"/>
            </c:dLbl>
            <c:dLbl>
              <c:idx val="5"/>
              <c:layout>
                <c:manualLayout>
                  <c:x val="-2.2668678927042957E-2"/>
                  <c:y val="-2.055939262540972E-2"/>
                </c:manualLayout>
              </c:layout>
              <c:showVal val="1"/>
            </c:dLbl>
            <c:dLbl>
              <c:idx val="6"/>
              <c:layout>
                <c:manualLayout>
                  <c:x val="-1.0803502172500796E-2"/>
                  <c:y val="-3.6190679501112599E-2"/>
                </c:manualLayout>
              </c:layout>
              <c:showVal val="1"/>
            </c:dLbl>
            <c:dLbl>
              <c:idx val="7"/>
              <c:layout>
                <c:manualLayout>
                  <c:x val="-1.3774474656743845E-2"/>
                  <c:y val="-2.2323441303069576E-2"/>
                </c:manualLayout>
              </c:layout>
              <c:showVal val="1"/>
            </c:dLbl>
            <c:dLbl>
              <c:idx val="8"/>
              <c:layout>
                <c:manualLayout>
                  <c:x val="-1.770385144364273E-2"/>
                  <c:y val="-2.3205177848926284E-2"/>
                </c:manualLayout>
              </c:layout>
              <c:showVal val="1"/>
            </c:dLbl>
            <c:dLbl>
              <c:idx val="9"/>
              <c:layout>
                <c:manualLayout>
                  <c:x val="-1.8895652167303437E-2"/>
                  <c:y val="-2.4087202187756326E-2"/>
                </c:manualLayout>
              </c:layout>
              <c:showVal val="1"/>
            </c:dLbl>
            <c:dLbl>
              <c:idx val="10"/>
              <c:layout>
                <c:manualLayout>
                  <c:x val="-1.3210267705847031E-2"/>
                  <c:y val="-2.4969226526586365E-2"/>
                </c:manualLayout>
              </c:layout>
              <c:showVal val="1"/>
            </c:dLbl>
            <c:dLbl>
              <c:idx val="11"/>
              <c:layout>
                <c:manualLayout>
                  <c:x val="-1.2522263192702722E-2"/>
                  <c:y val="-2.5851250865416391E-2"/>
                </c:manualLayout>
              </c:layout>
              <c:showVal val="1"/>
            </c:dLbl>
            <c:spPr>
              <a:noFill/>
              <a:ln w="17678">
                <a:noFill/>
              </a:ln>
            </c:spPr>
            <c:txPr>
              <a:bodyPr/>
              <a:lstStyle/>
              <a:p>
                <a:pPr>
                  <a:defRPr b="1">
                    <a:latin typeface="Times New Roman" pitchFamily="18" charset="0"/>
                    <a:cs typeface="Times New Roman" pitchFamily="18" charset="0"/>
                  </a:defRPr>
                </a:pPr>
                <a:endParaRPr lang="lt-LT"/>
              </a:p>
            </c:txPr>
            <c:showVal val="1"/>
          </c:dLbls>
          <c:cat>
            <c:strRef>
              <c:f>Lapas1!$A$2:$A$13</c:f>
              <c:strCache>
                <c:ptCount val="12"/>
                <c:pt idx="0">
                  <c:v>Neteisinga mityba</c:v>
                </c:pt>
                <c:pt idx="1">
                  <c:v>Stresas</c:v>
                </c:pt>
                <c:pt idx="2">
                  <c:v>Sunkios gyvenimo sąlygos</c:v>
                </c:pt>
                <c:pt idx="3">
                  <c:v>Įtemptas darbas</c:v>
                </c:pt>
                <c:pt idx="4">
                  <c:v>Rūkymas</c:v>
                </c:pt>
                <c:pt idx="5">
                  <c:v>Nepakankamas fizinis aktyvumas</c:v>
                </c:pt>
                <c:pt idx="6">
                  <c:v>Vitaminų, mikroelementų stoka</c:v>
                </c:pt>
                <c:pt idx="7">
                  <c:v>Viršsvoris</c:v>
                </c:pt>
                <c:pt idx="8">
                  <c:v>Genetiniai veiksniai</c:v>
                </c:pt>
                <c:pt idx="9">
                  <c:v>Alkoholis</c:v>
                </c:pt>
                <c:pt idx="10">
                  <c:v>Nepatenkinamos sveikatos priež. paslaugos</c:v>
                </c:pt>
                <c:pt idx="11">
                  <c:v>Kita</c:v>
                </c:pt>
              </c:strCache>
            </c:strRef>
          </c:cat>
          <c:val>
            <c:numRef>
              <c:f>Lapas1!$B$2:$B$13</c:f>
              <c:numCache>
                <c:formatCode>General</c:formatCode>
                <c:ptCount val="12"/>
                <c:pt idx="0">
                  <c:v>34.800000000000011</c:v>
                </c:pt>
                <c:pt idx="1">
                  <c:v>45.3</c:v>
                </c:pt>
                <c:pt idx="2">
                  <c:v>42.4</c:v>
                </c:pt>
                <c:pt idx="3">
                  <c:v>31.9</c:v>
                </c:pt>
                <c:pt idx="4">
                  <c:v>31.9</c:v>
                </c:pt>
                <c:pt idx="5">
                  <c:v>20.6</c:v>
                </c:pt>
                <c:pt idx="6">
                  <c:v>11.5</c:v>
                </c:pt>
                <c:pt idx="7">
                  <c:v>18</c:v>
                </c:pt>
                <c:pt idx="8">
                  <c:v>19.7</c:v>
                </c:pt>
                <c:pt idx="9">
                  <c:v>38.4</c:v>
                </c:pt>
                <c:pt idx="10">
                  <c:v>13.7</c:v>
                </c:pt>
                <c:pt idx="11">
                  <c:v>0.70000000000000007</c:v>
                </c:pt>
              </c:numCache>
            </c:numRef>
          </c:val>
        </c:ser>
        <c:ser>
          <c:idx val="1"/>
          <c:order val="1"/>
          <c:tx>
            <c:strRef>
              <c:f>Lapas1!$C$1</c:f>
              <c:strCache>
                <c:ptCount val="1"/>
                <c:pt idx="0">
                  <c:v>Moterys</c:v>
                </c:pt>
              </c:strCache>
            </c:strRef>
          </c:tx>
          <c:spPr>
            <a:solidFill>
              <a:srgbClr val="FF0000"/>
            </a:solidFill>
          </c:spPr>
          <c:dLbls>
            <c:dLbl>
              <c:idx val="0"/>
              <c:layout>
                <c:manualLayout>
                  <c:x val="-2.2598943383119689E-2"/>
                  <c:y val="-3.3678985428405077E-2"/>
                </c:manualLayout>
              </c:layout>
              <c:showVal val="1"/>
            </c:dLbl>
            <c:dLbl>
              <c:idx val="1"/>
              <c:layout>
                <c:manualLayout>
                  <c:x val="-2.9331360584089781E-2"/>
                  <c:y val="-2.8661304752485687E-2"/>
                </c:manualLayout>
              </c:layout>
              <c:showVal val="1"/>
            </c:dLbl>
            <c:dLbl>
              <c:idx val="2"/>
              <c:layout>
                <c:manualLayout>
                  <c:x val="-2.7118128156914258E-2"/>
                  <c:y val="-2.9543329091315865E-2"/>
                </c:manualLayout>
              </c:layout>
              <c:showVal val="1"/>
            </c:dLbl>
            <c:dLbl>
              <c:idx val="3"/>
              <c:layout>
                <c:manualLayout>
                  <c:x val="-2.0251113811260045E-3"/>
                  <c:y val="-1.0720028586742921E-2"/>
                </c:manualLayout>
              </c:layout>
              <c:showVal val="1"/>
            </c:dLbl>
            <c:dLbl>
              <c:idx val="4"/>
              <c:layout>
                <c:manualLayout>
                  <c:x val="-2.2274661285787752E-2"/>
                  <c:y val="-3.7207082783725122E-2"/>
                </c:manualLayout>
              </c:layout>
              <c:showVal val="1"/>
            </c:dLbl>
            <c:dLbl>
              <c:idx val="5"/>
              <c:layout>
                <c:manualLayout>
                  <c:x val="-1.909144251294418E-2"/>
                  <c:y val="-3.5139254615180568E-2"/>
                </c:manualLayout>
              </c:layout>
              <c:showVal val="1"/>
            </c:dLbl>
            <c:dLbl>
              <c:idx val="6"/>
              <c:layout>
                <c:manualLayout>
                  <c:x val="-9.6305943417744153E-3"/>
                  <c:y val="-3.0121573939261292E-2"/>
                </c:manualLayout>
              </c:layout>
              <c:showVal val="1"/>
            </c:dLbl>
            <c:dLbl>
              <c:idx val="7"/>
              <c:layout>
                <c:manualLayout>
                  <c:x val="-2.1024707061216407E-2"/>
                  <c:y val="-2.8053745770716575E-2"/>
                </c:manualLayout>
              </c:layout>
              <c:showVal val="1"/>
            </c:dLbl>
            <c:dLbl>
              <c:idx val="8"/>
              <c:layout>
                <c:manualLayout>
                  <c:x val="-1.8541074844529323E-2"/>
                  <c:y val="-3.1885334823948126E-2"/>
                </c:manualLayout>
              </c:layout>
              <c:showVal val="1"/>
            </c:dLbl>
            <c:dLbl>
              <c:idx val="9"/>
              <c:layout>
                <c:manualLayout>
                  <c:x val="-1.5057161056731794E-2"/>
                  <c:y val="-3.8667064177527369E-2"/>
                </c:manualLayout>
              </c:layout>
              <c:showVal val="1"/>
            </c:dLbl>
            <c:dLbl>
              <c:idx val="10"/>
              <c:layout>
                <c:manualLayout>
                  <c:x val="-1.5966556951515321E-2"/>
                  <c:y val="-3.9549088516357439E-2"/>
                </c:manualLayout>
              </c:layout>
              <c:showVal val="1"/>
            </c:dLbl>
            <c:dLbl>
              <c:idx val="11"/>
              <c:layout>
                <c:manualLayout>
                  <c:x val="-1.09994722286456E-2"/>
                  <c:y val="-3.1581555333063567E-2"/>
                </c:manualLayout>
              </c:layout>
              <c:showVal val="1"/>
            </c:dLbl>
            <c:spPr>
              <a:noFill/>
              <a:ln w="17678">
                <a:noFill/>
              </a:ln>
            </c:spPr>
            <c:txPr>
              <a:bodyPr/>
              <a:lstStyle/>
              <a:p>
                <a:pPr>
                  <a:defRPr b="1">
                    <a:latin typeface="Times New Roman" pitchFamily="18" charset="0"/>
                    <a:cs typeface="Times New Roman" pitchFamily="18" charset="0"/>
                  </a:defRPr>
                </a:pPr>
                <a:endParaRPr lang="lt-LT"/>
              </a:p>
            </c:txPr>
            <c:showVal val="1"/>
          </c:dLbls>
          <c:cat>
            <c:strRef>
              <c:f>Lapas1!$A$2:$A$13</c:f>
              <c:strCache>
                <c:ptCount val="12"/>
                <c:pt idx="0">
                  <c:v>Neteisinga mityba</c:v>
                </c:pt>
                <c:pt idx="1">
                  <c:v>Stresas</c:v>
                </c:pt>
                <c:pt idx="2">
                  <c:v>Sunkios gyvenimo sąlygos</c:v>
                </c:pt>
                <c:pt idx="3">
                  <c:v>Įtemptas darbas</c:v>
                </c:pt>
                <c:pt idx="4">
                  <c:v>Rūkymas</c:v>
                </c:pt>
                <c:pt idx="5">
                  <c:v>Nepakankamas fizinis aktyvumas</c:v>
                </c:pt>
                <c:pt idx="6">
                  <c:v>Vitaminų, mikroelementų stoka</c:v>
                </c:pt>
                <c:pt idx="7">
                  <c:v>Viršsvoris</c:v>
                </c:pt>
                <c:pt idx="8">
                  <c:v>Genetiniai veiksniai</c:v>
                </c:pt>
                <c:pt idx="9">
                  <c:v>Alkoholis</c:v>
                </c:pt>
                <c:pt idx="10">
                  <c:v>Nepatenkinamos sveikatos priež. paslaugos</c:v>
                </c:pt>
                <c:pt idx="11">
                  <c:v>Kita</c:v>
                </c:pt>
              </c:strCache>
            </c:strRef>
          </c:cat>
          <c:val>
            <c:numRef>
              <c:f>Lapas1!$C$2:$C$13</c:f>
              <c:numCache>
                <c:formatCode>General</c:formatCode>
                <c:ptCount val="12"/>
                <c:pt idx="0">
                  <c:v>51.1</c:v>
                </c:pt>
                <c:pt idx="1">
                  <c:v>57.4</c:v>
                </c:pt>
                <c:pt idx="2">
                  <c:v>33.4</c:v>
                </c:pt>
                <c:pt idx="3">
                  <c:v>28.6</c:v>
                </c:pt>
                <c:pt idx="4">
                  <c:v>29.7</c:v>
                </c:pt>
                <c:pt idx="5">
                  <c:v>28.1</c:v>
                </c:pt>
                <c:pt idx="6">
                  <c:v>9.7000000000000011</c:v>
                </c:pt>
                <c:pt idx="7">
                  <c:v>23.9</c:v>
                </c:pt>
                <c:pt idx="8">
                  <c:v>17.7</c:v>
                </c:pt>
                <c:pt idx="9">
                  <c:v>34.6</c:v>
                </c:pt>
                <c:pt idx="10">
                  <c:v>13.6</c:v>
                </c:pt>
                <c:pt idx="11">
                  <c:v>1.2</c:v>
                </c:pt>
              </c:numCache>
            </c:numRef>
          </c:val>
        </c:ser>
        <c:dLbls>
          <c:showVal val="1"/>
        </c:dLbls>
        <c:shape val="cylinder"/>
        <c:axId val="224910336"/>
        <c:axId val="228168448"/>
        <c:axId val="0"/>
      </c:bar3DChart>
      <c:catAx>
        <c:axId val="224910336"/>
        <c:scaling>
          <c:orientation val="minMax"/>
        </c:scaling>
        <c:axPos val="l"/>
        <c:numFmt formatCode="General" sourceLinked="1"/>
        <c:majorTickMark val="none"/>
        <c:tickLblPos val="nextTo"/>
        <c:txPr>
          <a:bodyPr/>
          <a:lstStyle/>
          <a:p>
            <a:pPr>
              <a:defRPr b="1">
                <a:latin typeface="Times New Roman" pitchFamily="18" charset="0"/>
                <a:cs typeface="Times New Roman" pitchFamily="18" charset="0"/>
              </a:defRPr>
            </a:pPr>
            <a:endParaRPr lang="lt-LT"/>
          </a:p>
        </c:txPr>
        <c:crossAx val="228168448"/>
        <c:crosses val="autoZero"/>
        <c:auto val="1"/>
        <c:lblAlgn val="ctr"/>
        <c:lblOffset val="100"/>
      </c:catAx>
      <c:valAx>
        <c:axId val="228168448"/>
        <c:scaling>
          <c:orientation val="minMax"/>
        </c:scaling>
        <c:delete val="1"/>
        <c:axPos val="b"/>
        <c:numFmt formatCode="General" sourceLinked="1"/>
        <c:tickLblPos val="none"/>
        <c:crossAx val="224910336"/>
        <c:crosses val="autoZero"/>
        <c:crossBetween val="between"/>
      </c:valAx>
      <c:spPr>
        <a:noFill/>
        <a:ln w="17678">
          <a:noFill/>
        </a:ln>
      </c:spPr>
    </c:plotArea>
    <c:legend>
      <c:legendPos val="r"/>
      <c:layout>
        <c:manualLayout>
          <c:xMode val="edge"/>
          <c:yMode val="edge"/>
          <c:x val="0.85639229422066554"/>
          <c:y val="0.4955752212389381"/>
          <c:w val="0.11733800350262695"/>
          <c:h val="0.11799410029498526"/>
        </c:manualLayout>
      </c:layout>
      <c:txPr>
        <a:bodyPr/>
        <a:lstStyle/>
        <a:p>
          <a:pPr>
            <a:defRPr b="1">
              <a:latin typeface="Times New Roman" pitchFamily="18" charset="0"/>
              <a:cs typeface="Times New Roman" pitchFamily="18" charset="0"/>
            </a:defRPr>
          </a:pPr>
          <a:endParaRPr lang="lt-LT"/>
        </a:p>
      </c:txPr>
    </c:legend>
    <c:plotVisOnly val="1"/>
    <c:dispBlanksAs val="gap"/>
  </c:chart>
  <c:spPr>
    <a:noFill/>
    <a:effectLst>
      <a:softEdge rad="127000"/>
    </a:effectLst>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0.33461711711712488"/>
          <c:y val="3.2128514056224897E-2"/>
          <c:w val="0.5505912605519"/>
          <c:h val="0.84148594377510044"/>
        </c:manualLayout>
      </c:layout>
      <c:barChart>
        <c:barDir val="bar"/>
        <c:grouping val="clustered"/>
        <c:ser>
          <c:idx val="0"/>
          <c:order val="0"/>
          <c:tx>
            <c:strRef>
              <c:f>Lapas1!$B$1</c:f>
              <c:strCache>
                <c:ptCount val="1"/>
                <c:pt idx="0">
                  <c:v>2007</c:v>
                </c:pt>
              </c:strCache>
            </c:strRef>
          </c:tx>
          <c:spPr>
            <a:solidFill>
              <a:srgbClr val="00B0F0"/>
            </a:solidFill>
          </c:spPr>
          <c:dLbls>
            <c:spPr>
              <a:noFill/>
              <a:ln w="25087">
                <a:noFill/>
              </a:ln>
            </c:spPr>
            <c:showVal val="1"/>
          </c:dLbls>
          <c:cat>
            <c:strRef>
              <c:f>Lapas1!$A$2:$A$7</c:f>
              <c:strCache>
                <c:ptCount val="6"/>
                <c:pt idx="0">
                  <c:v>Regėjimo sutrikimai</c:v>
                </c:pt>
                <c:pt idx="1">
                  <c:v>Deformuojančios dorsopatijos</c:v>
                </c:pt>
                <c:pt idx="2">
                  <c:v>Skoliozė</c:v>
                </c:pt>
                <c:pt idx="3">
                  <c:v>Nenormali laikysena</c:v>
                </c:pt>
                <c:pt idx="4">
                  <c:v>Kalbos sutrikimai</c:v>
                </c:pt>
                <c:pt idx="5">
                  <c:v>Klausos defektai</c:v>
                </c:pt>
              </c:strCache>
            </c:strRef>
          </c:cat>
          <c:val>
            <c:numRef>
              <c:f>Lapas1!$B$2:$B$7</c:f>
              <c:numCache>
                <c:formatCode>General</c:formatCode>
                <c:ptCount val="6"/>
                <c:pt idx="0">
                  <c:v>15.5</c:v>
                </c:pt>
                <c:pt idx="1">
                  <c:v>4.2</c:v>
                </c:pt>
                <c:pt idx="2">
                  <c:v>3.1</c:v>
                </c:pt>
                <c:pt idx="3">
                  <c:v>1.8</c:v>
                </c:pt>
                <c:pt idx="4">
                  <c:v>0.4</c:v>
                </c:pt>
                <c:pt idx="5">
                  <c:v>0.30000000000000004</c:v>
                </c:pt>
              </c:numCache>
            </c:numRef>
          </c:val>
        </c:ser>
        <c:ser>
          <c:idx val="1"/>
          <c:order val="1"/>
          <c:tx>
            <c:strRef>
              <c:f>Lapas1!$C$1</c:f>
              <c:strCache>
                <c:ptCount val="1"/>
                <c:pt idx="0">
                  <c:v>2008</c:v>
                </c:pt>
              </c:strCache>
            </c:strRef>
          </c:tx>
          <c:spPr>
            <a:solidFill>
              <a:srgbClr val="66FF66"/>
            </a:solidFill>
          </c:spPr>
          <c:dLbls>
            <c:spPr>
              <a:noFill/>
              <a:ln w="25087">
                <a:noFill/>
              </a:ln>
            </c:spPr>
            <c:showVal val="1"/>
          </c:dLbls>
          <c:cat>
            <c:strRef>
              <c:f>Lapas1!$A$2:$A$7</c:f>
              <c:strCache>
                <c:ptCount val="6"/>
                <c:pt idx="0">
                  <c:v>Regėjimo sutrikimai</c:v>
                </c:pt>
                <c:pt idx="1">
                  <c:v>Deformuojančios dorsopatijos</c:v>
                </c:pt>
                <c:pt idx="2">
                  <c:v>Skoliozė</c:v>
                </c:pt>
                <c:pt idx="3">
                  <c:v>Nenormali laikysena</c:v>
                </c:pt>
                <c:pt idx="4">
                  <c:v>Kalbos sutrikimai</c:v>
                </c:pt>
                <c:pt idx="5">
                  <c:v>Klausos defektai</c:v>
                </c:pt>
              </c:strCache>
            </c:strRef>
          </c:cat>
          <c:val>
            <c:numRef>
              <c:f>Lapas1!$C$2:$C$7</c:f>
              <c:numCache>
                <c:formatCode>General</c:formatCode>
                <c:ptCount val="6"/>
                <c:pt idx="0">
                  <c:v>18.2</c:v>
                </c:pt>
                <c:pt idx="1">
                  <c:v>3.8</c:v>
                </c:pt>
                <c:pt idx="2">
                  <c:v>2.9</c:v>
                </c:pt>
                <c:pt idx="3">
                  <c:v>1.6</c:v>
                </c:pt>
                <c:pt idx="4">
                  <c:v>0.4</c:v>
                </c:pt>
                <c:pt idx="5">
                  <c:v>0.30000000000000004</c:v>
                </c:pt>
              </c:numCache>
            </c:numRef>
          </c:val>
        </c:ser>
        <c:ser>
          <c:idx val="2"/>
          <c:order val="2"/>
          <c:tx>
            <c:strRef>
              <c:f>Lapas1!$D$1</c:f>
              <c:strCache>
                <c:ptCount val="1"/>
                <c:pt idx="0">
                  <c:v>2009</c:v>
                </c:pt>
              </c:strCache>
            </c:strRef>
          </c:tx>
          <c:spPr>
            <a:solidFill>
              <a:srgbClr val="FF0000"/>
            </a:solidFill>
          </c:spPr>
          <c:dLbls>
            <c:spPr>
              <a:noFill/>
              <a:ln w="25087">
                <a:noFill/>
              </a:ln>
            </c:spPr>
            <c:showVal val="1"/>
          </c:dLbls>
          <c:cat>
            <c:strRef>
              <c:f>Lapas1!$A$2:$A$7</c:f>
              <c:strCache>
                <c:ptCount val="6"/>
                <c:pt idx="0">
                  <c:v>Regėjimo sutrikimai</c:v>
                </c:pt>
                <c:pt idx="1">
                  <c:v>Deformuojančios dorsopatijos</c:v>
                </c:pt>
                <c:pt idx="2">
                  <c:v>Skoliozė</c:v>
                </c:pt>
                <c:pt idx="3">
                  <c:v>Nenormali laikysena</c:v>
                </c:pt>
                <c:pt idx="4">
                  <c:v>Kalbos sutrikimai</c:v>
                </c:pt>
                <c:pt idx="5">
                  <c:v>Klausos defektai</c:v>
                </c:pt>
              </c:strCache>
            </c:strRef>
          </c:cat>
          <c:val>
            <c:numRef>
              <c:f>Lapas1!$D$2:$D$7</c:f>
              <c:numCache>
                <c:formatCode>General</c:formatCode>
                <c:ptCount val="6"/>
                <c:pt idx="0">
                  <c:v>21.1</c:v>
                </c:pt>
                <c:pt idx="1">
                  <c:v>3.8</c:v>
                </c:pt>
                <c:pt idx="2">
                  <c:v>3.1</c:v>
                </c:pt>
                <c:pt idx="3">
                  <c:v>1.8</c:v>
                </c:pt>
                <c:pt idx="4">
                  <c:v>0.5</c:v>
                </c:pt>
                <c:pt idx="5">
                  <c:v>0.30000000000000004</c:v>
                </c:pt>
              </c:numCache>
            </c:numRef>
          </c:val>
        </c:ser>
        <c:overlap val="-25"/>
        <c:axId val="224878976"/>
        <c:axId val="224880512"/>
      </c:barChart>
      <c:catAx>
        <c:axId val="224878976"/>
        <c:scaling>
          <c:orientation val="minMax"/>
        </c:scaling>
        <c:axPos val="l"/>
        <c:majorGridlines/>
        <c:numFmt formatCode="General" sourceLinked="1"/>
        <c:tickLblPos val="nextTo"/>
        <c:crossAx val="224880512"/>
        <c:crosses val="autoZero"/>
        <c:auto val="1"/>
        <c:lblAlgn val="ctr"/>
        <c:lblOffset val="100"/>
      </c:catAx>
      <c:valAx>
        <c:axId val="224880512"/>
        <c:scaling>
          <c:orientation val="minMax"/>
        </c:scaling>
        <c:axPos val="b"/>
        <c:numFmt formatCode="General" sourceLinked="1"/>
        <c:tickLblPos val="nextTo"/>
        <c:crossAx val="224878976"/>
        <c:crosses val="autoZero"/>
        <c:crossBetween val="between"/>
      </c:valAx>
      <c:spPr>
        <a:noFill/>
        <a:ln w="25087">
          <a:noFill/>
        </a:ln>
      </c:spPr>
    </c:plotArea>
    <c:legend>
      <c:legendPos val="r"/>
      <c:layout>
        <c:manualLayout>
          <c:xMode val="edge"/>
          <c:yMode val="edge"/>
          <c:x val="0.8971831580492996"/>
          <c:y val="0.38434169297119797"/>
          <c:w val="7.4647871813226296E-2"/>
          <c:h val="0.19928821672621316"/>
        </c:manualLayout>
      </c:layout>
    </c:legend>
    <c:plotVisOnly val="1"/>
    <c:dispBlanksAs val="gap"/>
  </c:chart>
  <c:spPr>
    <a:solidFill>
      <a:sysClr val="window" lastClr="FFFFFF"/>
    </a:solidFill>
  </c:spPr>
  <c:txPr>
    <a:bodyPr/>
    <a:lstStyle/>
    <a:p>
      <a:pPr>
        <a:defRPr b="1">
          <a:latin typeface="Times New Roman" pitchFamily="18" charset="0"/>
          <a:cs typeface="Times New Roman" pitchFamily="18" charset="0"/>
        </a:defRPr>
      </a:pPr>
      <a:endParaRPr lang="lt-LT"/>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lang val="lt-LT"/>
  <c:style val="26"/>
  <c:chart>
    <c:plotArea>
      <c:layout/>
      <c:lineChart>
        <c:grouping val="standard"/>
        <c:ser>
          <c:idx val="0"/>
          <c:order val="0"/>
          <c:tx>
            <c:strRef>
              <c:f>Lapas1!$B$1</c:f>
              <c:strCache>
                <c:ptCount val="1"/>
                <c:pt idx="0">
                  <c:v>Piktybiniai navikai</c:v>
                </c:pt>
              </c:strCache>
            </c:strRef>
          </c:tx>
          <c:dLbls>
            <c:dLbl>
              <c:idx val="0"/>
              <c:layout>
                <c:manualLayout>
                  <c:x val="-5.5041831792161995E-2"/>
                  <c:y val="-7.7399380804954024E-2"/>
                </c:manualLayout>
              </c:layout>
              <c:spPr>
                <a:noFill/>
                <a:ln w="25343">
                  <a:noFill/>
                </a:ln>
              </c:spPr>
              <c:txPr>
                <a:bodyPr/>
                <a:lstStyle/>
                <a:p>
                  <a:pPr>
                    <a:defRPr/>
                  </a:pPr>
                  <a:endParaRPr lang="lt-LT"/>
                </a:p>
              </c:txPr>
              <c:dLblPos val="r"/>
              <c:showVal val="1"/>
            </c:dLbl>
            <c:dLbl>
              <c:idx val="1"/>
              <c:layout>
                <c:manualLayout>
                  <c:x val="-4.8436811977102832E-2"/>
                  <c:y val="-7.7399380804954024E-2"/>
                </c:manualLayout>
              </c:layout>
              <c:spPr>
                <a:noFill/>
                <a:ln w="25343">
                  <a:noFill/>
                </a:ln>
              </c:spPr>
              <c:txPr>
                <a:bodyPr/>
                <a:lstStyle/>
                <a:p>
                  <a:pPr>
                    <a:defRPr/>
                  </a:pPr>
                  <a:endParaRPr lang="lt-LT"/>
                </a:p>
              </c:txPr>
              <c:dLblPos val="r"/>
              <c:showVal val="1"/>
            </c:dLbl>
            <c:dLbl>
              <c:idx val="2"/>
              <c:layout>
                <c:manualLayout>
                  <c:x val="-4.1831792162043163E-2"/>
                  <c:y val="-7.2239422084623334E-2"/>
                </c:manualLayout>
              </c:layout>
              <c:spPr>
                <a:noFill/>
                <a:ln w="25343">
                  <a:noFill/>
                </a:ln>
              </c:spPr>
              <c:txPr>
                <a:bodyPr/>
                <a:lstStyle/>
                <a:p>
                  <a:pPr>
                    <a:defRPr/>
                  </a:pPr>
                  <a:endParaRPr lang="lt-LT"/>
                </a:p>
              </c:txPr>
              <c:dLblPos val="r"/>
              <c:showVal val="1"/>
            </c:dLbl>
            <c:dLbl>
              <c:idx val="3"/>
              <c:layout>
                <c:manualLayout>
                  <c:x val="-5.5041831792161995E-2"/>
                  <c:y val="-7.7399380804954024E-2"/>
                </c:manualLayout>
              </c:layout>
              <c:spPr>
                <a:noFill/>
                <a:ln w="25343">
                  <a:noFill/>
                </a:ln>
              </c:spPr>
              <c:txPr>
                <a:bodyPr/>
                <a:lstStyle/>
                <a:p>
                  <a:pPr>
                    <a:defRPr/>
                  </a:pPr>
                  <a:endParaRPr lang="lt-LT"/>
                </a:p>
              </c:txPr>
              <c:dLblPos val="r"/>
              <c:showVal val="1"/>
            </c:dLbl>
            <c:dLbl>
              <c:idx val="4"/>
              <c:layout>
                <c:manualLayout>
                  <c:x val="-4.8436811977102832E-2"/>
                  <c:y val="-6.1919504643962849E-2"/>
                </c:manualLayout>
              </c:layout>
              <c:spPr>
                <a:noFill/>
                <a:ln w="25343">
                  <a:noFill/>
                </a:ln>
              </c:spPr>
              <c:txPr>
                <a:bodyPr/>
                <a:lstStyle/>
                <a:p>
                  <a:pPr>
                    <a:defRPr/>
                  </a:pPr>
                  <a:endParaRPr lang="lt-LT"/>
                </a:p>
              </c:txPr>
              <c:dLblPos val="r"/>
              <c:showVal val="1"/>
            </c:dLbl>
            <c:dLbl>
              <c:idx val="5"/>
              <c:layout>
                <c:manualLayout>
                  <c:x val="-4.1831792162043163E-2"/>
                  <c:y val="-8.771929824561403E-2"/>
                </c:manualLayout>
              </c:layout>
              <c:spPr>
                <a:noFill/>
                <a:ln w="25343">
                  <a:noFill/>
                </a:ln>
              </c:spPr>
              <c:txPr>
                <a:bodyPr/>
                <a:lstStyle/>
                <a:p>
                  <a:pPr>
                    <a:defRPr/>
                  </a:pPr>
                  <a:endParaRPr lang="lt-LT"/>
                </a:p>
              </c:txPr>
              <c:dLblPos val="r"/>
              <c:showVal val="1"/>
            </c:dLbl>
            <c:spPr>
              <a:noFill/>
              <a:ln w="25343">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Lapas1!$B$2:$B$7</c:f>
              <c:numCache>
                <c:formatCode>General</c:formatCode>
                <c:ptCount val="6"/>
                <c:pt idx="0">
                  <c:v>225.9</c:v>
                </c:pt>
                <c:pt idx="1">
                  <c:v>225.4</c:v>
                </c:pt>
                <c:pt idx="2">
                  <c:v>230</c:v>
                </c:pt>
                <c:pt idx="3">
                  <c:v>240.4</c:v>
                </c:pt>
                <c:pt idx="4">
                  <c:v>255.1</c:v>
                </c:pt>
                <c:pt idx="5">
                  <c:v>244</c:v>
                </c:pt>
              </c:numCache>
            </c:numRef>
          </c:val>
        </c:ser>
        <c:ser>
          <c:idx val="1"/>
          <c:order val="1"/>
          <c:tx>
            <c:strRef>
              <c:f>Lapas1!$C$1</c:f>
              <c:strCache>
                <c:ptCount val="1"/>
                <c:pt idx="0">
                  <c:v>Kraujotakos sistemos ligos</c:v>
                </c:pt>
              </c:strCache>
            </c:strRef>
          </c:tx>
          <c:dLbls>
            <c:dLbl>
              <c:idx val="0"/>
              <c:layout>
                <c:manualLayout>
                  <c:x val="-5.2840158520475446E-2"/>
                  <c:y val="-6.7079463364293088E-2"/>
                </c:manualLayout>
              </c:layout>
              <c:spPr>
                <a:noFill/>
                <a:ln w="25343">
                  <a:noFill/>
                </a:ln>
              </c:spPr>
              <c:txPr>
                <a:bodyPr/>
                <a:lstStyle/>
                <a:p>
                  <a:pPr>
                    <a:defRPr/>
                  </a:pPr>
                  <a:endParaRPr lang="lt-LT"/>
                </a:p>
              </c:txPr>
              <c:dLblPos val="r"/>
              <c:showVal val="1"/>
            </c:dLbl>
            <c:dLbl>
              <c:idx val="1"/>
              <c:layout>
                <c:manualLayout>
                  <c:x val="-5.9445178335535025E-2"/>
                  <c:y val="-7.7399380804954024E-2"/>
                </c:manualLayout>
              </c:layout>
              <c:spPr>
                <a:noFill/>
                <a:ln w="25343">
                  <a:noFill/>
                </a:ln>
              </c:spPr>
              <c:txPr>
                <a:bodyPr/>
                <a:lstStyle/>
                <a:p>
                  <a:pPr>
                    <a:defRPr/>
                  </a:pPr>
                  <a:endParaRPr lang="lt-LT"/>
                </a:p>
              </c:txPr>
              <c:dLblPos val="r"/>
              <c:showVal val="1"/>
            </c:dLbl>
            <c:dLbl>
              <c:idx val="2"/>
              <c:layout>
                <c:manualLayout>
                  <c:x val="-4.1831792162043163E-2"/>
                  <c:y val="-7.2239422084623334E-2"/>
                </c:manualLayout>
              </c:layout>
              <c:spPr>
                <a:noFill/>
                <a:ln w="25343">
                  <a:noFill/>
                </a:ln>
              </c:spPr>
              <c:txPr>
                <a:bodyPr/>
                <a:lstStyle/>
                <a:p>
                  <a:pPr>
                    <a:defRPr/>
                  </a:pPr>
                  <a:endParaRPr lang="lt-LT"/>
                </a:p>
              </c:txPr>
              <c:dLblPos val="r"/>
              <c:showVal val="1"/>
            </c:dLbl>
            <c:dLbl>
              <c:idx val="3"/>
              <c:layout>
                <c:manualLayout>
                  <c:x val="-4.1831792162043163E-2"/>
                  <c:y val="-7.7399380804954024E-2"/>
                </c:manualLayout>
              </c:layout>
              <c:spPr>
                <a:noFill/>
                <a:ln w="25343">
                  <a:noFill/>
                </a:ln>
              </c:spPr>
              <c:txPr>
                <a:bodyPr/>
                <a:lstStyle/>
                <a:p>
                  <a:pPr>
                    <a:defRPr/>
                  </a:pPr>
                  <a:endParaRPr lang="lt-LT"/>
                </a:p>
              </c:txPr>
              <c:dLblPos val="r"/>
              <c:showVal val="1"/>
            </c:dLbl>
            <c:dLbl>
              <c:idx val="4"/>
              <c:layout>
                <c:manualLayout>
                  <c:x val="-4.1831792162043163E-2"/>
                  <c:y val="-8.2559339525285227E-2"/>
                </c:manualLayout>
              </c:layout>
              <c:spPr>
                <a:noFill/>
                <a:ln w="25343">
                  <a:noFill/>
                </a:ln>
              </c:spPr>
              <c:txPr>
                <a:bodyPr/>
                <a:lstStyle/>
                <a:p>
                  <a:pPr>
                    <a:defRPr/>
                  </a:pPr>
                  <a:endParaRPr lang="lt-LT"/>
                </a:p>
              </c:txPr>
              <c:dLblPos val="r"/>
              <c:showVal val="1"/>
            </c:dLbl>
            <c:dLbl>
              <c:idx val="5"/>
              <c:layout>
                <c:manualLayout>
                  <c:x val="-4.1831792162043163E-2"/>
                  <c:y val="-8.2559339525285227E-2"/>
                </c:manualLayout>
              </c:layout>
              <c:spPr>
                <a:noFill/>
                <a:ln w="25343">
                  <a:noFill/>
                </a:ln>
              </c:spPr>
              <c:txPr>
                <a:bodyPr/>
                <a:lstStyle/>
                <a:p>
                  <a:pPr>
                    <a:defRPr/>
                  </a:pPr>
                  <a:endParaRPr lang="lt-LT"/>
                </a:p>
              </c:txPr>
              <c:dLblPos val="r"/>
              <c:showVal val="1"/>
            </c:dLbl>
            <c:spPr>
              <a:noFill/>
              <a:ln w="25343">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Lapas1!$C$2:$C$7</c:f>
              <c:numCache>
                <c:formatCode>General</c:formatCode>
                <c:ptCount val="6"/>
                <c:pt idx="0">
                  <c:v>527.6</c:v>
                </c:pt>
                <c:pt idx="1">
                  <c:v>572.1</c:v>
                </c:pt>
                <c:pt idx="2">
                  <c:v>595.1</c:v>
                </c:pt>
                <c:pt idx="3">
                  <c:v>548.79999999999995</c:v>
                </c:pt>
                <c:pt idx="4">
                  <c:v>548</c:v>
                </c:pt>
                <c:pt idx="5">
                  <c:v>520.5</c:v>
                </c:pt>
              </c:numCache>
            </c:numRef>
          </c:val>
        </c:ser>
        <c:ser>
          <c:idx val="2"/>
          <c:order val="2"/>
          <c:tx>
            <c:strRef>
              <c:f>Lapas1!$D$1</c:f>
              <c:strCache>
                <c:ptCount val="1"/>
                <c:pt idx="0">
                  <c:v>Kvėpavimo sistemos ligos</c:v>
                </c:pt>
              </c:strCache>
            </c:strRef>
          </c:tx>
          <c:spPr>
            <a:ln>
              <a:solidFill>
                <a:srgbClr val="66FF33"/>
              </a:solidFill>
            </a:ln>
          </c:spPr>
          <c:marker>
            <c:spPr>
              <a:solidFill>
                <a:srgbClr val="00FF00"/>
              </a:solidFill>
              <a:ln>
                <a:solidFill>
                  <a:srgbClr val="66FF33"/>
                </a:solidFill>
              </a:ln>
            </c:spPr>
          </c:marker>
          <c:dLbls>
            <c:spPr>
              <a:noFill/>
              <a:ln w="25343">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Lapas1!$D$2:$D$7</c:f>
              <c:numCache>
                <c:formatCode>General</c:formatCode>
                <c:ptCount val="6"/>
                <c:pt idx="0">
                  <c:v>32.9</c:v>
                </c:pt>
                <c:pt idx="1">
                  <c:v>23.3</c:v>
                </c:pt>
                <c:pt idx="2">
                  <c:v>37.300000000000011</c:v>
                </c:pt>
                <c:pt idx="3">
                  <c:v>49.3</c:v>
                </c:pt>
                <c:pt idx="4">
                  <c:v>33.200000000000003</c:v>
                </c:pt>
                <c:pt idx="5">
                  <c:v>32.6</c:v>
                </c:pt>
              </c:numCache>
            </c:numRef>
          </c:val>
        </c:ser>
        <c:ser>
          <c:idx val="3"/>
          <c:order val="3"/>
          <c:tx>
            <c:strRef>
              <c:f>Lapas1!$E$1</c:f>
              <c:strCache>
                <c:ptCount val="1"/>
                <c:pt idx="0">
                  <c:v>Išorinės mirties priežastys</c:v>
                </c:pt>
              </c:strCache>
            </c:strRef>
          </c:tx>
          <c:dLbls>
            <c:dLbl>
              <c:idx val="0"/>
              <c:layout>
                <c:manualLayout>
                  <c:x val="-3.5226772346983709E-2"/>
                  <c:y val="-6.1919504643962849E-2"/>
                </c:manualLayout>
              </c:layout>
              <c:spPr>
                <a:noFill/>
                <a:ln w="25343">
                  <a:noFill/>
                </a:ln>
              </c:spPr>
              <c:txPr>
                <a:bodyPr/>
                <a:lstStyle/>
                <a:p>
                  <a:pPr>
                    <a:defRPr/>
                  </a:pPr>
                  <a:endParaRPr lang="lt-LT"/>
                </a:p>
              </c:txPr>
              <c:dLblPos val="r"/>
              <c:showVal val="1"/>
            </c:dLbl>
            <c:dLbl>
              <c:idx val="1"/>
              <c:layout>
                <c:manualLayout>
                  <c:x val="-1.5411712901805368E-2"/>
                  <c:y val="-4.1279669762641767E-2"/>
                </c:manualLayout>
              </c:layout>
              <c:spPr>
                <a:noFill/>
                <a:ln w="25343">
                  <a:noFill/>
                </a:ln>
              </c:spPr>
              <c:txPr>
                <a:bodyPr/>
                <a:lstStyle/>
                <a:p>
                  <a:pPr>
                    <a:defRPr/>
                  </a:pPr>
                  <a:endParaRPr lang="lt-LT"/>
                </a:p>
              </c:txPr>
              <c:dLblPos val="r"/>
              <c:showVal val="1"/>
            </c:dLbl>
            <c:dLbl>
              <c:idx val="2"/>
              <c:layout>
                <c:manualLayout>
                  <c:x val="-2.6420079260237778E-2"/>
                  <c:y val="-4.1279669762641767E-2"/>
                </c:manualLayout>
              </c:layout>
              <c:spPr>
                <a:noFill/>
                <a:ln w="25343">
                  <a:noFill/>
                </a:ln>
              </c:spPr>
              <c:txPr>
                <a:bodyPr/>
                <a:lstStyle/>
                <a:p>
                  <a:pPr>
                    <a:defRPr/>
                  </a:pPr>
                  <a:endParaRPr lang="lt-LT"/>
                </a:p>
              </c:txPr>
              <c:dLblPos val="r"/>
              <c:showVal val="1"/>
            </c:dLbl>
            <c:dLbl>
              <c:idx val="3"/>
              <c:layout>
                <c:manualLayout>
                  <c:x val="-7.4243196482870304E-3"/>
                  <c:y val="-4.6439628482972076E-2"/>
                </c:manualLayout>
              </c:layout>
              <c:spPr>
                <a:noFill/>
                <a:ln w="25343">
                  <a:noFill/>
                </a:ln>
              </c:spPr>
              <c:txPr>
                <a:bodyPr/>
                <a:lstStyle/>
                <a:p>
                  <a:pPr>
                    <a:defRPr/>
                  </a:pPr>
                  <a:endParaRPr lang="lt-LT"/>
                </a:p>
              </c:txPr>
              <c:dLblPos val="r"/>
              <c:showVal val="1"/>
            </c:dLbl>
            <c:dLbl>
              <c:idx val="4"/>
              <c:layout>
                <c:manualLayout>
                  <c:x val="-3.7428445618670612E-2"/>
                  <c:y val="-7.2239422084623334E-2"/>
                </c:manualLayout>
              </c:layout>
              <c:spPr>
                <a:noFill/>
                <a:ln w="25343">
                  <a:noFill/>
                </a:ln>
              </c:spPr>
              <c:txPr>
                <a:bodyPr/>
                <a:lstStyle/>
                <a:p>
                  <a:pPr>
                    <a:defRPr/>
                  </a:pPr>
                  <a:endParaRPr lang="lt-LT"/>
                </a:p>
              </c:txPr>
              <c:dLblPos val="r"/>
              <c:showVal val="1"/>
            </c:dLbl>
            <c:dLbl>
              <c:idx val="5"/>
              <c:layout>
                <c:manualLayout>
                  <c:x val="-5.0638485248789084E-2"/>
                  <c:y val="-6.7079463364293088E-2"/>
                </c:manualLayout>
              </c:layout>
              <c:spPr>
                <a:noFill/>
                <a:ln w="25343">
                  <a:noFill/>
                </a:ln>
              </c:spPr>
              <c:txPr>
                <a:bodyPr/>
                <a:lstStyle/>
                <a:p>
                  <a:pPr>
                    <a:defRPr/>
                  </a:pPr>
                  <a:endParaRPr lang="lt-LT"/>
                </a:p>
              </c:txPr>
              <c:dLblPos val="r"/>
              <c:showVal val="1"/>
            </c:dLbl>
            <c:spPr>
              <a:noFill/>
              <a:ln w="25343">
                <a:noFill/>
              </a:ln>
            </c:sp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Lapas1!$E$2:$E$7</c:f>
              <c:numCache>
                <c:formatCode>General</c:formatCode>
                <c:ptCount val="6"/>
                <c:pt idx="0">
                  <c:v>98.9</c:v>
                </c:pt>
                <c:pt idx="1">
                  <c:v>111.9</c:v>
                </c:pt>
                <c:pt idx="2">
                  <c:v>115.8</c:v>
                </c:pt>
                <c:pt idx="3">
                  <c:v>119</c:v>
                </c:pt>
                <c:pt idx="4">
                  <c:v>95.6</c:v>
                </c:pt>
                <c:pt idx="5">
                  <c:v>108.1</c:v>
                </c:pt>
              </c:numCache>
            </c:numRef>
          </c:val>
        </c:ser>
        <c:dLbls>
          <c:showVal val="1"/>
        </c:dLbls>
        <c:marker val="1"/>
        <c:axId val="224854784"/>
        <c:axId val="224856320"/>
      </c:lineChart>
      <c:catAx>
        <c:axId val="224854784"/>
        <c:scaling>
          <c:orientation val="minMax"/>
        </c:scaling>
        <c:axPos val="b"/>
        <c:numFmt formatCode="General" sourceLinked="1"/>
        <c:majorTickMark val="none"/>
        <c:tickLblPos val="nextTo"/>
        <c:crossAx val="224856320"/>
        <c:crosses val="autoZero"/>
        <c:auto val="1"/>
        <c:lblAlgn val="ctr"/>
        <c:lblOffset val="100"/>
      </c:catAx>
      <c:valAx>
        <c:axId val="224856320"/>
        <c:scaling>
          <c:orientation val="minMax"/>
        </c:scaling>
        <c:delete val="1"/>
        <c:axPos val="l"/>
        <c:majorGridlines/>
        <c:numFmt formatCode="General" sourceLinked="1"/>
        <c:tickLblPos val="none"/>
        <c:crossAx val="224854784"/>
        <c:crosses val="autoZero"/>
        <c:crossBetween val="between"/>
      </c:valAx>
      <c:spPr>
        <a:noFill/>
        <a:ln w="25343">
          <a:noFill/>
        </a:ln>
      </c:spPr>
    </c:plotArea>
    <c:legend>
      <c:legendPos val="r"/>
      <c:layout>
        <c:manualLayout>
          <c:xMode val="edge"/>
          <c:yMode val="edge"/>
          <c:x val="0.64940238905780323"/>
          <c:y val="0.10843359580052493"/>
          <c:w val="0.30942889564547027"/>
          <c:h val="0.37349396325459328"/>
        </c:manualLayout>
      </c:layout>
    </c:legend>
    <c:plotVisOnly val="1"/>
    <c:dispBlanksAs val="gap"/>
  </c:chart>
  <c:spPr>
    <a:solidFill>
      <a:sysClr val="window" lastClr="FFFFFF"/>
    </a:solidFill>
    <a:effectLst>
      <a:softEdge rad="127000"/>
    </a:effectLst>
  </c:spPr>
  <c:txPr>
    <a:bodyPr/>
    <a:lstStyle/>
    <a:p>
      <a:pPr>
        <a:defRPr b="1">
          <a:latin typeface="Times New Roman" pitchFamily="18" charset="0"/>
          <a:cs typeface="Times New Roman" pitchFamily="18" charset="0"/>
        </a:defRPr>
      </a:pPr>
      <a:endParaRPr lang="lt-LT"/>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t-LT"/>
  <c:style val="26"/>
  <c:chart>
    <c:autoTitleDeleted val="1"/>
    <c:plotArea>
      <c:layout/>
      <c:barChart>
        <c:barDir val="col"/>
        <c:grouping val="clustered"/>
        <c:ser>
          <c:idx val="0"/>
          <c:order val="0"/>
          <c:tx>
            <c:strRef>
              <c:f>Lapas1!$B$1</c:f>
              <c:strCache>
                <c:ptCount val="1"/>
                <c:pt idx="0">
                  <c:v>Stulpelis1</c:v>
                </c:pt>
              </c:strCache>
            </c:strRef>
          </c:tx>
          <c:spPr>
            <a:solidFill>
              <a:srgbClr val="00B0F0"/>
            </a:solidFill>
          </c:spPr>
          <c:dLbls>
            <c:spPr>
              <a:noFill/>
              <a:ln w="25418">
                <a:noFill/>
              </a:ln>
            </c:spPr>
            <c:txPr>
              <a:bodyPr/>
              <a:lstStyle/>
              <a:p>
                <a:pPr>
                  <a:defRPr b="1">
                    <a:latin typeface="Times New Roman" pitchFamily="18" charset="0"/>
                    <a:cs typeface="Times New Roman" pitchFamily="18" charset="0"/>
                  </a:defRPr>
                </a:pPr>
                <a:endParaRPr lang="lt-LT"/>
              </a:p>
            </c:txPr>
            <c:showVal val="1"/>
          </c:dLbls>
          <c:cat>
            <c:strRef>
              <c:f>Lapas1!$A$2:$A$6</c:f>
              <c:strCache>
                <c:ptCount val="5"/>
                <c:pt idx="0">
                  <c:v>Jungiamojo audinio ir skeleto raumenų sistemos ligos</c:v>
                </c:pt>
                <c:pt idx="1">
                  <c:v>Traumos ir apsinuodijimai</c:v>
                </c:pt>
                <c:pt idx="2">
                  <c:v>Virškinimo sistemos ligos</c:v>
                </c:pt>
                <c:pt idx="3">
                  <c:v>Akių ligos</c:v>
                </c:pt>
                <c:pt idx="4">
                  <c:v>Endokrininės sistemos ligos</c:v>
                </c:pt>
              </c:strCache>
            </c:strRef>
          </c:cat>
          <c:val>
            <c:numRef>
              <c:f>Lapas1!$B$2:$B$6</c:f>
              <c:numCache>
                <c:formatCode>General</c:formatCode>
                <c:ptCount val="5"/>
                <c:pt idx="0">
                  <c:v>102.3</c:v>
                </c:pt>
                <c:pt idx="1">
                  <c:v>81.2</c:v>
                </c:pt>
                <c:pt idx="2">
                  <c:v>79.599999999999994</c:v>
                </c:pt>
                <c:pt idx="3">
                  <c:v>57.7</c:v>
                </c:pt>
                <c:pt idx="4">
                  <c:v>39.200000000000003</c:v>
                </c:pt>
              </c:numCache>
            </c:numRef>
          </c:val>
        </c:ser>
        <c:dLbls>
          <c:showVal val="1"/>
        </c:dLbls>
        <c:overlap val="-25"/>
        <c:axId val="211244160"/>
        <c:axId val="211245696"/>
      </c:barChart>
      <c:catAx>
        <c:axId val="211244160"/>
        <c:scaling>
          <c:orientation val="minMax"/>
        </c:scaling>
        <c:axPos val="b"/>
        <c:majorGridlines/>
        <c:numFmt formatCode="General" sourceLinked="1"/>
        <c:majorTickMark val="none"/>
        <c:tickLblPos val="nextTo"/>
        <c:txPr>
          <a:bodyPr/>
          <a:lstStyle/>
          <a:p>
            <a:pPr>
              <a:defRPr b="1">
                <a:latin typeface="Times New Roman" pitchFamily="18" charset="0"/>
                <a:cs typeface="Times New Roman" pitchFamily="18" charset="0"/>
              </a:defRPr>
            </a:pPr>
            <a:endParaRPr lang="lt-LT"/>
          </a:p>
        </c:txPr>
        <c:crossAx val="211245696"/>
        <c:crosses val="autoZero"/>
        <c:auto val="1"/>
        <c:lblAlgn val="ctr"/>
        <c:lblOffset val="100"/>
      </c:catAx>
      <c:valAx>
        <c:axId val="211245696"/>
        <c:scaling>
          <c:orientation val="minMax"/>
        </c:scaling>
        <c:axPos val="l"/>
        <c:numFmt formatCode="General" sourceLinked="1"/>
        <c:tickLblPos val="nextTo"/>
        <c:crossAx val="211244160"/>
        <c:crosses val="autoZero"/>
        <c:crossBetween val="between"/>
      </c:valAx>
      <c:spPr>
        <a:noFill/>
        <a:ln w="25418">
          <a:noFill/>
        </a:ln>
      </c:spPr>
    </c:plotArea>
    <c:plotVisOnly val="1"/>
    <c:dispBlanksAs val="gap"/>
  </c:chart>
  <c:spPr>
    <a:solidFill>
      <a:sysClr val="window" lastClr="FFFFFF"/>
    </a:solidFill>
    <a:effectLst>
      <a:softEdge rad="127000"/>
    </a:effectLst>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41060185185185188"/>
          <c:y val="3.5714285714285712E-2"/>
          <c:w val="0.41634842519685827"/>
          <c:h val="0.83146825396825397"/>
        </c:manualLayout>
      </c:layout>
      <c:barChart>
        <c:barDir val="bar"/>
        <c:grouping val="clustered"/>
        <c:ser>
          <c:idx val="0"/>
          <c:order val="0"/>
          <c:tx>
            <c:strRef>
              <c:f>Lapas1!$B$1</c:f>
              <c:strCache>
                <c:ptCount val="1"/>
                <c:pt idx="0">
                  <c:v>Berniukai</c:v>
                </c:pt>
              </c:strCache>
            </c:strRef>
          </c:tx>
          <c:spPr>
            <a:solidFill>
              <a:srgbClr val="00B0F0"/>
            </a:solidFill>
          </c:spPr>
          <c:dLbls>
            <c:dLbl>
              <c:idx val="0"/>
              <c:layout>
                <c:manualLayout>
                  <c:x val="-1.3888888888889157E-2"/>
                  <c:y val="-3.9682539682539975E-3"/>
                </c:manualLayout>
              </c:layout>
              <c:spPr>
                <a:noFill/>
                <a:ln w="22127">
                  <a:noFill/>
                </a:ln>
              </c:spPr>
              <c:txPr>
                <a:bodyPr/>
                <a:lstStyle/>
                <a:p>
                  <a:pPr>
                    <a:defRPr/>
                  </a:pPr>
                  <a:endParaRPr lang="lt-LT"/>
                </a:p>
              </c:txPr>
              <c:dLblPos val="outEnd"/>
              <c:showVal val="1"/>
            </c:dLbl>
            <c:dLbl>
              <c:idx val="1"/>
              <c:layout>
                <c:manualLayout>
                  <c:x val="-9.2592592592595242E-3"/>
                  <c:y val="-1.1904761904761961E-2"/>
                </c:manualLayout>
              </c:layout>
              <c:spPr>
                <a:noFill/>
                <a:ln w="22127">
                  <a:noFill/>
                </a:ln>
              </c:spPr>
              <c:txPr>
                <a:bodyPr/>
                <a:lstStyle/>
                <a:p>
                  <a:pPr>
                    <a:defRPr/>
                  </a:pPr>
                  <a:endParaRPr lang="lt-LT"/>
                </a:p>
              </c:txPr>
              <c:dLblPos val="outEnd"/>
              <c:showVal val="1"/>
            </c:dLbl>
            <c:dLbl>
              <c:idx val="3"/>
              <c:layout>
                <c:manualLayout>
                  <c:x val="-2.3148148148148147E-3"/>
                  <c:y val="7.9365079365079534E-3"/>
                </c:manualLayout>
              </c:layout>
              <c:spPr>
                <a:noFill/>
                <a:ln w="22127">
                  <a:noFill/>
                </a:ln>
              </c:spPr>
              <c:txPr>
                <a:bodyPr/>
                <a:lstStyle/>
                <a:p>
                  <a:pPr>
                    <a:defRPr/>
                  </a:pPr>
                  <a:endParaRPr lang="lt-LT"/>
                </a:p>
              </c:txPr>
              <c:dLblPos val="outEnd"/>
              <c:showVal val="1"/>
            </c:dLbl>
            <c:dLbl>
              <c:idx val="7"/>
              <c:layout>
                <c:manualLayout>
                  <c:x val="0"/>
                  <c:y val="1.1904761904761961E-2"/>
                </c:manualLayout>
              </c:layout>
              <c:spPr>
                <a:noFill/>
                <a:ln w="22127">
                  <a:noFill/>
                </a:ln>
              </c:spPr>
              <c:txPr>
                <a:bodyPr/>
                <a:lstStyle/>
                <a:p>
                  <a:pPr>
                    <a:defRPr/>
                  </a:pPr>
                  <a:endParaRPr lang="lt-LT"/>
                </a:p>
              </c:txPr>
              <c:dLblPos val="outEnd"/>
              <c:showVal val="1"/>
            </c:dLbl>
            <c:dLbl>
              <c:idx val="8"/>
              <c:layout>
                <c:manualLayout>
                  <c:x val="-1.3888888888889157E-2"/>
                  <c:y val="7.9365079365079742E-3"/>
                </c:manualLayout>
              </c:layout>
              <c:spPr>
                <a:noFill/>
                <a:ln w="22127">
                  <a:noFill/>
                </a:ln>
              </c:spPr>
              <c:txPr>
                <a:bodyPr/>
                <a:lstStyle/>
                <a:p>
                  <a:pPr>
                    <a:defRPr/>
                  </a:pPr>
                  <a:endParaRPr lang="lt-LT"/>
                </a:p>
              </c:txPr>
              <c:dLblPos val="outEnd"/>
              <c:showVal val="1"/>
            </c:dLbl>
            <c:dLbl>
              <c:idx val="9"/>
              <c:layout>
                <c:manualLayout>
                  <c:x val="0"/>
                  <c:y val="1.5873015873015883E-2"/>
                </c:manualLayout>
              </c:layout>
              <c:spPr>
                <a:noFill/>
                <a:ln w="22127">
                  <a:noFill/>
                </a:ln>
              </c:spPr>
              <c:txPr>
                <a:bodyPr/>
                <a:lstStyle/>
                <a:p>
                  <a:pPr>
                    <a:defRPr/>
                  </a:pPr>
                  <a:endParaRPr lang="lt-LT"/>
                </a:p>
              </c:txPr>
              <c:dLblPos val="outEnd"/>
              <c:showVal val="1"/>
            </c:dLbl>
            <c:spPr>
              <a:noFill/>
              <a:ln w="22127">
                <a:noFill/>
              </a:ln>
            </c:spPr>
            <c:showVal val="1"/>
          </c:dLbls>
          <c:cat>
            <c:strRef>
              <c:f>Lapas1!$A$2:$A$11</c:f>
              <c:strCache>
                <c:ptCount val="10"/>
                <c:pt idx="0">
                  <c:v>Širdies ir kraujagyslių s. sutrikimai</c:v>
                </c:pt>
                <c:pt idx="1">
                  <c:v>Kvėpavimo s. sutrikimai</c:v>
                </c:pt>
                <c:pt idx="2">
                  <c:v>Regos sutrikimai</c:v>
                </c:pt>
                <c:pt idx="3">
                  <c:v>Klausos sutrikimai</c:v>
                </c:pt>
                <c:pt idx="4">
                  <c:v>Virškinimo s. sutrikimai</c:v>
                </c:pt>
                <c:pt idx="5">
                  <c:v>Nervų s. sutrikimai</c:v>
                </c:pt>
                <c:pt idx="6">
                  <c:v>Endokrinininės s. sutrikimai</c:v>
                </c:pt>
                <c:pt idx="7">
                  <c:v>Urogenitalinės s. sutrikimai</c:v>
                </c:pt>
                <c:pt idx="8">
                  <c:v>Skeleto - raumenų s. sutrikimai</c:v>
                </c:pt>
                <c:pt idx="9">
                  <c:v> Alerginiai susirgimai</c:v>
                </c:pt>
              </c:strCache>
            </c:strRef>
          </c:cat>
          <c:val>
            <c:numRef>
              <c:f>Lapas1!$B$2:$B$11</c:f>
              <c:numCache>
                <c:formatCode>General</c:formatCode>
                <c:ptCount val="10"/>
                <c:pt idx="0">
                  <c:v>11.2</c:v>
                </c:pt>
                <c:pt idx="1">
                  <c:v>6.5</c:v>
                </c:pt>
                <c:pt idx="2">
                  <c:v>31.9</c:v>
                </c:pt>
                <c:pt idx="3">
                  <c:v>0.30000000000000004</c:v>
                </c:pt>
                <c:pt idx="4">
                  <c:v>1.1000000000000001</c:v>
                </c:pt>
                <c:pt idx="5">
                  <c:v>4.7</c:v>
                </c:pt>
                <c:pt idx="6">
                  <c:v>16.5</c:v>
                </c:pt>
                <c:pt idx="7">
                  <c:v>0.60000000000000009</c:v>
                </c:pt>
                <c:pt idx="8">
                  <c:v>19.399999999999999</c:v>
                </c:pt>
                <c:pt idx="9">
                  <c:v>5.0999999999999996</c:v>
                </c:pt>
              </c:numCache>
            </c:numRef>
          </c:val>
        </c:ser>
        <c:ser>
          <c:idx val="1"/>
          <c:order val="1"/>
          <c:tx>
            <c:strRef>
              <c:f>Lapas1!$C$1</c:f>
              <c:strCache>
                <c:ptCount val="1"/>
                <c:pt idx="0">
                  <c:v>Mergaitės</c:v>
                </c:pt>
              </c:strCache>
            </c:strRef>
          </c:tx>
          <c:spPr>
            <a:solidFill>
              <a:srgbClr val="FF0000"/>
            </a:solidFill>
          </c:spPr>
          <c:dLbls>
            <c:dLbl>
              <c:idx val="0"/>
              <c:layout>
                <c:manualLayout>
                  <c:x val="-4.6296296296297066E-3"/>
                  <c:y val="-1.1904761904761961E-2"/>
                </c:manualLayout>
              </c:layout>
              <c:spPr>
                <a:noFill/>
                <a:ln w="22127">
                  <a:noFill/>
                </a:ln>
              </c:spPr>
              <c:txPr>
                <a:bodyPr/>
                <a:lstStyle/>
                <a:p>
                  <a:pPr>
                    <a:defRPr/>
                  </a:pPr>
                  <a:endParaRPr lang="lt-LT"/>
                </a:p>
              </c:txPr>
              <c:dLblPos val="outEnd"/>
              <c:showVal val="1"/>
            </c:dLbl>
            <c:dLbl>
              <c:idx val="1"/>
              <c:layout>
                <c:manualLayout>
                  <c:x val="-1.3888888888889176E-2"/>
                  <c:y val="-2.3809523809523891E-2"/>
                </c:manualLayout>
              </c:layout>
              <c:spPr>
                <a:noFill/>
                <a:ln w="22127">
                  <a:noFill/>
                </a:ln>
              </c:spPr>
              <c:txPr>
                <a:bodyPr/>
                <a:lstStyle/>
                <a:p>
                  <a:pPr>
                    <a:defRPr/>
                  </a:pPr>
                  <a:endParaRPr lang="lt-LT"/>
                </a:p>
              </c:txPr>
              <c:dLblPos val="outEnd"/>
              <c:showVal val="1"/>
            </c:dLbl>
            <c:dLbl>
              <c:idx val="2"/>
              <c:layout>
                <c:manualLayout>
                  <c:x val="-9.2304142148380841E-3"/>
                  <c:y val="7.2548957449742392E-17"/>
                </c:manualLayout>
              </c:layout>
              <c:spPr>
                <a:noFill/>
                <a:ln w="22127">
                  <a:noFill/>
                </a:ln>
              </c:spPr>
              <c:txPr>
                <a:bodyPr/>
                <a:lstStyle/>
                <a:p>
                  <a:pPr>
                    <a:defRPr/>
                  </a:pPr>
                  <a:endParaRPr lang="lt-LT"/>
                </a:p>
              </c:txPr>
              <c:dLblPos val="outEnd"/>
              <c:showVal val="1"/>
            </c:dLbl>
            <c:dLbl>
              <c:idx val="8"/>
              <c:layout>
                <c:manualLayout>
                  <c:x val="-4.6296296296297066E-3"/>
                  <c:y val="-1.1904761904761961E-2"/>
                </c:manualLayout>
              </c:layout>
              <c:spPr>
                <a:noFill/>
                <a:ln w="22127">
                  <a:noFill/>
                </a:ln>
              </c:spPr>
              <c:txPr>
                <a:bodyPr/>
                <a:lstStyle/>
                <a:p>
                  <a:pPr>
                    <a:defRPr/>
                  </a:pPr>
                  <a:endParaRPr lang="lt-LT"/>
                </a:p>
              </c:txPr>
              <c:dLblPos val="outEnd"/>
              <c:showVal val="1"/>
            </c:dLbl>
            <c:spPr>
              <a:noFill/>
              <a:ln w="22127">
                <a:noFill/>
              </a:ln>
            </c:spPr>
            <c:showVal val="1"/>
          </c:dLbls>
          <c:cat>
            <c:strRef>
              <c:f>Lapas1!$A$2:$A$11</c:f>
              <c:strCache>
                <c:ptCount val="10"/>
                <c:pt idx="0">
                  <c:v>Širdies ir kraujagyslių s. sutrikimai</c:v>
                </c:pt>
                <c:pt idx="1">
                  <c:v>Kvėpavimo s. sutrikimai</c:v>
                </c:pt>
                <c:pt idx="2">
                  <c:v>Regos sutrikimai</c:v>
                </c:pt>
                <c:pt idx="3">
                  <c:v>Klausos sutrikimai</c:v>
                </c:pt>
                <c:pt idx="4">
                  <c:v>Virškinimo s. sutrikimai</c:v>
                </c:pt>
                <c:pt idx="5">
                  <c:v>Nervų s. sutrikimai</c:v>
                </c:pt>
                <c:pt idx="6">
                  <c:v>Endokrinininės s. sutrikimai</c:v>
                </c:pt>
                <c:pt idx="7">
                  <c:v>Urogenitalinės s. sutrikimai</c:v>
                </c:pt>
                <c:pt idx="8">
                  <c:v>Skeleto - raumenų s. sutrikimai</c:v>
                </c:pt>
                <c:pt idx="9">
                  <c:v> Alerginiai susirgimai</c:v>
                </c:pt>
              </c:strCache>
            </c:strRef>
          </c:cat>
          <c:val>
            <c:numRef>
              <c:f>Lapas1!$C$2:$C$11</c:f>
              <c:numCache>
                <c:formatCode>General</c:formatCode>
                <c:ptCount val="10"/>
                <c:pt idx="0">
                  <c:v>10.7</c:v>
                </c:pt>
                <c:pt idx="1">
                  <c:v>4.5</c:v>
                </c:pt>
                <c:pt idx="2">
                  <c:v>37.700000000000003</c:v>
                </c:pt>
                <c:pt idx="3">
                  <c:v>0.2</c:v>
                </c:pt>
                <c:pt idx="4">
                  <c:v>1</c:v>
                </c:pt>
                <c:pt idx="5">
                  <c:v>3.9</c:v>
                </c:pt>
                <c:pt idx="6">
                  <c:v>20.9</c:v>
                </c:pt>
                <c:pt idx="7">
                  <c:v>0.8</c:v>
                </c:pt>
                <c:pt idx="8">
                  <c:v>18.7</c:v>
                </c:pt>
                <c:pt idx="9">
                  <c:v>4.2</c:v>
                </c:pt>
              </c:numCache>
            </c:numRef>
          </c:val>
        </c:ser>
        <c:overlap val="-24"/>
        <c:axId val="210308480"/>
        <c:axId val="210322560"/>
      </c:barChart>
      <c:catAx>
        <c:axId val="210308480"/>
        <c:scaling>
          <c:orientation val="minMax"/>
        </c:scaling>
        <c:axPos val="l"/>
        <c:numFmt formatCode="General" sourceLinked="1"/>
        <c:tickLblPos val="nextTo"/>
        <c:crossAx val="210322560"/>
        <c:crosses val="autoZero"/>
        <c:auto val="1"/>
        <c:lblAlgn val="ctr"/>
        <c:lblOffset val="100"/>
      </c:catAx>
      <c:valAx>
        <c:axId val="210322560"/>
        <c:scaling>
          <c:orientation val="minMax"/>
        </c:scaling>
        <c:axPos val="b"/>
        <c:majorGridlines/>
        <c:numFmt formatCode="General" sourceLinked="1"/>
        <c:tickLblPos val="nextTo"/>
        <c:crossAx val="210308480"/>
        <c:crosses val="autoZero"/>
        <c:crossBetween val="between"/>
      </c:valAx>
      <c:spPr>
        <a:solidFill>
          <a:sysClr val="window" lastClr="FFFFFF"/>
        </a:solidFill>
      </c:spPr>
    </c:plotArea>
    <c:legend>
      <c:legendPos val="r"/>
      <c:layout>
        <c:manualLayout>
          <c:xMode val="edge"/>
          <c:yMode val="edge"/>
          <c:x val="0.84679671961420067"/>
          <c:y val="0.46357630607377398"/>
          <c:w val="0.12952637840685133"/>
          <c:h val="0.15231809716731493"/>
        </c:manualLayout>
      </c:layout>
    </c:legend>
    <c:plotVisOnly val="1"/>
    <c:dispBlanksAs val="gap"/>
  </c:chart>
  <c:spPr>
    <a:noFill/>
  </c:spPr>
  <c:txPr>
    <a:bodyPr/>
    <a:lstStyle/>
    <a:p>
      <a:pPr>
        <a:defRPr sz="598" b="1" i="0" baseline="0">
          <a:latin typeface="Times New Roman" pitchFamily="18" charset="0"/>
        </a:defRPr>
      </a:pPr>
      <a:endParaRPr lang="lt-L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lt-LT"/>
  <c:style val="26"/>
  <c:chart>
    <c:autoTitleDeleted val="1"/>
    <c:plotArea>
      <c:layout>
        <c:manualLayout>
          <c:layoutTarget val="inner"/>
          <c:xMode val="edge"/>
          <c:yMode val="edge"/>
          <c:x val="0.32212784857325161"/>
          <c:y val="3.1746031746031744E-2"/>
          <c:w val="0.54256300309257988"/>
          <c:h val="0.79214640802351244"/>
        </c:manualLayout>
      </c:layout>
      <c:barChart>
        <c:barDir val="bar"/>
        <c:grouping val="clustered"/>
        <c:ser>
          <c:idx val="0"/>
          <c:order val="0"/>
          <c:tx>
            <c:strRef>
              <c:f>Lapas1!$B$1</c:f>
              <c:strCache>
                <c:ptCount val="1"/>
                <c:pt idx="0">
                  <c:v>Stulpelis1</c:v>
                </c:pt>
              </c:strCache>
            </c:strRef>
          </c:tx>
          <c:spPr>
            <a:solidFill>
              <a:srgbClr val="00FF00"/>
            </a:solidFill>
          </c:spPr>
          <c:dLbls>
            <c:spPr>
              <a:noFill/>
              <a:ln w="25114">
                <a:noFill/>
              </a:ln>
            </c:spPr>
            <c:txPr>
              <a:bodyPr/>
              <a:lstStyle/>
              <a:p>
                <a:pPr>
                  <a:defRPr sz="837"/>
                </a:pPr>
                <a:endParaRPr lang="lt-LT"/>
              </a:p>
            </c:txPr>
            <c:showVal val="1"/>
          </c:dLbls>
          <c:cat>
            <c:strRef>
              <c:f>Lapas1!$A$2:$A$11</c:f>
              <c:strCache>
                <c:ptCount val="10"/>
                <c:pt idx="0">
                  <c:v>Lietuva (2008)</c:v>
                </c:pt>
                <c:pt idx="1">
                  <c:v>Vengrija (2008)</c:v>
                </c:pt>
                <c:pt idx="2">
                  <c:v>Estija (2008)</c:v>
                </c:pt>
                <c:pt idx="3">
                  <c:v>Latvija (2008)</c:v>
                </c:pt>
                <c:pt idx="4">
                  <c:v>Lenkija (2007)</c:v>
                </c:pt>
                <c:pt idx="5">
                  <c:v>ES (2007)</c:v>
                </c:pt>
                <c:pt idx="6">
                  <c:v>Norvegija (2007)</c:v>
                </c:pt>
                <c:pt idx="7">
                  <c:v>Airija (2008)</c:v>
                </c:pt>
                <c:pt idx="8">
                  <c:v>D. Britanija (2007)</c:v>
                </c:pt>
                <c:pt idx="9">
                  <c:v>Graikija (2008)</c:v>
                </c:pt>
              </c:strCache>
            </c:strRef>
          </c:cat>
          <c:val>
            <c:numRef>
              <c:f>Lapas1!$B$2:$B$11</c:f>
              <c:numCache>
                <c:formatCode>General</c:formatCode>
                <c:ptCount val="10"/>
                <c:pt idx="0">
                  <c:v>30.7</c:v>
                </c:pt>
                <c:pt idx="1">
                  <c:v>21.5</c:v>
                </c:pt>
                <c:pt idx="2">
                  <c:v>16.5</c:v>
                </c:pt>
                <c:pt idx="3">
                  <c:v>20.9</c:v>
                </c:pt>
                <c:pt idx="4">
                  <c:v>12.9</c:v>
                </c:pt>
                <c:pt idx="5">
                  <c:v>9.8000000000000007</c:v>
                </c:pt>
                <c:pt idx="6">
                  <c:v>10</c:v>
                </c:pt>
                <c:pt idx="7">
                  <c:v>9.3000000000000007</c:v>
                </c:pt>
                <c:pt idx="8">
                  <c:v>6.1</c:v>
                </c:pt>
                <c:pt idx="9">
                  <c:v>2.8</c:v>
                </c:pt>
              </c:numCache>
            </c:numRef>
          </c:val>
        </c:ser>
        <c:axId val="5891968"/>
        <c:axId val="5893504"/>
      </c:barChart>
      <c:catAx>
        <c:axId val="5891968"/>
        <c:scaling>
          <c:orientation val="minMax"/>
        </c:scaling>
        <c:axPos val="l"/>
        <c:majorGridlines/>
        <c:numFmt formatCode="General" sourceLinked="1"/>
        <c:tickLblPos val="nextTo"/>
        <c:txPr>
          <a:bodyPr/>
          <a:lstStyle/>
          <a:p>
            <a:pPr>
              <a:defRPr sz="838"/>
            </a:pPr>
            <a:endParaRPr lang="lt-LT"/>
          </a:p>
        </c:txPr>
        <c:crossAx val="5893504"/>
        <c:crosses val="autoZero"/>
        <c:auto val="1"/>
        <c:lblAlgn val="ctr"/>
        <c:lblOffset val="100"/>
      </c:catAx>
      <c:valAx>
        <c:axId val="5893504"/>
        <c:scaling>
          <c:orientation val="minMax"/>
        </c:scaling>
        <c:axPos val="b"/>
        <c:numFmt formatCode="General" sourceLinked="1"/>
        <c:tickLblPos val="nextTo"/>
        <c:crossAx val="5891968"/>
        <c:crosses val="autoZero"/>
        <c:crossBetween val="between"/>
      </c:valAx>
      <c:spPr>
        <a:noFill/>
        <a:ln w="25114">
          <a:noFill/>
        </a:ln>
      </c:spPr>
    </c:plotArea>
    <c:plotVisOnly val="1"/>
    <c:dispBlanksAs val="gap"/>
  </c:chart>
  <c:spPr>
    <a:solidFill>
      <a:sysClr val="window" lastClr="FFFFFF"/>
    </a:solidFill>
    <a:ln w="10619"/>
    <a:effectLst>
      <a:softEdge rad="127000"/>
    </a:effectLst>
  </c:spPr>
  <c:txPr>
    <a:bodyPr/>
    <a:lstStyle/>
    <a:p>
      <a:pPr>
        <a:defRPr sz="753" b="1">
          <a:latin typeface="Times New Roman" pitchFamily="18" charset="0"/>
          <a:cs typeface="Times New Roman" pitchFamily="18" charset="0"/>
        </a:defRPr>
      </a:pPr>
      <a:endParaRPr lang="lt-LT"/>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style val="26"/>
  <c:chart>
    <c:autoTitleDeleted val="1"/>
    <c:plotArea>
      <c:layout/>
      <c:barChart>
        <c:barDir val="col"/>
        <c:grouping val="clustered"/>
        <c:ser>
          <c:idx val="0"/>
          <c:order val="0"/>
          <c:tx>
            <c:strRef>
              <c:f>Lapas1!$B$1</c:f>
              <c:strCache>
                <c:ptCount val="1"/>
                <c:pt idx="0">
                  <c:v>Stulpelis1</c:v>
                </c:pt>
              </c:strCache>
            </c:strRef>
          </c:tx>
          <c:spPr>
            <a:solidFill>
              <a:srgbClr val="00B0F0"/>
            </a:solidFill>
          </c:spPr>
          <c:dLbls>
            <c:spPr>
              <a:noFill/>
              <a:ln w="25418">
                <a:noFill/>
              </a:ln>
            </c:spPr>
            <c:txPr>
              <a:bodyPr/>
              <a:lstStyle/>
              <a:p>
                <a:pPr>
                  <a:defRPr b="1">
                    <a:latin typeface="Times New Roman" pitchFamily="18" charset="0"/>
                    <a:cs typeface="Times New Roman" pitchFamily="18" charset="0"/>
                  </a:defRPr>
                </a:pPr>
                <a:endParaRPr lang="lt-LT"/>
              </a:p>
            </c:txPr>
            <c:showVal val="1"/>
          </c:dLbls>
          <c:cat>
            <c:strRef>
              <c:f>Lapas1!$A$2:$A$6</c:f>
              <c:strCache>
                <c:ptCount val="5"/>
                <c:pt idx="0">
                  <c:v>Jungiamojo audinio ir skeleto raumenų sistemos ligos</c:v>
                </c:pt>
                <c:pt idx="1">
                  <c:v>Traumos ir apsinuodijimai</c:v>
                </c:pt>
                <c:pt idx="2">
                  <c:v>Virškinimo sistemos ligos</c:v>
                </c:pt>
                <c:pt idx="3">
                  <c:v>Akių ligos</c:v>
                </c:pt>
                <c:pt idx="4">
                  <c:v>Endokrininės sistemos ligos</c:v>
                </c:pt>
              </c:strCache>
            </c:strRef>
          </c:cat>
          <c:val>
            <c:numRef>
              <c:f>Lapas1!$B$2:$B$6</c:f>
              <c:numCache>
                <c:formatCode>General</c:formatCode>
                <c:ptCount val="5"/>
                <c:pt idx="0">
                  <c:v>102.3</c:v>
                </c:pt>
                <c:pt idx="1">
                  <c:v>81.2</c:v>
                </c:pt>
                <c:pt idx="2">
                  <c:v>79.599999999999994</c:v>
                </c:pt>
                <c:pt idx="3">
                  <c:v>57.7</c:v>
                </c:pt>
                <c:pt idx="4">
                  <c:v>39.200000000000003</c:v>
                </c:pt>
              </c:numCache>
            </c:numRef>
          </c:val>
        </c:ser>
        <c:dLbls>
          <c:showVal val="1"/>
        </c:dLbls>
        <c:overlap val="-25"/>
        <c:axId val="5846144"/>
        <c:axId val="5847680"/>
      </c:barChart>
      <c:catAx>
        <c:axId val="5846144"/>
        <c:scaling>
          <c:orientation val="minMax"/>
        </c:scaling>
        <c:axPos val="b"/>
        <c:majorGridlines/>
        <c:numFmt formatCode="General" sourceLinked="1"/>
        <c:majorTickMark val="none"/>
        <c:tickLblPos val="nextTo"/>
        <c:txPr>
          <a:bodyPr/>
          <a:lstStyle/>
          <a:p>
            <a:pPr>
              <a:defRPr b="1">
                <a:latin typeface="Times New Roman" pitchFamily="18" charset="0"/>
                <a:cs typeface="Times New Roman" pitchFamily="18" charset="0"/>
              </a:defRPr>
            </a:pPr>
            <a:endParaRPr lang="lt-LT"/>
          </a:p>
        </c:txPr>
        <c:crossAx val="5847680"/>
        <c:crosses val="autoZero"/>
        <c:auto val="1"/>
        <c:lblAlgn val="ctr"/>
        <c:lblOffset val="100"/>
      </c:catAx>
      <c:valAx>
        <c:axId val="5847680"/>
        <c:scaling>
          <c:orientation val="minMax"/>
        </c:scaling>
        <c:axPos val="l"/>
        <c:numFmt formatCode="General" sourceLinked="1"/>
        <c:tickLblPos val="nextTo"/>
        <c:crossAx val="5846144"/>
        <c:crosses val="autoZero"/>
        <c:crossBetween val="between"/>
      </c:valAx>
      <c:spPr>
        <a:noFill/>
        <a:ln w="25418">
          <a:noFill/>
        </a:ln>
      </c:spPr>
    </c:plotArea>
    <c:plotVisOnly val="1"/>
    <c:dispBlanksAs val="gap"/>
  </c:chart>
  <c:spPr>
    <a:solidFill>
      <a:sysClr val="window" lastClr="FFFFFF"/>
    </a:solidFill>
    <a:effectLst>
      <a:softEdge rad="127000"/>
    </a:effectLst>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style val="26"/>
  <c:chart>
    <c:plotArea>
      <c:layout>
        <c:manualLayout>
          <c:layoutTarget val="inner"/>
          <c:xMode val="edge"/>
          <c:yMode val="edge"/>
          <c:x val="2.6004728132387703E-2"/>
          <c:y val="7.6071922544951584E-2"/>
          <c:w val="0.56083337987006243"/>
          <c:h val="0.88759079533662311"/>
        </c:manualLayout>
      </c:layout>
      <c:barChart>
        <c:barDir val="bar"/>
        <c:grouping val="clustered"/>
        <c:ser>
          <c:idx val="0"/>
          <c:order val="0"/>
          <c:tx>
            <c:strRef>
              <c:f>Lapas1!$B$1</c:f>
              <c:strCache>
                <c:ptCount val="1"/>
                <c:pt idx="0">
                  <c:v>Šiaulių miesto savivaldybė</c:v>
                </c:pt>
              </c:strCache>
            </c:strRef>
          </c:tx>
          <c:spPr>
            <a:solidFill>
              <a:srgbClr val="FF0000"/>
            </a:solidFill>
          </c:spPr>
          <c:dLbls>
            <c:dLbl>
              <c:idx val="1"/>
              <c:layout>
                <c:manualLayout>
                  <c:x val="-1.1881014873140857E-2"/>
                  <c:y val="1.9820608009584628E-2"/>
                </c:manualLayout>
              </c:layout>
              <c:dLblPos val="outEnd"/>
              <c:showVal val="1"/>
            </c:dLbl>
            <c:spPr>
              <a:noFill/>
              <a:ln w="25354">
                <a:noFill/>
              </a:ln>
            </c:spPr>
            <c:txPr>
              <a:bodyPr/>
              <a:lstStyle/>
              <a:p>
                <a:pPr>
                  <a:defRPr b="1">
                    <a:latin typeface="Times New Roman" pitchFamily="18" charset="0"/>
                    <a:cs typeface="Times New Roman" pitchFamily="18" charset="0"/>
                  </a:defRPr>
                </a:pPr>
                <a:endParaRPr lang="lt-LT"/>
              </a:p>
            </c:tx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Lapas1!$B$2:$B$7</c:f>
              <c:numCache>
                <c:formatCode>General</c:formatCode>
                <c:ptCount val="6"/>
                <c:pt idx="0">
                  <c:v>518.4</c:v>
                </c:pt>
                <c:pt idx="1">
                  <c:v>460.3</c:v>
                </c:pt>
                <c:pt idx="2">
                  <c:v>522.6</c:v>
                </c:pt>
                <c:pt idx="3">
                  <c:v>566.70000000000005</c:v>
                </c:pt>
                <c:pt idx="4">
                  <c:v>522.1</c:v>
                </c:pt>
                <c:pt idx="5">
                  <c:v>489.7</c:v>
                </c:pt>
              </c:numCache>
            </c:numRef>
          </c:val>
        </c:ser>
        <c:ser>
          <c:idx val="1"/>
          <c:order val="1"/>
          <c:tx>
            <c:strRef>
              <c:f>Lapas1!$C$1</c:f>
              <c:strCache>
                <c:ptCount val="1"/>
                <c:pt idx="0">
                  <c:v>Lietuvos Respublika</c:v>
                </c:pt>
              </c:strCache>
            </c:strRef>
          </c:tx>
          <c:spPr>
            <a:solidFill>
              <a:srgbClr val="00FF00"/>
            </a:solidFill>
          </c:spPr>
          <c:dLbls>
            <c:dLbl>
              <c:idx val="0"/>
              <c:layout>
                <c:manualLayout>
                  <c:x val="1.6282163447518441E-2"/>
                  <c:y val="-1.4046700337756585E-2"/>
                </c:manualLayout>
              </c:layout>
              <c:dLblPos val="outEnd"/>
              <c:showVal val="1"/>
            </c:dLbl>
            <c:dLbl>
              <c:idx val="1"/>
              <c:layout>
                <c:manualLayout>
                  <c:x val="0"/>
                  <c:y val="2.0417019585700124E-3"/>
                </c:manualLayout>
              </c:layout>
              <c:dLblPos val="outEnd"/>
              <c:showVal val="1"/>
            </c:dLbl>
            <c:dLbl>
              <c:idx val="2"/>
              <c:layout>
                <c:manualLayout>
                  <c:x val="1.6282051282051815E-2"/>
                  <c:y val="1.1747430249633695E-2"/>
                </c:manualLayout>
              </c:layout>
              <c:dLblPos val="outEnd"/>
              <c:showVal val="1"/>
            </c:dLbl>
            <c:dLbl>
              <c:idx val="3"/>
              <c:layout>
                <c:manualLayout>
                  <c:x val="1.6282051282051815E-2"/>
                  <c:y val="0"/>
                </c:manualLayout>
              </c:layout>
              <c:dLblPos val="outEnd"/>
              <c:showVal val="1"/>
            </c:dLbl>
            <c:dLbl>
              <c:idx val="4"/>
              <c:layout>
                <c:manualLayout>
                  <c:x val="2.9096628878836953E-3"/>
                  <c:y val="-6.7398106768185514E-3"/>
                </c:manualLayout>
              </c:layout>
              <c:dLblPos val="outEnd"/>
              <c:showVal val="1"/>
            </c:dLbl>
            <c:dLbl>
              <c:idx val="5"/>
              <c:layout>
                <c:manualLayout>
                  <c:x val="1.1820330969267424E-2"/>
                  <c:y val="0"/>
                </c:manualLayout>
              </c:layout>
              <c:dLblPos val="outEnd"/>
              <c:showVal val="1"/>
            </c:dLbl>
            <c:spPr>
              <a:noFill/>
              <a:ln w="25354">
                <a:noFill/>
              </a:ln>
            </c:spPr>
            <c:txPr>
              <a:bodyPr/>
              <a:lstStyle/>
              <a:p>
                <a:pPr>
                  <a:defRPr b="1">
                    <a:latin typeface="Times New Roman" pitchFamily="18" charset="0"/>
                    <a:cs typeface="Times New Roman" pitchFamily="18" charset="0"/>
                  </a:defRPr>
                </a:pPr>
                <a:endParaRPr lang="lt-LT"/>
              </a:p>
            </c:txPr>
            <c:showVal val="1"/>
          </c:dLbls>
          <c:cat>
            <c:numRef>
              <c:f>Lapas1!$A$2:$A$7</c:f>
              <c:numCache>
                <c:formatCode>General</c:formatCode>
                <c:ptCount val="6"/>
                <c:pt idx="0">
                  <c:v>2004</c:v>
                </c:pt>
                <c:pt idx="1">
                  <c:v>2005</c:v>
                </c:pt>
                <c:pt idx="2">
                  <c:v>2006</c:v>
                </c:pt>
                <c:pt idx="3">
                  <c:v>2007</c:v>
                </c:pt>
                <c:pt idx="4">
                  <c:v>2008</c:v>
                </c:pt>
                <c:pt idx="5">
                  <c:v>2009</c:v>
                </c:pt>
              </c:numCache>
            </c:numRef>
          </c:cat>
          <c:val>
            <c:numRef>
              <c:f>Lapas1!$C$2:$C$7</c:f>
              <c:numCache>
                <c:formatCode>General</c:formatCode>
                <c:ptCount val="6"/>
                <c:pt idx="0">
                  <c:v>465.5</c:v>
                </c:pt>
                <c:pt idx="1">
                  <c:v>473.8</c:v>
                </c:pt>
                <c:pt idx="2">
                  <c:v>473.2</c:v>
                </c:pt>
                <c:pt idx="3">
                  <c:v>484.1</c:v>
                </c:pt>
                <c:pt idx="4">
                  <c:v>481.1</c:v>
                </c:pt>
                <c:pt idx="5">
                  <c:v>498.7</c:v>
                </c:pt>
              </c:numCache>
            </c:numRef>
          </c:val>
        </c:ser>
        <c:dLbls>
          <c:showVal val="1"/>
        </c:dLbls>
        <c:overlap val="-23"/>
        <c:axId val="222355456"/>
        <c:axId val="222356992"/>
      </c:barChart>
      <c:catAx>
        <c:axId val="222355456"/>
        <c:scaling>
          <c:orientation val="minMax"/>
        </c:scaling>
        <c:axPos val="l"/>
        <c:majorGridlines/>
        <c:numFmt formatCode="General" sourceLinked="1"/>
        <c:majorTickMark val="none"/>
        <c:tickLblPos val="nextTo"/>
        <c:txPr>
          <a:bodyPr rot="0" vert="horz"/>
          <a:lstStyle/>
          <a:p>
            <a:pPr>
              <a:defRPr sz="858" b="1" i="0" u="none" strike="noStrike" baseline="0">
                <a:solidFill>
                  <a:srgbClr val="000000"/>
                </a:solidFill>
                <a:latin typeface="Times New Roman"/>
                <a:ea typeface="Times New Roman"/>
                <a:cs typeface="Times New Roman"/>
              </a:defRPr>
            </a:pPr>
            <a:endParaRPr lang="lt-LT"/>
          </a:p>
        </c:txPr>
        <c:crossAx val="222356992"/>
        <c:crosses val="autoZero"/>
        <c:auto val="1"/>
        <c:lblAlgn val="ctr"/>
        <c:lblOffset val="100"/>
      </c:catAx>
      <c:valAx>
        <c:axId val="222356992"/>
        <c:scaling>
          <c:orientation val="minMax"/>
        </c:scaling>
        <c:delete val="1"/>
        <c:axPos val="b"/>
        <c:numFmt formatCode="General" sourceLinked="1"/>
        <c:tickLblPos val="none"/>
        <c:crossAx val="222355456"/>
        <c:crosses val="autoZero"/>
        <c:crossBetween val="between"/>
      </c:valAx>
      <c:spPr>
        <a:noFill/>
        <a:ln w="25354">
          <a:noFill/>
        </a:ln>
      </c:spPr>
    </c:plotArea>
    <c:legend>
      <c:legendPos val="r"/>
      <c:layout>
        <c:manualLayout>
          <c:xMode val="edge"/>
          <c:yMode val="edge"/>
          <c:x val="0.68481008270192634"/>
          <c:y val="0.29357790046359145"/>
          <c:w val="0.30126578517307989"/>
          <c:h val="0.33333333333333337"/>
        </c:manualLayout>
      </c:layout>
      <c:txPr>
        <a:bodyPr/>
        <a:lstStyle/>
        <a:p>
          <a:pPr>
            <a:defRPr b="1">
              <a:latin typeface="Times New Roman" pitchFamily="18" charset="0"/>
              <a:cs typeface="Times New Roman" pitchFamily="18" charset="0"/>
            </a:defRPr>
          </a:pPr>
          <a:endParaRPr lang="lt-LT"/>
        </a:p>
      </c:txPr>
    </c:legend>
    <c:plotVisOnly val="1"/>
    <c:dispBlanksAs val="gap"/>
  </c:chart>
  <c:spPr>
    <a:solidFill>
      <a:sysClr val="window" lastClr="FFFFFF"/>
    </a:solidFill>
    <a:ln w="10907"/>
    <a:effectLst>
      <a:softEdge rad="127000"/>
    </a:effectLst>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lt-LT"/>
  <c:style val="26"/>
  <c:chart>
    <c:plotArea>
      <c:layout>
        <c:manualLayout>
          <c:layoutTarget val="inner"/>
          <c:xMode val="edge"/>
          <c:yMode val="edge"/>
          <c:x val="0.47706381079875082"/>
          <c:y val="2.1279512879683143E-2"/>
          <c:w val="0.49448906738066167"/>
          <c:h val="0.80220924565637364"/>
        </c:manualLayout>
      </c:layout>
      <c:barChart>
        <c:barDir val="bar"/>
        <c:grouping val="clustered"/>
        <c:ser>
          <c:idx val="0"/>
          <c:order val="0"/>
          <c:tx>
            <c:strRef>
              <c:f>Lapas1!$B$1</c:f>
              <c:strCache>
                <c:ptCount val="1"/>
                <c:pt idx="0">
                  <c:v>Vyrai</c:v>
                </c:pt>
              </c:strCache>
            </c:strRef>
          </c:tx>
          <c:spPr>
            <a:solidFill>
              <a:srgbClr val="00B0F0"/>
            </a:solidFill>
          </c:spPr>
          <c:dLbls>
            <c:spPr>
              <a:noFill/>
              <a:ln w="25398">
                <a:noFill/>
              </a:ln>
            </c:spPr>
            <c:showVal val="1"/>
          </c:dLbls>
          <c:cat>
            <c:strRef>
              <c:f>Lapas1!$A$2:$A$11</c:f>
              <c:strCache>
                <c:ptCount val="10"/>
                <c:pt idx="0">
                  <c:v>Lūpų, burnos ertmė ir ryklė</c:v>
                </c:pt>
                <c:pt idx="1">
                  <c:v>Virškinimo organai</c:v>
                </c:pt>
                <c:pt idx="2">
                  <c:v>Kvėpavimo ir krūtinės ląstos organai</c:v>
                </c:pt>
                <c:pt idx="3">
                  <c:v>Odos melanoma ir kt. odos piktybiniai navikai</c:v>
                </c:pt>
                <c:pt idx="4">
                  <c:v>Krūtis</c:v>
                </c:pt>
                <c:pt idx="5">
                  <c:v>Moters lytiniai organai</c:v>
                </c:pt>
                <c:pt idx="6">
                  <c:v>Priešinė liauka</c:v>
                </c:pt>
                <c:pt idx="7">
                  <c:v>Šlapimą išskiriantys organai</c:v>
                </c:pt>
                <c:pt idx="8">
                  <c:v>Skydliaukė ir kitos vidaus sekrecijos liaukos</c:v>
                </c:pt>
                <c:pt idx="9">
                  <c:v>Limfiniai, kraujodaros ir jiems giminingi audiniai</c:v>
                </c:pt>
              </c:strCache>
            </c:strRef>
          </c:cat>
          <c:val>
            <c:numRef>
              <c:f>Lapas1!$B$2:$B$11</c:f>
              <c:numCache>
                <c:formatCode>General</c:formatCode>
                <c:ptCount val="10"/>
                <c:pt idx="0">
                  <c:v>20.9</c:v>
                </c:pt>
                <c:pt idx="1">
                  <c:v>101</c:v>
                </c:pt>
                <c:pt idx="2">
                  <c:v>69.7</c:v>
                </c:pt>
                <c:pt idx="3">
                  <c:v>61</c:v>
                </c:pt>
                <c:pt idx="4">
                  <c:v>1.7</c:v>
                </c:pt>
                <c:pt idx="6">
                  <c:v>176</c:v>
                </c:pt>
                <c:pt idx="7">
                  <c:v>52.3</c:v>
                </c:pt>
                <c:pt idx="8">
                  <c:v>1.7</c:v>
                </c:pt>
                <c:pt idx="9">
                  <c:v>43.6</c:v>
                </c:pt>
              </c:numCache>
            </c:numRef>
          </c:val>
        </c:ser>
        <c:ser>
          <c:idx val="1"/>
          <c:order val="1"/>
          <c:tx>
            <c:strRef>
              <c:f>Lapas1!$C$1</c:f>
              <c:strCache>
                <c:ptCount val="1"/>
                <c:pt idx="0">
                  <c:v>Moterys</c:v>
                </c:pt>
              </c:strCache>
            </c:strRef>
          </c:tx>
          <c:spPr>
            <a:solidFill>
              <a:srgbClr val="FF0000"/>
            </a:solidFill>
          </c:spPr>
          <c:dLbls>
            <c:spPr>
              <a:noFill/>
              <a:ln w="25398">
                <a:noFill/>
              </a:ln>
            </c:spPr>
            <c:showVal val="1"/>
          </c:dLbls>
          <c:cat>
            <c:strRef>
              <c:f>Lapas1!$A$2:$A$11</c:f>
              <c:strCache>
                <c:ptCount val="10"/>
                <c:pt idx="0">
                  <c:v>Lūpų, burnos ertmė ir ryklė</c:v>
                </c:pt>
                <c:pt idx="1">
                  <c:v>Virškinimo organai</c:v>
                </c:pt>
                <c:pt idx="2">
                  <c:v>Kvėpavimo ir krūtinės ląstos organai</c:v>
                </c:pt>
                <c:pt idx="3">
                  <c:v>Odos melanoma ir kt. odos piktybiniai navikai</c:v>
                </c:pt>
                <c:pt idx="4">
                  <c:v>Krūtis</c:v>
                </c:pt>
                <c:pt idx="5">
                  <c:v>Moters lytiniai organai</c:v>
                </c:pt>
                <c:pt idx="6">
                  <c:v>Priešinė liauka</c:v>
                </c:pt>
                <c:pt idx="7">
                  <c:v>Šlapimą išskiriantys organai</c:v>
                </c:pt>
                <c:pt idx="8">
                  <c:v>Skydliaukė ir kitos vidaus sekrecijos liaukos</c:v>
                </c:pt>
                <c:pt idx="9">
                  <c:v>Limfiniai, kraujodaros ir jiems giminingi audiniai</c:v>
                </c:pt>
              </c:strCache>
            </c:strRef>
          </c:cat>
          <c:val>
            <c:numRef>
              <c:f>Lapas1!$C$2:$C$11</c:f>
              <c:numCache>
                <c:formatCode>General</c:formatCode>
                <c:ptCount val="10"/>
                <c:pt idx="0">
                  <c:v>1.5</c:v>
                </c:pt>
                <c:pt idx="1">
                  <c:v>71.2</c:v>
                </c:pt>
                <c:pt idx="2">
                  <c:v>18.899999999999999</c:v>
                </c:pt>
                <c:pt idx="3">
                  <c:v>87.2</c:v>
                </c:pt>
                <c:pt idx="4">
                  <c:v>94.5</c:v>
                </c:pt>
                <c:pt idx="5">
                  <c:v>84.3</c:v>
                </c:pt>
                <c:pt idx="7">
                  <c:v>13.1</c:v>
                </c:pt>
                <c:pt idx="8">
                  <c:v>20.3</c:v>
                </c:pt>
                <c:pt idx="9">
                  <c:v>24.7</c:v>
                </c:pt>
              </c:numCache>
            </c:numRef>
          </c:val>
        </c:ser>
        <c:overlap val="-25"/>
        <c:axId val="268224000"/>
        <c:axId val="268225536"/>
      </c:barChart>
      <c:catAx>
        <c:axId val="268224000"/>
        <c:scaling>
          <c:orientation val="minMax"/>
        </c:scaling>
        <c:axPos val="l"/>
        <c:majorGridlines/>
        <c:numFmt formatCode="General" sourceLinked="1"/>
        <c:tickLblPos val="nextTo"/>
        <c:txPr>
          <a:bodyPr/>
          <a:lstStyle/>
          <a:p>
            <a:pPr>
              <a:defRPr sz="988"/>
            </a:pPr>
            <a:endParaRPr lang="lt-LT"/>
          </a:p>
        </c:txPr>
        <c:crossAx val="268225536"/>
        <c:crosses val="autoZero"/>
        <c:auto val="1"/>
        <c:lblAlgn val="ctr"/>
        <c:lblOffset val="100"/>
      </c:catAx>
      <c:valAx>
        <c:axId val="268225536"/>
        <c:scaling>
          <c:orientation val="minMax"/>
        </c:scaling>
        <c:axPos val="b"/>
        <c:numFmt formatCode="General" sourceLinked="1"/>
        <c:tickLblPos val="nextTo"/>
        <c:crossAx val="268224000"/>
        <c:crosses val="autoZero"/>
        <c:crossBetween val="between"/>
      </c:valAx>
      <c:spPr>
        <a:noFill/>
        <a:ln w="25398">
          <a:noFill/>
        </a:ln>
      </c:spPr>
    </c:plotArea>
    <c:legend>
      <c:legendPos val="r"/>
      <c:layout>
        <c:manualLayout>
          <c:xMode val="edge"/>
          <c:yMode val="edge"/>
          <c:x val="0.40577887139107627"/>
          <c:y val="0.89048997034215482"/>
          <c:w val="0.20477395013123334"/>
          <c:h val="6.9164368894321759E-2"/>
        </c:manualLayout>
      </c:layout>
      <c:txPr>
        <a:bodyPr/>
        <a:lstStyle/>
        <a:p>
          <a:pPr>
            <a:defRPr sz="988"/>
          </a:pPr>
          <a:endParaRPr lang="lt-LT"/>
        </a:p>
      </c:txPr>
    </c:legend>
    <c:plotVisOnly val="1"/>
    <c:dispBlanksAs val="gap"/>
  </c:chart>
  <c:spPr>
    <a:solidFill>
      <a:sysClr val="window" lastClr="FFFFFF"/>
    </a:solidFill>
  </c:spPr>
  <c:txPr>
    <a:bodyPr/>
    <a:lstStyle/>
    <a:p>
      <a:pPr>
        <a:defRPr sz="751" b="1">
          <a:latin typeface="Times New Roman" pitchFamily="18" charset="0"/>
          <a:cs typeface="Times New Roman" pitchFamily="18" charset="0"/>
        </a:defRPr>
      </a:pPr>
      <a:endParaRPr lang="lt-LT"/>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73DC0B-4391-4E9D-97EB-4161EC0ABB07}" type="doc">
      <dgm:prSet loTypeId="urn:microsoft.com/office/officeart/2005/8/layout/vProcess5" loCatId="process" qsTypeId="urn:microsoft.com/office/officeart/2005/8/quickstyle/3d2" qsCatId="3D" csTypeId="urn:microsoft.com/office/officeart/2005/8/colors/colorful1" csCatId="colorful" phldr="1"/>
      <dgm:spPr/>
      <dgm:t>
        <a:bodyPr/>
        <a:lstStyle/>
        <a:p>
          <a:endParaRPr lang="lt-LT"/>
        </a:p>
      </dgm:t>
    </dgm:pt>
    <dgm:pt modelId="{3A85D1FB-BAB8-43B8-AB58-B031D7F82D46}">
      <dgm:prSet phldrT="[Tekstas]" custT="1"/>
      <dgm:spPr/>
      <dgm:t>
        <a:bodyPr/>
        <a:lstStyle/>
        <a:p>
          <a:pPr algn="just"/>
          <a:r>
            <a:rPr lang="lt-LT" sz="1400" b="1">
              <a:latin typeface="Times New Roman" pitchFamily="18" charset="0"/>
              <a:cs typeface="Times New Roman" pitchFamily="18" charset="0"/>
            </a:rPr>
            <a:t>BIUDŽETO SUDARYMAS IR KONTROLĖ</a:t>
          </a:r>
        </a:p>
      </dgm:t>
    </dgm:pt>
    <dgm:pt modelId="{0864D1A6-38C2-4552-8777-1BBABAB35572}" type="parTrans" cxnId="{4F3E47C0-1307-44D5-835E-1A020AC02DCE}">
      <dgm:prSet/>
      <dgm:spPr/>
      <dgm:t>
        <a:bodyPr/>
        <a:lstStyle/>
        <a:p>
          <a:pPr algn="just"/>
          <a:endParaRPr lang="lt-LT"/>
        </a:p>
      </dgm:t>
    </dgm:pt>
    <dgm:pt modelId="{D4093BAF-A7D7-4154-9DF2-5D63E42112D9}" type="sibTrans" cxnId="{4F3E47C0-1307-44D5-835E-1A020AC02DCE}">
      <dgm:prSet/>
      <dgm:spPr/>
      <dgm:t>
        <a:bodyPr/>
        <a:lstStyle/>
        <a:p>
          <a:pPr algn="just"/>
          <a:endParaRPr lang="lt-LT"/>
        </a:p>
      </dgm:t>
    </dgm:pt>
    <dgm:pt modelId="{DEDE8C16-6EB9-44A6-A869-18754F690955}">
      <dgm:prSet phldrT="[Tekstas]" custT="1"/>
      <dgm:spPr/>
      <dgm:t>
        <a:bodyPr/>
        <a:lstStyle/>
        <a:p>
          <a:pPr algn="just"/>
          <a:r>
            <a:rPr lang="lt-LT" sz="1400" b="1">
              <a:latin typeface="Times New Roman" pitchFamily="18" charset="0"/>
              <a:cs typeface="Times New Roman" pitchFamily="18" charset="0"/>
            </a:rPr>
            <a:t>ILGALAIKIS PLANAVIMAS</a:t>
          </a:r>
        </a:p>
      </dgm:t>
    </dgm:pt>
    <dgm:pt modelId="{E0659FBD-A60C-4953-A3F6-88D3122DD8FB}" type="parTrans" cxnId="{9FCBA6C7-692C-4652-9FA8-955E40EF5C5A}">
      <dgm:prSet/>
      <dgm:spPr/>
      <dgm:t>
        <a:bodyPr/>
        <a:lstStyle/>
        <a:p>
          <a:pPr algn="just"/>
          <a:endParaRPr lang="lt-LT"/>
        </a:p>
      </dgm:t>
    </dgm:pt>
    <dgm:pt modelId="{0E2FFA78-68C0-422D-8D76-693FEA2EBC64}" type="sibTrans" cxnId="{9FCBA6C7-692C-4652-9FA8-955E40EF5C5A}">
      <dgm:prSet/>
      <dgm:spPr/>
      <dgm:t>
        <a:bodyPr/>
        <a:lstStyle/>
        <a:p>
          <a:pPr algn="just"/>
          <a:endParaRPr lang="lt-LT"/>
        </a:p>
      </dgm:t>
    </dgm:pt>
    <dgm:pt modelId="{1492EA18-DCF3-48CA-B36F-A3D380C55210}">
      <dgm:prSet phldrT="[Tekstas]" custT="1"/>
      <dgm:spPr/>
      <dgm:t>
        <a:bodyPr/>
        <a:lstStyle/>
        <a:p>
          <a:pPr algn="just"/>
          <a:r>
            <a:rPr lang="lt-LT" sz="1400" b="1">
              <a:latin typeface="Times New Roman" pitchFamily="18" charset="0"/>
              <a:cs typeface="Times New Roman" pitchFamily="18" charset="0"/>
            </a:rPr>
            <a:t>STRATEGINIS PLANAVIMAS</a:t>
          </a:r>
        </a:p>
      </dgm:t>
    </dgm:pt>
    <dgm:pt modelId="{5DC5DD8C-3B75-41F0-835C-0BD680F63F18}" type="parTrans" cxnId="{9968F781-86C8-42C0-9D1B-B2145AB28686}">
      <dgm:prSet/>
      <dgm:spPr/>
      <dgm:t>
        <a:bodyPr/>
        <a:lstStyle/>
        <a:p>
          <a:pPr algn="just"/>
          <a:endParaRPr lang="lt-LT"/>
        </a:p>
      </dgm:t>
    </dgm:pt>
    <dgm:pt modelId="{D10C9567-02A9-4718-BDFB-C41ADA300BEC}" type="sibTrans" cxnId="{9968F781-86C8-42C0-9D1B-B2145AB28686}">
      <dgm:prSet/>
      <dgm:spPr/>
      <dgm:t>
        <a:bodyPr/>
        <a:lstStyle/>
        <a:p>
          <a:pPr algn="just"/>
          <a:endParaRPr lang="lt-LT"/>
        </a:p>
      </dgm:t>
    </dgm:pt>
    <dgm:pt modelId="{2BF6194C-C66D-4FCD-A6E2-EE83C063ECC1}">
      <dgm:prSet custT="1"/>
      <dgm:spPr/>
      <dgm:t>
        <a:bodyPr/>
        <a:lstStyle/>
        <a:p>
          <a:pPr algn="just"/>
          <a:r>
            <a:rPr lang="lt-LT" sz="1400" b="1">
              <a:latin typeface="Times New Roman" pitchFamily="18" charset="0"/>
              <a:cs typeface="Times New Roman" pitchFamily="18" charset="0"/>
            </a:rPr>
            <a:t>STARTEGINIS VALDYMAS</a:t>
          </a:r>
        </a:p>
      </dgm:t>
    </dgm:pt>
    <dgm:pt modelId="{C313DF68-6521-4E83-B5B8-618160AC749B}" type="parTrans" cxnId="{E9DE6C73-3E04-4CE5-BC64-526B46184A17}">
      <dgm:prSet/>
      <dgm:spPr/>
      <dgm:t>
        <a:bodyPr/>
        <a:lstStyle/>
        <a:p>
          <a:pPr algn="just"/>
          <a:endParaRPr lang="lt-LT"/>
        </a:p>
      </dgm:t>
    </dgm:pt>
    <dgm:pt modelId="{4C7182FC-B3BB-45B0-9267-52568F325EE1}" type="sibTrans" cxnId="{E9DE6C73-3E04-4CE5-BC64-526B46184A17}">
      <dgm:prSet/>
      <dgm:spPr/>
      <dgm:t>
        <a:bodyPr/>
        <a:lstStyle/>
        <a:p>
          <a:pPr algn="just"/>
          <a:endParaRPr lang="lt-LT"/>
        </a:p>
      </dgm:t>
    </dgm:pt>
    <dgm:pt modelId="{7C952506-98E1-4051-B034-AC0AA24E1A27}" type="pres">
      <dgm:prSet presAssocID="{9873DC0B-4391-4E9D-97EB-4161EC0ABB07}" presName="outerComposite" presStyleCnt="0">
        <dgm:presLayoutVars>
          <dgm:chMax val="5"/>
          <dgm:dir/>
          <dgm:resizeHandles val="exact"/>
        </dgm:presLayoutVars>
      </dgm:prSet>
      <dgm:spPr/>
      <dgm:t>
        <a:bodyPr/>
        <a:lstStyle/>
        <a:p>
          <a:endParaRPr lang="lt-LT"/>
        </a:p>
      </dgm:t>
    </dgm:pt>
    <dgm:pt modelId="{9957C2F0-B1C7-4242-9748-360992A76621}" type="pres">
      <dgm:prSet presAssocID="{9873DC0B-4391-4E9D-97EB-4161EC0ABB07}" presName="dummyMaxCanvas" presStyleCnt="0">
        <dgm:presLayoutVars/>
      </dgm:prSet>
      <dgm:spPr/>
    </dgm:pt>
    <dgm:pt modelId="{D3382615-F64E-454B-ABE6-D167D6CBCE03}" type="pres">
      <dgm:prSet presAssocID="{9873DC0B-4391-4E9D-97EB-4161EC0ABB07}" presName="FourNodes_1" presStyleLbl="node1" presStyleIdx="0" presStyleCnt="4">
        <dgm:presLayoutVars>
          <dgm:bulletEnabled val="1"/>
        </dgm:presLayoutVars>
      </dgm:prSet>
      <dgm:spPr/>
      <dgm:t>
        <a:bodyPr/>
        <a:lstStyle/>
        <a:p>
          <a:endParaRPr lang="lt-LT"/>
        </a:p>
      </dgm:t>
    </dgm:pt>
    <dgm:pt modelId="{7BD0D3D1-15B5-4725-8CB7-806D11F3FDB9}" type="pres">
      <dgm:prSet presAssocID="{9873DC0B-4391-4E9D-97EB-4161EC0ABB07}" presName="FourNodes_2" presStyleLbl="node1" presStyleIdx="1" presStyleCnt="4">
        <dgm:presLayoutVars>
          <dgm:bulletEnabled val="1"/>
        </dgm:presLayoutVars>
      </dgm:prSet>
      <dgm:spPr/>
      <dgm:t>
        <a:bodyPr/>
        <a:lstStyle/>
        <a:p>
          <a:endParaRPr lang="lt-LT"/>
        </a:p>
      </dgm:t>
    </dgm:pt>
    <dgm:pt modelId="{7D0D0AE8-7AC9-4571-B62C-6D621F9BEC96}" type="pres">
      <dgm:prSet presAssocID="{9873DC0B-4391-4E9D-97EB-4161EC0ABB07}" presName="FourNodes_3" presStyleLbl="node1" presStyleIdx="2" presStyleCnt="4">
        <dgm:presLayoutVars>
          <dgm:bulletEnabled val="1"/>
        </dgm:presLayoutVars>
      </dgm:prSet>
      <dgm:spPr/>
      <dgm:t>
        <a:bodyPr/>
        <a:lstStyle/>
        <a:p>
          <a:endParaRPr lang="lt-LT"/>
        </a:p>
      </dgm:t>
    </dgm:pt>
    <dgm:pt modelId="{BD9A17A6-F06E-4FBB-8F02-69E889EDE249}" type="pres">
      <dgm:prSet presAssocID="{9873DC0B-4391-4E9D-97EB-4161EC0ABB07}" presName="FourNodes_4" presStyleLbl="node1" presStyleIdx="3" presStyleCnt="4">
        <dgm:presLayoutVars>
          <dgm:bulletEnabled val="1"/>
        </dgm:presLayoutVars>
      </dgm:prSet>
      <dgm:spPr/>
      <dgm:t>
        <a:bodyPr/>
        <a:lstStyle/>
        <a:p>
          <a:endParaRPr lang="lt-LT"/>
        </a:p>
      </dgm:t>
    </dgm:pt>
    <dgm:pt modelId="{5A7D7E88-5F91-4E0E-A042-9FDD9642609E}" type="pres">
      <dgm:prSet presAssocID="{9873DC0B-4391-4E9D-97EB-4161EC0ABB07}" presName="FourConn_1-2" presStyleLbl="fgAccFollowNode1" presStyleIdx="0" presStyleCnt="3">
        <dgm:presLayoutVars>
          <dgm:bulletEnabled val="1"/>
        </dgm:presLayoutVars>
      </dgm:prSet>
      <dgm:spPr/>
      <dgm:t>
        <a:bodyPr/>
        <a:lstStyle/>
        <a:p>
          <a:endParaRPr lang="lt-LT"/>
        </a:p>
      </dgm:t>
    </dgm:pt>
    <dgm:pt modelId="{81242D02-3337-413A-95BA-95B4C74CE1D7}" type="pres">
      <dgm:prSet presAssocID="{9873DC0B-4391-4E9D-97EB-4161EC0ABB07}" presName="FourConn_2-3" presStyleLbl="fgAccFollowNode1" presStyleIdx="1" presStyleCnt="3">
        <dgm:presLayoutVars>
          <dgm:bulletEnabled val="1"/>
        </dgm:presLayoutVars>
      </dgm:prSet>
      <dgm:spPr/>
      <dgm:t>
        <a:bodyPr/>
        <a:lstStyle/>
        <a:p>
          <a:endParaRPr lang="lt-LT"/>
        </a:p>
      </dgm:t>
    </dgm:pt>
    <dgm:pt modelId="{22A4EDC8-D1EF-4AFF-ADC1-8385AD97445E}" type="pres">
      <dgm:prSet presAssocID="{9873DC0B-4391-4E9D-97EB-4161EC0ABB07}" presName="FourConn_3-4" presStyleLbl="fgAccFollowNode1" presStyleIdx="2" presStyleCnt="3">
        <dgm:presLayoutVars>
          <dgm:bulletEnabled val="1"/>
        </dgm:presLayoutVars>
      </dgm:prSet>
      <dgm:spPr/>
      <dgm:t>
        <a:bodyPr/>
        <a:lstStyle/>
        <a:p>
          <a:endParaRPr lang="lt-LT"/>
        </a:p>
      </dgm:t>
    </dgm:pt>
    <dgm:pt modelId="{1B8EB957-CBE7-42BE-969B-DE2248A380D1}" type="pres">
      <dgm:prSet presAssocID="{9873DC0B-4391-4E9D-97EB-4161EC0ABB07}" presName="FourNodes_1_text" presStyleLbl="node1" presStyleIdx="3" presStyleCnt="4">
        <dgm:presLayoutVars>
          <dgm:bulletEnabled val="1"/>
        </dgm:presLayoutVars>
      </dgm:prSet>
      <dgm:spPr/>
      <dgm:t>
        <a:bodyPr/>
        <a:lstStyle/>
        <a:p>
          <a:endParaRPr lang="lt-LT"/>
        </a:p>
      </dgm:t>
    </dgm:pt>
    <dgm:pt modelId="{F5060C29-80BC-4401-8355-18AEBD985967}" type="pres">
      <dgm:prSet presAssocID="{9873DC0B-4391-4E9D-97EB-4161EC0ABB07}" presName="FourNodes_2_text" presStyleLbl="node1" presStyleIdx="3" presStyleCnt="4">
        <dgm:presLayoutVars>
          <dgm:bulletEnabled val="1"/>
        </dgm:presLayoutVars>
      </dgm:prSet>
      <dgm:spPr/>
      <dgm:t>
        <a:bodyPr/>
        <a:lstStyle/>
        <a:p>
          <a:endParaRPr lang="lt-LT"/>
        </a:p>
      </dgm:t>
    </dgm:pt>
    <dgm:pt modelId="{23E173C5-4C2A-41EF-A80D-B2DE05DE4974}" type="pres">
      <dgm:prSet presAssocID="{9873DC0B-4391-4E9D-97EB-4161EC0ABB07}" presName="FourNodes_3_text" presStyleLbl="node1" presStyleIdx="3" presStyleCnt="4">
        <dgm:presLayoutVars>
          <dgm:bulletEnabled val="1"/>
        </dgm:presLayoutVars>
      </dgm:prSet>
      <dgm:spPr/>
      <dgm:t>
        <a:bodyPr/>
        <a:lstStyle/>
        <a:p>
          <a:endParaRPr lang="lt-LT"/>
        </a:p>
      </dgm:t>
    </dgm:pt>
    <dgm:pt modelId="{B5956BB4-707D-4748-A9B7-96F3DF409949}" type="pres">
      <dgm:prSet presAssocID="{9873DC0B-4391-4E9D-97EB-4161EC0ABB07}" presName="FourNodes_4_text" presStyleLbl="node1" presStyleIdx="3" presStyleCnt="4">
        <dgm:presLayoutVars>
          <dgm:bulletEnabled val="1"/>
        </dgm:presLayoutVars>
      </dgm:prSet>
      <dgm:spPr/>
      <dgm:t>
        <a:bodyPr/>
        <a:lstStyle/>
        <a:p>
          <a:endParaRPr lang="lt-LT"/>
        </a:p>
      </dgm:t>
    </dgm:pt>
  </dgm:ptLst>
  <dgm:cxnLst>
    <dgm:cxn modelId="{65E2A1FA-B740-45A0-B46E-89F03487FBDB}" type="presOf" srcId="{2BF6194C-C66D-4FCD-A6E2-EE83C063ECC1}" destId="{BD9A17A6-F06E-4FBB-8F02-69E889EDE249}" srcOrd="0" destOrd="0" presId="urn:microsoft.com/office/officeart/2005/8/layout/vProcess5"/>
    <dgm:cxn modelId="{4F3E47C0-1307-44D5-835E-1A020AC02DCE}" srcId="{9873DC0B-4391-4E9D-97EB-4161EC0ABB07}" destId="{3A85D1FB-BAB8-43B8-AB58-B031D7F82D46}" srcOrd="0" destOrd="0" parTransId="{0864D1A6-38C2-4552-8777-1BBABAB35572}" sibTransId="{D4093BAF-A7D7-4154-9DF2-5D63E42112D9}"/>
    <dgm:cxn modelId="{AB668B70-390D-4CA9-9E4F-4F1EEAC5E27A}" type="presOf" srcId="{9873DC0B-4391-4E9D-97EB-4161EC0ABB07}" destId="{7C952506-98E1-4051-B034-AC0AA24E1A27}" srcOrd="0" destOrd="0" presId="urn:microsoft.com/office/officeart/2005/8/layout/vProcess5"/>
    <dgm:cxn modelId="{F195438D-4E2C-4419-BC88-47B0EDCC0BBC}" type="presOf" srcId="{D4093BAF-A7D7-4154-9DF2-5D63E42112D9}" destId="{5A7D7E88-5F91-4E0E-A042-9FDD9642609E}" srcOrd="0" destOrd="0" presId="urn:microsoft.com/office/officeart/2005/8/layout/vProcess5"/>
    <dgm:cxn modelId="{CD3A43DF-A4D5-4212-9EDE-93494941CD48}" type="presOf" srcId="{2BF6194C-C66D-4FCD-A6E2-EE83C063ECC1}" destId="{B5956BB4-707D-4748-A9B7-96F3DF409949}" srcOrd="1" destOrd="0" presId="urn:microsoft.com/office/officeart/2005/8/layout/vProcess5"/>
    <dgm:cxn modelId="{9FCBA6C7-692C-4652-9FA8-955E40EF5C5A}" srcId="{9873DC0B-4391-4E9D-97EB-4161EC0ABB07}" destId="{DEDE8C16-6EB9-44A6-A869-18754F690955}" srcOrd="1" destOrd="0" parTransId="{E0659FBD-A60C-4953-A3F6-88D3122DD8FB}" sibTransId="{0E2FFA78-68C0-422D-8D76-693FEA2EBC64}"/>
    <dgm:cxn modelId="{881035B8-0749-4274-B5C4-5D1C1C91C271}" type="presOf" srcId="{0E2FFA78-68C0-422D-8D76-693FEA2EBC64}" destId="{81242D02-3337-413A-95BA-95B4C74CE1D7}" srcOrd="0" destOrd="0" presId="urn:microsoft.com/office/officeart/2005/8/layout/vProcess5"/>
    <dgm:cxn modelId="{E9DE6C73-3E04-4CE5-BC64-526B46184A17}" srcId="{9873DC0B-4391-4E9D-97EB-4161EC0ABB07}" destId="{2BF6194C-C66D-4FCD-A6E2-EE83C063ECC1}" srcOrd="3" destOrd="0" parTransId="{C313DF68-6521-4E83-B5B8-618160AC749B}" sibTransId="{4C7182FC-B3BB-45B0-9267-52568F325EE1}"/>
    <dgm:cxn modelId="{A82A256D-CE90-4707-86A7-735D4FCE8014}" type="presOf" srcId="{1492EA18-DCF3-48CA-B36F-A3D380C55210}" destId="{23E173C5-4C2A-41EF-A80D-B2DE05DE4974}" srcOrd="1" destOrd="0" presId="urn:microsoft.com/office/officeart/2005/8/layout/vProcess5"/>
    <dgm:cxn modelId="{C15C71B7-7DDD-402D-B7D3-9E05AD9115DC}" type="presOf" srcId="{3A85D1FB-BAB8-43B8-AB58-B031D7F82D46}" destId="{1B8EB957-CBE7-42BE-969B-DE2248A380D1}" srcOrd="1" destOrd="0" presId="urn:microsoft.com/office/officeart/2005/8/layout/vProcess5"/>
    <dgm:cxn modelId="{9968F781-86C8-42C0-9D1B-B2145AB28686}" srcId="{9873DC0B-4391-4E9D-97EB-4161EC0ABB07}" destId="{1492EA18-DCF3-48CA-B36F-A3D380C55210}" srcOrd="2" destOrd="0" parTransId="{5DC5DD8C-3B75-41F0-835C-0BD680F63F18}" sibTransId="{D10C9567-02A9-4718-BDFB-C41ADA300BEC}"/>
    <dgm:cxn modelId="{0A9AB48B-6851-4A70-88B7-72B1762A7187}" type="presOf" srcId="{1492EA18-DCF3-48CA-B36F-A3D380C55210}" destId="{7D0D0AE8-7AC9-4571-B62C-6D621F9BEC96}" srcOrd="0" destOrd="0" presId="urn:microsoft.com/office/officeart/2005/8/layout/vProcess5"/>
    <dgm:cxn modelId="{30463A85-855B-444A-B7F0-7DE23D1E0590}" type="presOf" srcId="{DEDE8C16-6EB9-44A6-A869-18754F690955}" destId="{7BD0D3D1-15B5-4725-8CB7-806D11F3FDB9}" srcOrd="0" destOrd="0" presId="urn:microsoft.com/office/officeart/2005/8/layout/vProcess5"/>
    <dgm:cxn modelId="{4F309D99-688E-4966-8AC4-EAA604041DD5}" type="presOf" srcId="{D10C9567-02A9-4718-BDFB-C41ADA300BEC}" destId="{22A4EDC8-D1EF-4AFF-ADC1-8385AD97445E}" srcOrd="0" destOrd="0" presId="urn:microsoft.com/office/officeart/2005/8/layout/vProcess5"/>
    <dgm:cxn modelId="{2A1B9D3A-C128-434D-845C-06BF9296A8F4}" type="presOf" srcId="{3A85D1FB-BAB8-43B8-AB58-B031D7F82D46}" destId="{D3382615-F64E-454B-ABE6-D167D6CBCE03}" srcOrd="0" destOrd="0" presId="urn:microsoft.com/office/officeart/2005/8/layout/vProcess5"/>
    <dgm:cxn modelId="{014877A2-0579-4308-8CE7-127DE04B52A8}" type="presOf" srcId="{DEDE8C16-6EB9-44A6-A869-18754F690955}" destId="{F5060C29-80BC-4401-8355-18AEBD985967}" srcOrd="1" destOrd="0" presId="urn:microsoft.com/office/officeart/2005/8/layout/vProcess5"/>
    <dgm:cxn modelId="{7EF4E9A6-AD11-4EE9-829A-4B629A880361}" type="presParOf" srcId="{7C952506-98E1-4051-B034-AC0AA24E1A27}" destId="{9957C2F0-B1C7-4242-9748-360992A76621}" srcOrd="0" destOrd="0" presId="urn:microsoft.com/office/officeart/2005/8/layout/vProcess5"/>
    <dgm:cxn modelId="{2B61DFD9-4A38-4D4C-8C05-DCA6379E0511}" type="presParOf" srcId="{7C952506-98E1-4051-B034-AC0AA24E1A27}" destId="{D3382615-F64E-454B-ABE6-D167D6CBCE03}" srcOrd="1" destOrd="0" presId="urn:microsoft.com/office/officeart/2005/8/layout/vProcess5"/>
    <dgm:cxn modelId="{689FF86E-502A-4C87-BA82-95C0CBC85450}" type="presParOf" srcId="{7C952506-98E1-4051-B034-AC0AA24E1A27}" destId="{7BD0D3D1-15B5-4725-8CB7-806D11F3FDB9}" srcOrd="2" destOrd="0" presId="urn:microsoft.com/office/officeart/2005/8/layout/vProcess5"/>
    <dgm:cxn modelId="{4CA1A453-5AA2-4659-A5CE-9634B39D2CFA}" type="presParOf" srcId="{7C952506-98E1-4051-B034-AC0AA24E1A27}" destId="{7D0D0AE8-7AC9-4571-B62C-6D621F9BEC96}" srcOrd="3" destOrd="0" presId="urn:microsoft.com/office/officeart/2005/8/layout/vProcess5"/>
    <dgm:cxn modelId="{E4E64545-9FD5-4DE2-A3D4-0DD0792B5A6B}" type="presParOf" srcId="{7C952506-98E1-4051-B034-AC0AA24E1A27}" destId="{BD9A17A6-F06E-4FBB-8F02-69E889EDE249}" srcOrd="4" destOrd="0" presId="urn:microsoft.com/office/officeart/2005/8/layout/vProcess5"/>
    <dgm:cxn modelId="{C4C268F0-5469-4909-9CE2-350214653C51}" type="presParOf" srcId="{7C952506-98E1-4051-B034-AC0AA24E1A27}" destId="{5A7D7E88-5F91-4E0E-A042-9FDD9642609E}" srcOrd="5" destOrd="0" presId="urn:microsoft.com/office/officeart/2005/8/layout/vProcess5"/>
    <dgm:cxn modelId="{A01C20C4-4857-40BC-859A-26913AD79FB8}" type="presParOf" srcId="{7C952506-98E1-4051-B034-AC0AA24E1A27}" destId="{81242D02-3337-413A-95BA-95B4C74CE1D7}" srcOrd="6" destOrd="0" presId="urn:microsoft.com/office/officeart/2005/8/layout/vProcess5"/>
    <dgm:cxn modelId="{BA50B5F1-8506-43B5-B513-9A065E7EF60B}" type="presParOf" srcId="{7C952506-98E1-4051-B034-AC0AA24E1A27}" destId="{22A4EDC8-D1EF-4AFF-ADC1-8385AD97445E}" srcOrd="7" destOrd="0" presId="urn:microsoft.com/office/officeart/2005/8/layout/vProcess5"/>
    <dgm:cxn modelId="{823F8128-4A65-469E-91C9-A458B12028E0}" type="presParOf" srcId="{7C952506-98E1-4051-B034-AC0AA24E1A27}" destId="{1B8EB957-CBE7-42BE-969B-DE2248A380D1}" srcOrd="8" destOrd="0" presId="urn:microsoft.com/office/officeart/2005/8/layout/vProcess5"/>
    <dgm:cxn modelId="{E440F759-F3F6-4671-996E-203E1DB6B468}" type="presParOf" srcId="{7C952506-98E1-4051-B034-AC0AA24E1A27}" destId="{F5060C29-80BC-4401-8355-18AEBD985967}" srcOrd="9" destOrd="0" presId="urn:microsoft.com/office/officeart/2005/8/layout/vProcess5"/>
    <dgm:cxn modelId="{79337A9E-B788-490C-950A-7DFE48FF88CD}" type="presParOf" srcId="{7C952506-98E1-4051-B034-AC0AA24E1A27}" destId="{23E173C5-4C2A-41EF-A80D-B2DE05DE4974}" srcOrd="10" destOrd="0" presId="urn:microsoft.com/office/officeart/2005/8/layout/vProcess5"/>
    <dgm:cxn modelId="{075A1B4E-AEEF-472B-A0DA-988E635D752F}" type="presParOf" srcId="{7C952506-98E1-4051-B034-AC0AA24E1A27}" destId="{B5956BB4-707D-4748-A9B7-96F3DF409949}" srcOrd="11" destOrd="0" presId="urn:microsoft.com/office/officeart/2005/8/layout/vProcess5"/>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E24602-4DCB-4D43-B3E5-83B6398A5D64}" type="doc">
      <dgm:prSet loTypeId="urn:microsoft.com/office/officeart/2005/8/layout/list1" loCatId="list" qsTypeId="urn:microsoft.com/office/officeart/2005/8/quickstyle/3d2" qsCatId="3D" csTypeId="urn:microsoft.com/office/officeart/2005/8/colors/colorful1" csCatId="colorful" phldr="1"/>
      <dgm:spPr/>
      <dgm:t>
        <a:bodyPr/>
        <a:lstStyle/>
        <a:p>
          <a:endParaRPr lang="lt-LT"/>
        </a:p>
      </dgm:t>
    </dgm:pt>
    <dgm:pt modelId="{0FF30ABC-7C37-4F91-8F60-0DA1E39365BD}">
      <dgm:prSet phldrT="[Tekstas]" custT="1"/>
      <dgm:spPr/>
      <dgm:t>
        <a:bodyPr/>
        <a:lstStyle/>
        <a:p>
          <a:pPr algn="ctr"/>
          <a:r>
            <a:rPr lang="lt-LT" sz="1400" b="1">
              <a:latin typeface="Times New Roman" pitchFamily="18" charset="0"/>
              <a:cs typeface="Times New Roman" pitchFamily="18" charset="0"/>
            </a:rPr>
            <a:t>APLINKOS ANALIZĖ</a:t>
          </a:r>
        </a:p>
      </dgm:t>
    </dgm:pt>
    <dgm:pt modelId="{26A89484-F458-4E8C-BC40-F162205EA624}" type="parTrans" cxnId="{4E22DA07-2C8B-4F51-B079-7241E4A852FD}">
      <dgm:prSet/>
      <dgm:spPr/>
      <dgm:t>
        <a:bodyPr/>
        <a:lstStyle/>
        <a:p>
          <a:pPr algn="ctr"/>
          <a:endParaRPr lang="lt-LT"/>
        </a:p>
      </dgm:t>
    </dgm:pt>
    <dgm:pt modelId="{53EBDB55-EB08-4E27-8FFF-A1F7D6E5BE29}" type="sibTrans" cxnId="{4E22DA07-2C8B-4F51-B079-7241E4A852FD}">
      <dgm:prSet/>
      <dgm:spPr/>
      <dgm:t>
        <a:bodyPr/>
        <a:lstStyle/>
        <a:p>
          <a:pPr algn="ctr"/>
          <a:endParaRPr lang="lt-LT"/>
        </a:p>
      </dgm:t>
    </dgm:pt>
    <dgm:pt modelId="{85C810EF-AB2D-470E-B9BD-219797FC5B8B}">
      <dgm:prSet phldrT="[Tekstas]" custT="1"/>
      <dgm:spPr/>
      <dgm:t>
        <a:bodyPr/>
        <a:lstStyle/>
        <a:p>
          <a:pPr algn="ctr"/>
          <a:r>
            <a:rPr lang="lt-LT" sz="1400" b="1">
              <a:latin typeface="Times New Roman" pitchFamily="18" charset="0"/>
              <a:cs typeface="Times New Roman" pitchFamily="18" charset="0"/>
            </a:rPr>
            <a:t>STRATEGIJOS KŪRIMAS</a:t>
          </a:r>
        </a:p>
      </dgm:t>
    </dgm:pt>
    <dgm:pt modelId="{86391EBC-F8DC-4288-99B3-A9926D4CF6C0}" type="parTrans" cxnId="{D968F13C-1EAA-45AE-BEC4-48AF45CB6CFE}">
      <dgm:prSet/>
      <dgm:spPr/>
      <dgm:t>
        <a:bodyPr/>
        <a:lstStyle/>
        <a:p>
          <a:pPr algn="ctr"/>
          <a:endParaRPr lang="lt-LT"/>
        </a:p>
      </dgm:t>
    </dgm:pt>
    <dgm:pt modelId="{F1E08583-9C91-4EF4-9784-1A8A2F7814C8}" type="sibTrans" cxnId="{D968F13C-1EAA-45AE-BEC4-48AF45CB6CFE}">
      <dgm:prSet/>
      <dgm:spPr/>
      <dgm:t>
        <a:bodyPr/>
        <a:lstStyle/>
        <a:p>
          <a:pPr algn="ctr"/>
          <a:endParaRPr lang="lt-LT"/>
        </a:p>
      </dgm:t>
    </dgm:pt>
    <dgm:pt modelId="{F4588B64-EFC6-45B2-9ACD-E2DE18BF939A}">
      <dgm:prSet phldrT="[Tekstas]" custT="1"/>
      <dgm:spPr/>
      <dgm:t>
        <a:bodyPr/>
        <a:lstStyle/>
        <a:p>
          <a:pPr algn="ctr"/>
          <a:r>
            <a:rPr lang="lt-LT" sz="1400" b="1">
              <a:latin typeface="Times New Roman" pitchFamily="18" charset="0"/>
              <a:cs typeface="Times New Roman" pitchFamily="18" charset="0"/>
            </a:rPr>
            <a:t>STRATEGIJOS ĮGYVENDINIMAS</a:t>
          </a:r>
        </a:p>
      </dgm:t>
    </dgm:pt>
    <dgm:pt modelId="{67739AA0-93DE-4782-ADD2-94CB537D1DB8}" type="parTrans" cxnId="{F431DBF4-D84F-492A-81F9-74E17905DEC4}">
      <dgm:prSet/>
      <dgm:spPr/>
      <dgm:t>
        <a:bodyPr/>
        <a:lstStyle/>
        <a:p>
          <a:pPr algn="ctr"/>
          <a:endParaRPr lang="lt-LT"/>
        </a:p>
      </dgm:t>
    </dgm:pt>
    <dgm:pt modelId="{8C0092B1-C5B7-44AF-978A-68F7AC5C28D8}" type="sibTrans" cxnId="{F431DBF4-D84F-492A-81F9-74E17905DEC4}">
      <dgm:prSet/>
      <dgm:spPr/>
      <dgm:t>
        <a:bodyPr/>
        <a:lstStyle/>
        <a:p>
          <a:pPr algn="ctr"/>
          <a:endParaRPr lang="lt-LT"/>
        </a:p>
      </dgm:t>
    </dgm:pt>
    <dgm:pt modelId="{8368B4A7-7F2E-4147-AE98-71DC6DAFAA37}">
      <dgm:prSet custT="1"/>
      <dgm:spPr/>
      <dgm:t>
        <a:bodyPr/>
        <a:lstStyle/>
        <a:p>
          <a:pPr algn="ctr"/>
          <a:r>
            <a:rPr lang="lt-LT" sz="1400" b="1">
              <a:latin typeface="Times New Roman" pitchFamily="18" charset="0"/>
              <a:cs typeface="Times New Roman" pitchFamily="18" charset="0"/>
            </a:rPr>
            <a:t>VERTINIMAS IR KONTROLĖ</a:t>
          </a:r>
        </a:p>
      </dgm:t>
    </dgm:pt>
    <dgm:pt modelId="{93810933-11FD-4F2B-8342-DB588BA48DBB}" type="parTrans" cxnId="{974D3BF1-89C5-45C9-9F9E-9B1C7B89C051}">
      <dgm:prSet/>
      <dgm:spPr/>
      <dgm:t>
        <a:bodyPr/>
        <a:lstStyle/>
        <a:p>
          <a:pPr algn="ctr"/>
          <a:endParaRPr lang="lt-LT"/>
        </a:p>
      </dgm:t>
    </dgm:pt>
    <dgm:pt modelId="{C50DC6DC-63A3-49EA-A46C-234FD634E513}" type="sibTrans" cxnId="{974D3BF1-89C5-45C9-9F9E-9B1C7B89C051}">
      <dgm:prSet/>
      <dgm:spPr/>
      <dgm:t>
        <a:bodyPr/>
        <a:lstStyle/>
        <a:p>
          <a:pPr algn="ctr"/>
          <a:endParaRPr lang="lt-LT"/>
        </a:p>
      </dgm:t>
    </dgm:pt>
    <dgm:pt modelId="{C44AFE3C-1BA3-443A-9D0A-5B089ED23937}" type="pres">
      <dgm:prSet presAssocID="{14E24602-4DCB-4D43-B3E5-83B6398A5D64}" presName="linear" presStyleCnt="0">
        <dgm:presLayoutVars>
          <dgm:dir/>
          <dgm:animLvl val="lvl"/>
          <dgm:resizeHandles val="exact"/>
        </dgm:presLayoutVars>
      </dgm:prSet>
      <dgm:spPr/>
      <dgm:t>
        <a:bodyPr/>
        <a:lstStyle/>
        <a:p>
          <a:endParaRPr lang="lt-LT"/>
        </a:p>
      </dgm:t>
    </dgm:pt>
    <dgm:pt modelId="{01F4CCB0-D6C9-4B07-907E-53A027170B3B}" type="pres">
      <dgm:prSet presAssocID="{0FF30ABC-7C37-4F91-8F60-0DA1E39365BD}" presName="parentLin" presStyleCnt="0"/>
      <dgm:spPr/>
    </dgm:pt>
    <dgm:pt modelId="{9D92DB03-1FDA-468B-A411-B83628669571}" type="pres">
      <dgm:prSet presAssocID="{0FF30ABC-7C37-4F91-8F60-0DA1E39365BD}" presName="parentLeftMargin" presStyleLbl="node1" presStyleIdx="0" presStyleCnt="4"/>
      <dgm:spPr/>
      <dgm:t>
        <a:bodyPr/>
        <a:lstStyle/>
        <a:p>
          <a:endParaRPr lang="lt-LT"/>
        </a:p>
      </dgm:t>
    </dgm:pt>
    <dgm:pt modelId="{7731A8E2-A2B6-42AD-B2C4-9FE38ED00C75}" type="pres">
      <dgm:prSet presAssocID="{0FF30ABC-7C37-4F91-8F60-0DA1E39365BD}" presName="parentText" presStyleLbl="node1" presStyleIdx="0" presStyleCnt="4" custLinFactX="12592" custLinFactNeighborX="100000" custLinFactNeighborY="-1905">
        <dgm:presLayoutVars>
          <dgm:chMax val="0"/>
          <dgm:bulletEnabled val="1"/>
        </dgm:presLayoutVars>
      </dgm:prSet>
      <dgm:spPr/>
      <dgm:t>
        <a:bodyPr/>
        <a:lstStyle/>
        <a:p>
          <a:endParaRPr lang="lt-LT"/>
        </a:p>
      </dgm:t>
    </dgm:pt>
    <dgm:pt modelId="{8607F2FB-245E-4B00-92AC-EBF347562507}" type="pres">
      <dgm:prSet presAssocID="{0FF30ABC-7C37-4F91-8F60-0DA1E39365BD}" presName="negativeSpace" presStyleCnt="0"/>
      <dgm:spPr/>
    </dgm:pt>
    <dgm:pt modelId="{DEBEF69B-37AD-4608-B15C-95B84EC9336C}" type="pres">
      <dgm:prSet presAssocID="{0FF30ABC-7C37-4F91-8F60-0DA1E39365BD}" presName="childText" presStyleLbl="conFgAcc1" presStyleIdx="0" presStyleCnt="4">
        <dgm:presLayoutVars>
          <dgm:bulletEnabled val="1"/>
        </dgm:presLayoutVars>
      </dgm:prSet>
      <dgm:spPr/>
    </dgm:pt>
    <dgm:pt modelId="{B25AB3D7-DF5A-4663-86D4-C3B62497506F}" type="pres">
      <dgm:prSet presAssocID="{53EBDB55-EB08-4E27-8FFF-A1F7D6E5BE29}" presName="spaceBetweenRectangles" presStyleCnt="0"/>
      <dgm:spPr/>
    </dgm:pt>
    <dgm:pt modelId="{E624B8EA-A2F2-462E-AD75-B6BACACA2AA1}" type="pres">
      <dgm:prSet presAssocID="{85C810EF-AB2D-470E-B9BD-219797FC5B8B}" presName="parentLin" presStyleCnt="0"/>
      <dgm:spPr/>
    </dgm:pt>
    <dgm:pt modelId="{25AA0FF6-A8ED-4C6B-961B-941CB80893E7}" type="pres">
      <dgm:prSet presAssocID="{85C810EF-AB2D-470E-B9BD-219797FC5B8B}" presName="parentLeftMargin" presStyleLbl="node1" presStyleIdx="0" presStyleCnt="4"/>
      <dgm:spPr/>
      <dgm:t>
        <a:bodyPr/>
        <a:lstStyle/>
        <a:p>
          <a:endParaRPr lang="lt-LT"/>
        </a:p>
      </dgm:t>
    </dgm:pt>
    <dgm:pt modelId="{8BDFDD5F-0416-4818-B6CF-C57F0678F12C}" type="pres">
      <dgm:prSet presAssocID="{85C810EF-AB2D-470E-B9BD-219797FC5B8B}" presName="parentText" presStyleLbl="node1" presStyleIdx="1" presStyleCnt="4" custLinFactX="11276" custLinFactNeighborX="100000">
        <dgm:presLayoutVars>
          <dgm:chMax val="0"/>
          <dgm:bulletEnabled val="1"/>
        </dgm:presLayoutVars>
      </dgm:prSet>
      <dgm:spPr/>
      <dgm:t>
        <a:bodyPr/>
        <a:lstStyle/>
        <a:p>
          <a:endParaRPr lang="lt-LT"/>
        </a:p>
      </dgm:t>
    </dgm:pt>
    <dgm:pt modelId="{A2E144D5-4C55-487F-8D1D-CBD006B2C21E}" type="pres">
      <dgm:prSet presAssocID="{85C810EF-AB2D-470E-B9BD-219797FC5B8B}" presName="negativeSpace" presStyleCnt="0"/>
      <dgm:spPr/>
    </dgm:pt>
    <dgm:pt modelId="{A897AA86-1A2C-42AC-8644-17CD59A2085F}" type="pres">
      <dgm:prSet presAssocID="{85C810EF-AB2D-470E-B9BD-219797FC5B8B}" presName="childText" presStyleLbl="conFgAcc1" presStyleIdx="1" presStyleCnt="4">
        <dgm:presLayoutVars>
          <dgm:bulletEnabled val="1"/>
        </dgm:presLayoutVars>
      </dgm:prSet>
      <dgm:spPr/>
    </dgm:pt>
    <dgm:pt modelId="{ADF2FF68-1E07-4891-A459-AEEBE663FC9C}" type="pres">
      <dgm:prSet presAssocID="{F1E08583-9C91-4EF4-9784-1A8A2F7814C8}" presName="spaceBetweenRectangles" presStyleCnt="0"/>
      <dgm:spPr/>
    </dgm:pt>
    <dgm:pt modelId="{EED14F11-8A9C-43F9-A9D0-8F4CBB7AA78C}" type="pres">
      <dgm:prSet presAssocID="{F4588B64-EFC6-45B2-9ACD-E2DE18BF939A}" presName="parentLin" presStyleCnt="0"/>
      <dgm:spPr/>
    </dgm:pt>
    <dgm:pt modelId="{7F46BAB1-FE05-4015-AC6F-2AC27C195C97}" type="pres">
      <dgm:prSet presAssocID="{F4588B64-EFC6-45B2-9ACD-E2DE18BF939A}" presName="parentLeftMargin" presStyleLbl="node1" presStyleIdx="1" presStyleCnt="4"/>
      <dgm:spPr/>
      <dgm:t>
        <a:bodyPr/>
        <a:lstStyle/>
        <a:p>
          <a:endParaRPr lang="lt-LT"/>
        </a:p>
      </dgm:t>
    </dgm:pt>
    <dgm:pt modelId="{C759D7D7-F22A-423E-A30E-7B10B29E9EC1}" type="pres">
      <dgm:prSet presAssocID="{F4588B64-EFC6-45B2-9ACD-E2DE18BF939A}" presName="parentText" presStyleLbl="node1" presStyleIdx="2" presStyleCnt="4" custLinFactX="13469" custLinFactNeighborX="100000" custLinFactNeighborY="-11293">
        <dgm:presLayoutVars>
          <dgm:chMax val="0"/>
          <dgm:bulletEnabled val="1"/>
        </dgm:presLayoutVars>
      </dgm:prSet>
      <dgm:spPr/>
      <dgm:t>
        <a:bodyPr/>
        <a:lstStyle/>
        <a:p>
          <a:endParaRPr lang="lt-LT"/>
        </a:p>
      </dgm:t>
    </dgm:pt>
    <dgm:pt modelId="{CE0B7ED4-2BC4-4D98-B2C2-1D0689D96070}" type="pres">
      <dgm:prSet presAssocID="{F4588B64-EFC6-45B2-9ACD-E2DE18BF939A}" presName="negativeSpace" presStyleCnt="0"/>
      <dgm:spPr/>
    </dgm:pt>
    <dgm:pt modelId="{21B001B3-E8EB-427F-BC01-E290F2E143B8}" type="pres">
      <dgm:prSet presAssocID="{F4588B64-EFC6-45B2-9ACD-E2DE18BF939A}" presName="childText" presStyleLbl="conFgAcc1" presStyleIdx="2" presStyleCnt="4">
        <dgm:presLayoutVars>
          <dgm:bulletEnabled val="1"/>
        </dgm:presLayoutVars>
      </dgm:prSet>
      <dgm:spPr/>
    </dgm:pt>
    <dgm:pt modelId="{C6BCB7ED-DEEE-4EE2-BC7C-149E87C73E2E}" type="pres">
      <dgm:prSet presAssocID="{8C0092B1-C5B7-44AF-978A-68F7AC5C28D8}" presName="spaceBetweenRectangles" presStyleCnt="0"/>
      <dgm:spPr/>
    </dgm:pt>
    <dgm:pt modelId="{EDA0015A-08F6-42C1-A2B7-64D65DD5D903}" type="pres">
      <dgm:prSet presAssocID="{8368B4A7-7F2E-4147-AE98-71DC6DAFAA37}" presName="parentLin" presStyleCnt="0"/>
      <dgm:spPr/>
    </dgm:pt>
    <dgm:pt modelId="{DB4F2536-5A07-488E-9F83-DFED47EE1AF9}" type="pres">
      <dgm:prSet presAssocID="{8368B4A7-7F2E-4147-AE98-71DC6DAFAA37}" presName="parentLeftMargin" presStyleLbl="node1" presStyleIdx="2" presStyleCnt="4"/>
      <dgm:spPr/>
      <dgm:t>
        <a:bodyPr/>
        <a:lstStyle/>
        <a:p>
          <a:endParaRPr lang="lt-LT"/>
        </a:p>
      </dgm:t>
    </dgm:pt>
    <dgm:pt modelId="{9AEA9FB9-6ED4-4E34-87F7-60225CECB025}" type="pres">
      <dgm:prSet presAssocID="{8368B4A7-7F2E-4147-AE98-71DC6DAFAA37}" presName="parentText" presStyleLbl="node1" presStyleIdx="3" presStyleCnt="4" custLinFactX="15338" custLinFactNeighborX="100000" custLinFactNeighborY="-4840">
        <dgm:presLayoutVars>
          <dgm:chMax val="0"/>
          <dgm:bulletEnabled val="1"/>
        </dgm:presLayoutVars>
      </dgm:prSet>
      <dgm:spPr/>
      <dgm:t>
        <a:bodyPr/>
        <a:lstStyle/>
        <a:p>
          <a:endParaRPr lang="lt-LT"/>
        </a:p>
      </dgm:t>
    </dgm:pt>
    <dgm:pt modelId="{8D28008E-F4AD-4EDD-92B8-65454129A77C}" type="pres">
      <dgm:prSet presAssocID="{8368B4A7-7F2E-4147-AE98-71DC6DAFAA37}" presName="negativeSpace" presStyleCnt="0"/>
      <dgm:spPr/>
    </dgm:pt>
    <dgm:pt modelId="{FB82A82E-396D-453F-982A-09737F3FBC21}" type="pres">
      <dgm:prSet presAssocID="{8368B4A7-7F2E-4147-AE98-71DC6DAFAA37}" presName="childText" presStyleLbl="conFgAcc1" presStyleIdx="3" presStyleCnt="4">
        <dgm:presLayoutVars>
          <dgm:bulletEnabled val="1"/>
        </dgm:presLayoutVars>
      </dgm:prSet>
      <dgm:spPr/>
    </dgm:pt>
  </dgm:ptLst>
  <dgm:cxnLst>
    <dgm:cxn modelId="{974D3BF1-89C5-45C9-9F9E-9B1C7B89C051}" srcId="{14E24602-4DCB-4D43-B3E5-83B6398A5D64}" destId="{8368B4A7-7F2E-4147-AE98-71DC6DAFAA37}" srcOrd="3" destOrd="0" parTransId="{93810933-11FD-4F2B-8342-DB588BA48DBB}" sibTransId="{C50DC6DC-63A3-49EA-A46C-234FD634E513}"/>
    <dgm:cxn modelId="{AA83E603-0874-4F88-8F87-BE524D62510E}" type="presOf" srcId="{85C810EF-AB2D-470E-B9BD-219797FC5B8B}" destId="{25AA0FF6-A8ED-4C6B-961B-941CB80893E7}" srcOrd="0" destOrd="0" presId="urn:microsoft.com/office/officeart/2005/8/layout/list1"/>
    <dgm:cxn modelId="{F431DBF4-D84F-492A-81F9-74E17905DEC4}" srcId="{14E24602-4DCB-4D43-B3E5-83B6398A5D64}" destId="{F4588B64-EFC6-45B2-9ACD-E2DE18BF939A}" srcOrd="2" destOrd="0" parTransId="{67739AA0-93DE-4782-ADD2-94CB537D1DB8}" sibTransId="{8C0092B1-C5B7-44AF-978A-68F7AC5C28D8}"/>
    <dgm:cxn modelId="{4C0429C7-8E92-4B3C-9861-6D0410A61617}" type="presOf" srcId="{F4588B64-EFC6-45B2-9ACD-E2DE18BF939A}" destId="{C759D7D7-F22A-423E-A30E-7B10B29E9EC1}" srcOrd="1" destOrd="0" presId="urn:microsoft.com/office/officeart/2005/8/layout/list1"/>
    <dgm:cxn modelId="{15E5CDE6-202F-4D86-AA72-860A94EC2ED1}" type="presOf" srcId="{8368B4A7-7F2E-4147-AE98-71DC6DAFAA37}" destId="{9AEA9FB9-6ED4-4E34-87F7-60225CECB025}" srcOrd="1" destOrd="0" presId="urn:microsoft.com/office/officeart/2005/8/layout/list1"/>
    <dgm:cxn modelId="{56C0ECA9-8F74-4EE7-9D38-03489B49C92E}" type="presOf" srcId="{14E24602-4DCB-4D43-B3E5-83B6398A5D64}" destId="{C44AFE3C-1BA3-443A-9D0A-5B089ED23937}" srcOrd="0" destOrd="0" presId="urn:microsoft.com/office/officeart/2005/8/layout/list1"/>
    <dgm:cxn modelId="{B251CDBA-9C08-42FD-ACDD-0FC3626E73D6}" type="presOf" srcId="{85C810EF-AB2D-470E-B9BD-219797FC5B8B}" destId="{8BDFDD5F-0416-4818-B6CF-C57F0678F12C}" srcOrd="1" destOrd="0" presId="urn:microsoft.com/office/officeart/2005/8/layout/list1"/>
    <dgm:cxn modelId="{D968F13C-1EAA-45AE-BEC4-48AF45CB6CFE}" srcId="{14E24602-4DCB-4D43-B3E5-83B6398A5D64}" destId="{85C810EF-AB2D-470E-B9BD-219797FC5B8B}" srcOrd="1" destOrd="0" parTransId="{86391EBC-F8DC-4288-99B3-A9926D4CF6C0}" sibTransId="{F1E08583-9C91-4EF4-9784-1A8A2F7814C8}"/>
    <dgm:cxn modelId="{CD127B71-529C-4D88-AE7C-B9B360920CA5}" type="presOf" srcId="{0FF30ABC-7C37-4F91-8F60-0DA1E39365BD}" destId="{9D92DB03-1FDA-468B-A411-B83628669571}" srcOrd="0" destOrd="0" presId="urn:microsoft.com/office/officeart/2005/8/layout/list1"/>
    <dgm:cxn modelId="{4E22DA07-2C8B-4F51-B079-7241E4A852FD}" srcId="{14E24602-4DCB-4D43-B3E5-83B6398A5D64}" destId="{0FF30ABC-7C37-4F91-8F60-0DA1E39365BD}" srcOrd="0" destOrd="0" parTransId="{26A89484-F458-4E8C-BC40-F162205EA624}" sibTransId="{53EBDB55-EB08-4E27-8FFF-A1F7D6E5BE29}"/>
    <dgm:cxn modelId="{739C7F8B-BEB0-43F1-BD72-C9EEE6B765AA}" type="presOf" srcId="{F4588B64-EFC6-45B2-9ACD-E2DE18BF939A}" destId="{7F46BAB1-FE05-4015-AC6F-2AC27C195C97}" srcOrd="0" destOrd="0" presId="urn:microsoft.com/office/officeart/2005/8/layout/list1"/>
    <dgm:cxn modelId="{9E6B8F0B-FE27-42F1-9022-D23800A0EABA}" type="presOf" srcId="{8368B4A7-7F2E-4147-AE98-71DC6DAFAA37}" destId="{DB4F2536-5A07-488E-9F83-DFED47EE1AF9}" srcOrd="0" destOrd="0" presId="urn:microsoft.com/office/officeart/2005/8/layout/list1"/>
    <dgm:cxn modelId="{D4F517A1-A873-4D3F-8D15-FDFDD1D80144}" type="presOf" srcId="{0FF30ABC-7C37-4F91-8F60-0DA1E39365BD}" destId="{7731A8E2-A2B6-42AD-B2C4-9FE38ED00C75}" srcOrd="1" destOrd="0" presId="urn:microsoft.com/office/officeart/2005/8/layout/list1"/>
    <dgm:cxn modelId="{61833367-9609-44C5-AE90-C2CF8AE16A66}" type="presParOf" srcId="{C44AFE3C-1BA3-443A-9D0A-5B089ED23937}" destId="{01F4CCB0-D6C9-4B07-907E-53A027170B3B}" srcOrd="0" destOrd="0" presId="urn:microsoft.com/office/officeart/2005/8/layout/list1"/>
    <dgm:cxn modelId="{24818BD0-A577-4B34-BEB7-CDC108B6D509}" type="presParOf" srcId="{01F4CCB0-D6C9-4B07-907E-53A027170B3B}" destId="{9D92DB03-1FDA-468B-A411-B83628669571}" srcOrd="0" destOrd="0" presId="urn:microsoft.com/office/officeart/2005/8/layout/list1"/>
    <dgm:cxn modelId="{E38A30B7-CCD0-4726-A19A-7D1368E0A27F}" type="presParOf" srcId="{01F4CCB0-D6C9-4B07-907E-53A027170B3B}" destId="{7731A8E2-A2B6-42AD-B2C4-9FE38ED00C75}" srcOrd="1" destOrd="0" presId="urn:microsoft.com/office/officeart/2005/8/layout/list1"/>
    <dgm:cxn modelId="{D19A021B-5286-4207-AAC9-8301F65BD8D4}" type="presParOf" srcId="{C44AFE3C-1BA3-443A-9D0A-5B089ED23937}" destId="{8607F2FB-245E-4B00-92AC-EBF347562507}" srcOrd="1" destOrd="0" presId="urn:microsoft.com/office/officeart/2005/8/layout/list1"/>
    <dgm:cxn modelId="{3E003A67-364E-4BC6-94DB-7CB980DB1DD4}" type="presParOf" srcId="{C44AFE3C-1BA3-443A-9D0A-5B089ED23937}" destId="{DEBEF69B-37AD-4608-B15C-95B84EC9336C}" srcOrd="2" destOrd="0" presId="urn:microsoft.com/office/officeart/2005/8/layout/list1"/>
    <dgm:cxn modelId="{330016DE-3ACC-4A4E-A7FB-DA3F7EFC70FC}" type="presParOf" srcId="{C44AFE3C-1BA3-443A-9D0A-5B089ED23937}" destId="{B25AB3D7-DF5A-4663-86D4-C3B62497506F}" srcOrd="3" destOrd="0" presId="urn:microsoft.com/office/officeart/2005/8/layout/list1"/>
    <dgm:cxn modelId="{A246E0F5-47D9-4A97-88A3-F2D6CEB62510}" type="presParOf" srcId="{C44AFE3C-1BA3-443A-9D0A-5B089ED23937}" destId="{E624B8EA-A2F2-462E-AD75-B6BACACA2AA1}" srcOrd="4" destOrd="0" presId="urn:microsoft.com/office/officeart/2005/8/layout/list1"/>
    <dgm:cxn modelId="{61959DFE-2839-4C00-9D25-87A157913B70}" type="presParOf" srcId="{E624B8EA-A2F2-462E-AD75-B6BACACA2AA1}" destId="{25AA0FF6-A8ED-4C6B-961B-941CB80893E7}" srcOrd="0" destOrd="0" presId="urn:microsoft.com/office/officeart/2005/8/layout/list1"/>
    <dgm:cxn modelId="{879D4480-A6BF-4CCE-9462-57B7D4D6DAAB}" type="presParOf" srcId="{E624B8EA-A2F2-462E-AD75-B6BACACA2AA1}" destId="{8BDFDD5F-0416-4818-B6CF-C57F0678F12C}" srcOrd="1" destOrd="0" presId="urn:microsoft.com/office/officeart/2005/8/layout/list1"/>
    <dgm:cxn modelId="{710E18DF-09C9-4553-A3EE-94B0F2995116}" type="presParOf" srcId="{C44AFE3C-1BA3-443A-9D0A-5B089ED23937}" destId="{A2E144D5-4C55-487F-8D1D-CBD006B2C21E}" srcOrd="5" destOrd="0" presId="urn:microsoft.com/office/officeart/2005/8/layout/list1"/>
    <dgm:cxn modelId="{EA272CED-2F92-43C7-9CD6-8252A7C1DF7B}" type="presParOf" srcId="{C44AFE3C-1BA3-443A-9D0A-5B089ED23937}" destId="{A897AA86-1A2C-42AC-8644-17CD59A2085F}" srcOrd="6" destOrd="0" presId="urn:microsoft.com/office/officeart/2005/8/layout/list1"/>
    <dgm:cxn modelId="{CAB7DF1A-78C4-44F7-B52C-DDD448FEBA0B}" type="presParOf" srcId="{C44AFE3C-1BA3-443A-9D0A-5B089ED23937}" destId="{ADF2FF68-1E07-4891-A459-AEEBE663FC9C}" srcOrd="7" destOrd="0" presId="urn:microsoft.com/office/officeart/2005/8/layout/list1"/>
    <dgm:cxn modelId="{3414E398-45EA-458B-9A7E-A59E0C2F7D72}" type="presParOf" srcId="{C44AFE3C-1BA3-443A-9D0A-5B089ED23937}" destId="{EED14F11-8A9C-43F9-A9D0-8F4CBB7AA78C}" srcOrd="8" destOrd="0" presId="urn:microsoft.com/office/officeart/2005/8/layout/list1"/>
    <dgm:cxn modelId="{D327AC65-409D-45AC-9372-89714D38254E}" type="presParOf" srcId="{EED14F11-8A9C-43F9-A9D0-8F4CBB7AA78C}" destId="{7F46BAB1-FE05-4015-AC6F-2AC27C195C97}" srcOrd="0" destOrd="0" presId="urn:microsoft.com/office/officeart/2005/8/layout/list1"/>
    <dgm:cxn modelId="{65670C92-A614-4BC6-9F04-C3C1A8DF61CF}" type="presParOf" srcId="{EED14F11-8A9C-43F9-A9D0-8F4CBB7AA78C}" destId="{C759D7D7-F22A-423E-A30E-7B10B29E9EC1}" srcOrd="1" destOrd="0" presId="urn:microsoft.com/office/officeart/2005/8/layout/list1"/>
    <dgm:cxn modelId="{5D544266-24A8-4185-98D2-9270975A9E92}" type="presParOf" srcId="{C44AFE3C-1BA3-443A-9D0A-5B089ED23937}" destId="{CE0B7ED4-2BC4-4D98-B2C2-1D0689D96070}" srcOrd="9" destOrd="0" presId="urn:microsoft.com/office/officeart/2005/8/layout/list1"/>
    <dgm:cxn modelId="{7B957123-5CAD-4508-B5A9-CBFFBB535223}" type="presParOf" srcId="{C44AFE3C-1BA3-443A-9D0A-5B089ED23937}" destId="{21B001B3-E8EB-427F-BC01-E290F2E143B8}" srcOrd="10" destOrd="0" presId="urn:microsoft.com/office/officeart/2005/8/layout/list1"/>
    <dgm:cxn modelId="{5EB392F6-C3D4-4A96-83FE-A6AF4FE202EE}" type="presParOf" srcId="{C44AFE3C-1BA3-443A-9D0A-5B089ED23937}" destId="{C6BCB7ED-DEEE-4EE2-BC7C-149E87C73E2E}" srcOrd="11" destOrd="0" presId="urn:microsoft.com/office/officeart/2005/8/layout/list1"/>
    <dgm:cxn modelId="{A78B9B5E-959E-400F-859B-8AE514A2B050}" type="presParOf" srcId="{C44AFE3C-1BA3-443A-9D0A-5B089ED23937}" destId="{EDA0015A-08F6-42C1-A2B7-64D65DD5D903}" srcOrd="12" destOrd="0" presId="urn:microsoft.com/office/officeart/2005/8/layout/list1"/>
    <dgm:cxn modelId="{EF36D968-DC53-4DAB-9173-71D88EEEB1FC}" type="presParOf" srcId="{EDA0015A-08F6-42C1-A2B7-64D65DD5D903}" destId="{DB4F2536-5A07-488E-9F83-DFED47EE1AF9}" srcOrd="0" destOrd="0" presId="urn:microsoft.com/office/officeart/2005/8/layout/list1"/>
    <dgm:cxn modelId="{59C62DC0-8D38-43BD-A5D2-63C65CB82886}" type="presParOf" srcId="{EDA0015A-08F6-42C1-A2B7-64D65DD5D903}" destId="{9AEA9FB9-6ED4-4E34-87F7-60225CECB025}" srcOrd="1" destOrd="0" presId="urn:microsoft.com/office/officeart/2005/8/layout/list1"/>
    <dgm:cxn modelId="{0836FD80-8EBF-4DB3-8BF5-38AF0E2E0C9C}" type="presParOf" srcId="{C44AFE3C-1BA3-443A-9D0A-5B089ED23937}" destId="{8D28008E-F4AD-4EDD-92B8-65454129A77C}" srcOrd="13" destOrd="0" presId="urn:microsoft.com/office/officeart/2005/8/layout/list1"/>
    <dgm:cxn modelId="{57520473-95B0-4C32-BFF1-770D1B9F30D3}" type="presParOf" srcId="{C44AFE3C-1BA3-443A-9D0A-5B089ED23937}" destId="{FB82A82E-396D-453F-982A-09737F3FBC21}" srcOrd="14" destOrd="0" presId="urn:microsoft.com/office/officeart/2005/8/layout/lis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96ADA6-03E9-4B32-8053-A47D48B86BD0}" type="doc">
      <dgm:prSet loTypeId="urn:microsoft.com/office/officeart/2005/8/layout/list1" loCatId="list" qsTypeId="urn:microsoft.com/office/officeart/2005/8/quickstyle/simple1#1" qsCatId="simple" csTypeId="urn:microsoft.com/office/officeart/2005/8/colors/accent1_2#1" csCatId="accent1" phldr="1"/>
      <dgm:spPr/>
      <dgm:t>
        <a:bodyPr/>
        <a:lstStyle/>
        <a:p>
          <a:endParaRPr lang="lt-LT"/>
        </a:p>
      </dgm:t>
    </dgm:pt>
    <dgm:pt modelId="{C6267A1E-6EC7-4094-A0F0-58C28552B118}">
      <dgm:prSet phldrT="[Tekstas]" custT="1"/>
      <dgm:spPr/>
      <dgm:t>
        <a:bodyPr/>
        <a:lstStyle/>
        <a:p>
          <a:r>
            <a:rPr lang="lt-LT" sz="1200">
              <a:latin typeface="Times New Roman" pitchFamily="18" charset="0"/>
              <a:cs typeface="Times New Roman" pitchFamily="18" charset="0"/>
            </a:rPr>
            <a:t>Strateginis planavimas yra susijęs su prisitaikymu prie besikeičiančios aplinkos</a:t>
          </a:r>
        </a:p>
      </dgm:t>
    </dgm:pt>
    <dgm:pt modelId="{B1A07DC9-A091-40F6-9A60-87D4C9BBD70E}" type="parTrans" cxnId="{02713783-C8E1-4392-965A-935FB0485407}">
      <dgm:prSet/>
      <dgm:spPr/>
      <dgm:t>
        <a:bodyPr/>
        <a:lstStyle/>
        <a:p>
          <a:endParaRPr lang="lt-LT"/>
        </a:p>
      </dgm:t>
    </dgm:pt>
    <dgm:pt modelId="{A8478D83-329D-4FE1-A41F-0F0161510542}" type="sibTrans" cxnId="{02713783-C8E1-4392-965A-935FB0485407}">
      <dgm:prSet/>
      <dgm:spPr/>
      <dgm:t>
        <a:bodyPr/>
        <a:lstStyle/>
        <a:p>
          <a:endParaRPr lang="lt-LT"/>
        </a:p>
      </dgm:t>
    </dgm:pt>
    <dgm:pt modelId="{28730E6A-FA39-4E6A-88F1-7AB66419A54E}">
      <dgm:prSet phldrT="[Tekstas]" custT="1"/>
      <dgm:spPr/>
      <dgm:t>
        <a:bodyPr/>
        <a:lstStyle/>
        <a:p>
          <a:r>
            <a:rPr lang="lt-LT" sz="1200">
              <a:latin typeface="Times New Roman" pitchFamily="18" charset="0"/>
              <a:cs typeface="Times New Roman" pitchFamily="18" charset="0"/>
            </a:rPr>
            <a:t>Strateginis planavimas nukreiptas į ateitį</a:t>
          </a:r>
        </a:p>
      </dgm:t>
    </dgm:pt>
    <dgm:pt modelId="{C5F3A29D-7542-4476-99B7-00C6439CA522}" type="parTrans" cxnId="{B0D32C73-0590-49CC-8D08-D2F297F2549D}">
      <dgm:prSet/>
      <dgm:spPr/>
      <dgm:t>
        <a:bodyPr/>
        <a:lstStyle/>
        <a:p>
          <a:endParaRPr lang="lt-LT"/>
        </a:p>
      </dgm:t>
    </dgm:pt>
    <dgm:pt modelId="{1A4C5EFD-803D-49F3-B53E-5ECEFF98B68B}" type="sibTrans" cxnId="{B0D32C73-0590-49CC-8D08-D2F297F2549D}">
      <dgm:prSet/>
      <dgm:spPr/>
      <dgm:t>
        <a:bodyPr/>
        <a:lstStyle/>
        <a:p>
          <a:endParaRPr lang="lt-LT"/>
        </a:p>
      </dgm:t>
    </dgm:pt>
    <dgm:pt modelId="{849B473A-E1F9-4512-A07D-E9C97A6E418F}">
      <dgm:prSet phldrT="[Tekstas]" custT="1"/>
      <dgm:spPr/>
      <dgm:t>
        <a:bodyPr/>
        <a:lstStyle/>
        <a:p>
          <a:r>
            <a:rPr lang="lt-LT" sz="1200">
              <a:latin typeface="Times New Roman" pitchFamily="18" charset="0"/>
              <a:cs typeface="Times New Roman" pitchFamily="18" charset="0"/>
            </a:rPr>
            <a:t>Strateginis planavimas yra išsamus ir visapusiškas</a:t>
          </a:r>
        </a:p>
      </dgm:t>
    </dgm:pt>
    <dgm:pt modelId="{EB8C2755-90E9-435A-814B-0243408D5B91}" type="parTrans" cxnId="{ECAB0A30-2F0F-4047-AA8D-07E53CD9BF14}">
      <dgm:prSet/>
      <dgm:spPr/>
      <dgm:t>
        <a:bodyPr/>
        <a:lstStyle/>
        <a:p>
          <a:endParaRPr lang="lt-LT"/>
        </a:p>
      </dgm:t>
    </dgm:pt>
    <dgm:pt modelId="{CB703AC2-CD1A-4F68-9C28-C1BB0A78064B}" type="sibTrans" cxnId="{ECAB0A30-2F0F-4047-AA8D-07E53CD9BF14}">
      <dgm:prSet/>
      <dgm:spPr/>
      <dgm:t>
        <a:bodyPr/>
        <a:lstStyle/>
        <a:p>
          <a:endParaRPr lang="lt-LT"/>
        </a:p>
      </dgm:t>
    </dgm:pt>
    <dgm:pt modelId="{2AD07E39-BA1F-47CC-83AE-579257D9EDD3}">
      <dgm:prSet custT="1"/>
      <dgm:spPr/>
      <dgm:t>
        <a:bodyPr/>
        <a:lstStyle/>
        <a:p>
          <a:r>
            <a:rPr lang="lt-LT" sz="1200">
              <a:latin typeface="Times New Roman" pitchFamily="18" charset="0"/>
              <a:cs typeface="Times New Roman" pitchFamily="18" charset="0"/>
            </a:rPr>
            <a:t>Sudarant strateginius planus reikia atsižvelgti ne tik į tai ko norima, tačiau ir į besikeičiančią aplinką, kuri neišvengiamai daro įtaką vykdomai veiklai.</a:t>
          </a:r>
        </a:p>
      </dgm:t>
    </dgm:pt>
    <dgm:pt modelId="{677B1F30-6F3E-4E20-8618-9038B7E2F9F3}" type="parTrans" cxnId="{79F1CFA2-D97C-4854-BFE1-529B0478ECCD}">
      <dgm:prSet/>
      <dgm:spPr/>
      <dgm:t>
        <a:bodyPr/>
        <a:lstStyle/>
        <a:p>
          <a:endParaRPr lang="lt-LT"/>
        </a:p>
      </dgm:t>
    </dgm:pt>
    <dgm:pt modelId="{0CD52FAF-31DB-4333-808D-A7ADDD6C8FEC}" type="sibTrans" cxnId="{79F1CFA2-D97C-4854-BFE1-529B0478ECCD}">
      <dgm:prSet/>
      <dgm:spPr/>
      <dgm:t>
        <a:bodyPr/>
        <a:lstStyle/>
        <a:p>
          <a:endParaRPr lang="lt-LT"/>
        </a:p>
      </dgm:t>
    </dgm:pt>
    <dgm:pt modelId="{2FF7D7FC-69A4-4B3F-ACFE-C446760DF0C0}">
      <dgm:prSet custT="1"/>
      <dgm:spPr/>
      <dgm:t>
        <a:bodyPr/>
        <a:lstStyle/>
        <a:p>
          <a:r>
            <a:rPr lang="lt-LT" sz="1200">
              <a:latin typeface="Times New Roman" pitchFamily="18" charset="0"/>
              <a:cs typeface="Times New Roman" pitchFamily="18" charset="0"/>
            </a:rPr>
            <a:t>Praeitis planuojant reikalinga tik tiek, kiek iš jos galima spręsti apie ateitį ar pasimokyti nedaryti tų pačių klaidų.</a:t>
          </a:r>
        </a:p>
      </dgm:t>
    </dgm:pt>
    <dgm:pt modelId="{3EB655CF-697E-4906-A509-382F5AF32A3E}" type="parTrans" cxnId="{C2BC5317-2883-4C4E-A427-BEC3D3F41D5C}">
      <dgm:prSet/>
      <dgm:spPr/>
      <dgm:t>
        <a:bodyPr/>
        <a:lstStyle/>
        <a:p>
          <a:endParaRPr lang="lt-LT"/>
        </a:p>
      </dgm:t>
    </dgm:pt>
    <dgm:pt modelId="{71694274-37B6-4B10-8329-B72E57D4F394}" type="sibTrans" cxnId="{C2BC5317-2883-4C4E-A427-BEC3D3F41D5C}">
      <dgm:prSet/>
      <dgm:spPr/>
      <dgm:t>
        <a:bodyPr/>
        <a:lstStyle/>
        <a:p>
          <a:endParaRPr lang="lt-LT"/>
        </a:p>
      </dgm:t>
    </dgm:pt>
    <dgm:pt modelId="{791F6A8B-5FBA-4E4E-B69D-C1287CE0E275}">
      <dgm:prSet custT="1"/>
      <dgm:spPr/>
      <dgm:t>
        <a:bodyPr/>
        <a:lstStyle/>
        <a:p>
          <a:r>
            <a:rPr lang="lt-LT" sz="1200">
              <a:latin typeface="Times New Roman" pitchFamily="18" charset="0"/>
              <a:cs typeface="Times New Roman" pitchFamily="18" charset="0"/>
            </a:rPr>
            <a:t>Strateginis  planavimas yra susitarimo ieškojimo procesas</a:t>
          </a:r>
        </a:p>
      </dgm:t>
    </dgm:pt>
    <dgm:pt modelId="{C81091C8-7A71-4209-A5B6-70AF6B31BAC4}" type="parTrans" cxnId="{C50BC114-D83E-4DE3-A52A-EEBEAC273467}">
      <dgm:prSet/>
      <dgm:spPr/>
      <dgm:t>
        <a:bodyPr/>
        <a:lstStyle/>
        <a:p>
          <a:endParaRPr lang="lt-LT"/>
        </a:p>
      </dgm:t>
    </dgm:pt>
    <dgm:pt modelId="{AF8169C1-0810-45D9-A5CF-A5C10C166AE2}" type="sibTrans" cxnId="{C50BC114-D83E-4DE3-A52A-EEBEAC273467}">
      <dgm:prSet/>
      <dgm:spPr/>
      <dgm:t>
        <a:bodyPr/>
        <a:lstStyle/>
        <a:p>
          <a:endParaRPr lang="lt-LT"/>
        </a:p>
      </dgm:t>
    </dgm:pt>
    <dgm:pt modelId="{AA1DE876-2E7C-4436-9171-926B6288BDAC}">
      <dgm:prSet custT="1"/>
      <dgm:spPr/>
      <dgm:t>
        <a:bodyPr/>
        <a:lstStyle/>
        <a:p>
          <a:r>
            <a:rPr lang="lt-LT" sz="1200">
              <a:latin typeface="Times New Roman" pitchFamily="18" charset="0"/>
              <a:cs typeface="Times New Roman" pitchFamily="18" charset="0"/>
            </a:rPr>
            <a:t>Jis apima ne tik tiesiogiai su vykdoma veikla susijusius klausimus, bet visą organizacijos aplinką: politiką, ekonomiką, socialinę situaciją, technologijas ir t.t.</a:t>
          </a:r>
        </a:p>
      </dgm:t>
    </dgm:pt>
    <dgm:pt modelId="{B610C8D1-6D23-4D92-9694-61DED752F550}" type="sibTrans" cxnId="{5CCBC462-83C1-4026-8791-EE1519512CD3}">
      <dgm:prSet/>
      <dgm:spPr/>
      <dgm:t>
        <a:bodyPr/>
        <a:lstStyle/>
        <a:p>
          <a:endParaRPr lang="lt-LT"/>
        </a:p>
      </dgm:t>
    </dgm:pt>
    <dgm:pt modelId="{42EED922-A091-46B7-9478-B565CE96B99A}" type="parTrans" cxnId="{5CCBC462-83C1-4026-8791-EE1519512CD3}">
      <dgm:prSet/>
      <dgm:spPr/>
      <dgm:t>
        <a:bodyPr/>
        <a:lstStyle/>
        <a:p>
          <a:endParaRPr lang="lt-LT"/>
        </a:p>
      </dgm:t>
    </dgm:pt>
    <dgm:pt modelId="{CB4D9C13-7EC5-4F29-B05F-34FD82A29AD6}">
      <dgm:prSet custT="1"/>
      <dgm:spPr/>
      <dgm:t>
        <a:bodyPr/>
        <a:lstStyle/>
        <a:p>
          <a:r>
            <a:rPr lang="lt-LT" sz="1200">
              <a:latin typeface="Times New Roman" pitchFamily="18" charset="0"/>
              <a:cs typeface="Times New Roman" pitchFamily="18" charset="0"/>
            </a:rPr>
            <a:t>Tai svarbiausia strateginio planavimo proceso savybė.</a:t>
          </a:r>
        </a:p>
      </dgm:t>
    </dgm:pt>
    <dgm:pt modelId="{EDA37CC9-4DD7-4CA3-A661-18D539B641A6}" type="parTrans" cxnId="{CACD8789-E461-4BEB-8BEE-14DF085C8119}">
      <dgm:prSet/>
      <dgm:spPr/>
      <dgm:t>
        <a:bodyPr/>
        <a:lstStyle/>
        <a:p>
          <a:endParaRPr lang="lt-LT"/>
        </a:p>
      </dgm:t>
    </dgm:pt>
    <dgm:pt modelId="{B49E463F-EDD1-431E-8C8F-1A7F62F4B7A4}" type="sibTrans" cxnId="{CACD8789-E461-4BEB-8BEE-14DF085C8119}">
      <dgm:prSet/>
      <dgm:spPr/>
      <dgm:t>
        <a:bodyPr/>
        <a:lstStyle/>
        <a:p>
          <a:endParaRPr lang="lt-LT"/>
        </a:p>
      </dgm:t>
    </dgm:pt>
    <dgm:pt modelId="{4B4346C3-D909-46A2-A935-BB70217DC388}">
      <dgm:prSet custT="1"/>
      <dgm:spPr/>
      <dgm:t>
        <a:bodyPr/>
        <a:lstStyle/>
        <a:p>
          <a:r>
            <a:rPr lang="lt-LT" sz="1200">
              <a:latin typeface="Times New Roman" pitchFamily="18" charset="0"/>
              <a:cs typeface="Times New Roman" pitchFamily="18" charset="0"/>
            </a:rPr>
            <a:t>Susitarimas turi būti priimtas pritariant kiekvienam organizacijos atstovui, balsavimas čia netinka, nes sudaro galimybę priimti sprendimą prieš kieno nors valią. </a:t>
          </a:r>
        </a:p>
      </dgm:t>
    </dgm:pt>
    <dgm:pt modelId="{A4D6B618-E654-49F3-AFF4-2A5A19E46602}" type="parTrans" cxnId="{1817F9B1-8483-4591-9958-51F0FBFD2AA2}">
      <dgm:prSet/>
      <dgm:spPr/>
      <dgm:t>
        <a:bodyPr/>
        <a:lstStyle/>
        <a:p>
          <a:endParaRPr lang="lt-LT"/>
        </a:p>
      </dgm:t>
    </dgm:pt>
    <dgm:pt modelId="{192A0410-1445-4AE5-B14E-B4F9885603FA}" type="sibTrans" cxnId="{1817F9B1-8483-4591-9958-51F0FBFD2AA2}">
      <dgm:prSet/>
      <dgm:spPr/>
      <dgm:t>
        <a:bodyPr/>
        <a:lstStyle/>
        <a:p>
          <a:endParaRPr lang="lt-LT"/>
        </a:p>
      </dgm:t>
    </dgm:pt>
    <dgm:pt modelId="{012614C1-2374-49C4-87E3-8E42A3BA9FE1}" type="pres">
      <dgm:prSet presAssocID="{FB96ADA6-03E9-4B32-8053-A47D48B86BD0}" presName="linear" presStyleCnt="0">
        <dgm:presLayoutVars>
          <dgm:dir/>
          <dgm:animLvl val="lvl"/>
          <dgm:resizeHandles val="exact"/>
        </dgm:presLayoutVars>
      </dgm:prSet>
      <dgm:spPr/>
      <dgm:t>
        <a:bodyPr/>
        <a:lstStyle/>
        <a:p>
          <a:endParaRPr lang="lt-LT"/>
        </a:p>
      </dgm:t>
    </dgm:pt>
    <dgm:pt modelId="{E627CD3B-21D5-4BE5-8F0E-090EBE84E09B}" type="pres">
      <dgm:prSet presAssocID="{C6267A1E-6EC7-4094-A0F0-58C28552B118}" presName="parentLin" presStyleCnt="0"/>
      <dgm:spPr/>
    </dgm:pt>
    <dgm:pt modelId="{88F4A871-3D62-4936-866B-144EEE212110}" type="pres">
      <dgm:prSet presAssocID="{C6267A1E-6EC7-4094-A0F0-58C28552B118}" presName="parentLeftMargin" presStyleLbl="node1" presStyleIdx="0" presStyleCnt="4"/>
      <dgm:spPr/>
      <dgm:t>
        <a:bodyPr/>
        <a:lstStyle/>
        <a:p>
          <a:endParaRPr lang="lt-LT"/>
        </a:p>
      </dgm:t>
    </dgm:pt>
    <dgm:pt modelId="{F95F6832-7000-44E9-8819-FF00B1C818A1}" type="pres">
      <dgm:prSet presAssocID="{C6267A1E-6EC7-4094-A0F0-58C28552B118}" presName="parentText" presStyleLbl="node1" presStyleIdx="0" presStyleCnt="4" custScaleY="143145">
        <dgm:presLayoutVars>
          <dgm:chMax val="0"/>
          <dgm:bulletEnabled val="1"/>
        </dgm:presLayoutVars>
      </dgm:prSet>
      <dgm:spPr/>
      <dgm:t>
        <a:bodyPr/>
        <a:lstStyle/>
        <a:p>
          <a:endParaRPr lang="lt-LT"/>
        </a:p>
      </dgm:t>
    </dgm:pt>
    <dgm:pt modelId="{54FC2FCA-1D00-4930-A60E-A7CA1C2FEEB2}" type="pres">
      <dgm:prSet presAssocID="{C6267A1E-6EC7-4094-A0F0-58C28552B118}" presName="negativeSpace" presStyleCnt="0"/>
      <dgm:spPr/>
    </dgm:pt>
    <dgm:pt modelId="{080BF88F-EC58-4F08-B0C0-4DFFF8D252FD}" type="pres">
      <dgm:prSet presAssocID="{C6267A1E-6EC7-4094-A0F0-58C28552B118}" presName="childText" presStyleLbl="conFgAcc1" presStyleIdx="0" presStyleCnt="4">
        <dgm:presLayoutVars>
          <dgm:bulletEnabled val="1"/>
        </dgm:presLayoutVars>
      </dgm:prSet>
      <dgm:spPr/>
      <dgm:t>
        <a:bodyPr/>
        <a:lstStyle/>
        <a:p>
          <a:endParaRPr lang="lt-LT"/>
        </a:p>
      </dgm:t>
    </dgm:pt>
    <dgm:pt modelId="{918A410E-AC07-456B-A566-DC4C0388B78E}" type="pres">
      <dgm:prSet presAssocID="{A8478D83-329D-4FE1-A41F-0F0161510542}" presName="spaceBetweenRectangles" presStyleCnt="0"/>
      <dgm:spPr/>
    </dgm:pt>
    <dgm:pt modelId="{40804692-70B7-4CA7-A8CB-E29D039E84C1}" type="pres">
      <dgm:prSet presAssocID="{28730E6A-FA39-4E6A-88F1-7AB66419A54E}" presName="parentLin" presStyleCnt="0"/>
      <dgm:spPr/>
    </dgm:pt>
    <dgm:pt modelId="{B0930965-06AC-48F8-816D-F0E9A2AFDDBA}" type="pres">
      <dgm:prSet presAssocID="{28730E6A-FA39-4E6A-88F1-7AB66419A54E}" presName="parentLeftMargin" presStyleLbl="node1" presStyleIdx="0" presStyleCnt="4"/>
      <dgm:spPr/>
      <dgm:t>
        <a:bodyPr/>
        <a:lstStyle/>
        <a:p>
          <a:endParaRPr lang="lt-LT"/>
        </a:p>
      </dgm:t>
    </dgm:pt>
    <dgm:pt modelId="{43B6FBF2-13DE-4050-A719-3D1CBD43D90E}" type="pres">
      <dgm:prSet presAssocID="{28730E6A-FA39-4E6A-88F1-7AB66419A54E}" presName="parentText" presStyleLbl="node1" presStyleIdx="1" presStyleCnt="4" custLinFactNeighborX="8695" custLinFactNeighborY="-3367">
        <dgm:presLayoutVars>
          <dgm:chMax val="0"/>
          <dgm:bulletEnabled val="1"/>
        </dgm:presLayoutVars>
      </dgm:prSet>
      <dgm:spPr/>
      <dgm:t>
        <a:bodyPr/>
        <a:lstStyle/>
        <a:p>
          <a:endParaRPr lang="lt-LT"/>
        </a:p>
      </dgm:t>
    </dgm:pt>
    <dgm:pt modelId="{99AEDF23-DF85-45F2-96A8-A784204CBC4E}" type="pres">
      <dgm:prSet presAssocID="{28730E6A-FA39-4E6A-88F1-7AB66419A54E}" presName="negativeSpace" presStyleCnt="0"/>
      <dgm:spPr/>
    </dgm:pt>
    <dgm:pt modelId="{3AAE08B6-2ADB-4542-A5C4-5EDE1735EE42}" type="pres">
      <dgm:prSet presAssocID="{28730E6A-FA39-4E6A-88F1-7AB66419A54E}" presName="childText" presStyleLbl="conFgAcc1" presStyleIdx="1" presStyleCnt="4">
        <dgm:presLayoutVars>
          <dgm:bulletEnabled val="1"/>
        </dgm:presLayoutVars>
      </dgm:prSet>
      <dgm:spPr/>
      <dgm:t>
        <a:bodyPr/>
        <a:lstStyle/>
        <a:p>
          <a:endParaRPr lang="lt-LT"/>
        </a:p>
      </dgm:t>
    </dgm:pt>
    <dgm:pt modelId="{DD18C57E-9CB4-4465-9D3D-C1CA9D541CB1}" type="pres">
      <dgm:prSet presAssocID="{1A4C5EFD-803D-49F3-B53E-5ECEFF98B68B}" presName="spaceBetweenRectangles" presStyleCnt="0"/>
      <dgm:spPr/>
    </dgm:pt>
    <dgm:pt modelId="{D0B05241-DBCB-469D-9B36-2EA122EE653A}" type="pres">
      <dgm:prSet presAssocID="{849B473A-E1F9-4512-A07D-E9C97A6E418F}" presName="parentLin" presStyleCnt="0"/>
      <dgm:spPr/>
    </dgm:pt>
    <dgm:pt modelId="{DEEE3AC3-2B3B-4C2A-948E-7F3EC62BF819}" type="pres">
      <dgm:prSet presAssocID="{849B473A-E1F9-4512-A07D-E9C97A6E418F}" presName="parentLeftMargin" presStyleLbl="node1" presStyleIdx="1" presStyleCnt="4"/>
      <dgm:spPr/>
      <dgm:t>
        <a:bodyPr/>
        <a:lstStyle/>
        <a:p>
          <a:endParaRPr lang="lt-LT"/>
        </a:p>
      </dgm:t>
    </dgm:pt>
    <dgm:pt modelId="{3F1797A1-9507-40F1-BE74-8C51A87BAD79}" type="pres">
      <dgm:prSet presAssocID="{849B473A-E1F9-4512-A07D-E9C97A6E418F}" presName="parentText" presStyleLbl="node1" presStyleIdx="2" presStyleCnt="4">
        <dgm:presLayoutVars>
          <dgm:chMax val="0"/>
          <dgm:bulletEnabled val="1"/>
        </dgm:presLayoutVars>
      </dgm:prSet>
      <dgm:spPr/>
      <dgm:t>
        <a:bodyPr/>
        <a:lstStyle/>
        <a:p>
          <a:endParaRPr lang="lt-LT"/>
        </a:p>
      </dgm:t>
    </dgm:pt>
    <dgm:pt modelId="{A2F73A16-8A90-4129-A235-3A04DD25A906}" type="pres">
      <dgm:prSet presAssocID="{849B473A-E1F9-4512-A07D-E9C97A6E418F}" presName="negativeSpace" presStyleCnt="0"/>
      <dgm:spPr/>
    </dgm:pt>
    <dgm:pt modelId="{3A4658BE-0016-4C57-9265-D21109BA71FB}" type="pres">
      <dgm:prSet presAssocID="{849B473A-E1F9-4512-A07D-E9C97A6E418F}" presName="childText" presStyleLbl="conFgAcc1" presStyleIdx="2" presStyleCnt="4">
        <dgm:presLayoutVars>
          <dgm:bulletEnabled val="1"/>
        </dgm:presLayoutVars>
      </dgm:prSet>
      <dgm:spPr/>
      <dgm:t>
        <a:bodyPr/>
        <a:lstStyle/>
        <a:p>
          <a:endParaRPr lang="lt-LT"/>
        </a:p>
      </dgm:t>
    </dgm:pt>
    <dgm:pt modelId="{F1F63333-1641-491C-A376-17D3149D0A49}" type="pres">
      <dgm:prSet presAssocID="{CB703AC2-CD1A-4F68-9C28-C1BB0A78064B}" presName="spaceBetweenRectangles" presStyleCnt="0"/>
      <dgm:spPr/>
    </dgm:pt>
    <dgm:pt modelId="{305FBA74-98C7-4CC9-8A95-A470F9DF8752}" type="pres">
      <dgm:prSet presAssocID="{791F6A8B-5FBA-4E4E-B69D-C1287CE0E275}" presName="parentLin" presStyleCnt="0"/>
      <dgm:spPr/>
    </dgm:pt>
    <dgm:pt modelId="{3C135AD0-CD0B-48D3-AF86-3D834A4489F8}" type="pres">
      <dgm:prSet presAssocID="{791F6A8B-5FBA-4E4E-B69D-C1287CE0E275}" presName="parentLeftMargin" presStyleLbl="node1" presStyleIdx="2" presStyleCnt="4"/>
      <dgm:spPr/>
      <dgm:t>
        <a:bodyPr/>
        <a:lstStyle/>
        <a:p>
          <a:endParaRPr lang="lt-LT"/>
        </a:p>
      </dgm:t>
    </dgm:pt>
    <dgm:pt modelId="{D8854F96-FBAB-4E08-9E2B-F8D6445F3622}" type="pres">
      <dgm:prSet presAssocID="{791F6A8B-5FBA-4E4E-B69D-C1287CE0E275}" presName="parentText" presStyleLbl="node1" presStyleIdx="3" presStyleCnt="4">
        <dgm:presLayoutVars>
          <dgm:chMax val="0"/>
          <dgm:bulletEnabled val="1"/>
        </dgm:presLayoutVars>
      </dgm:prSet>
      <dgm:spPr/>
      <dgm:t>
        <a:bodyPr/>
        <a:lstStyle/>
        <a:p>
          <a:endParaRPr lang="lt-LT"/>
        </a:p>
      </dgm:t>
    </dgm:pt>
    <dgm:pt modelId="{42D3F590-C017-46FB-B932-89AF77FCB8D9}" type="pres">
      <dgm:prSet presAssocID="{791F6A8B-5FBA-4E4E-B69D-C1287CE0E275}" presName="negativeSpace" presStyleCnt="0"/>
      <dgm:spPr/>
    </dgm:pt>
    <dgm:pt modelId="{4425554E-CAC0-427F-8CE3-C4D43AEED2F0}" type="pres">
      <dgm:prSet presAssocID="{791F6A8B-5FBA-4E4E-B69D-C1287CE0E275}" presName="childText" presStyleLbl="conFgAcc1" presStyleIdx="3" presStyleCnt="4">
        <dgm:presLayoutVars>
          <dgm:bulletEnabled val="1"/>
        </dgm:presLayoutVars>
      </dgm:prSet>
      <dgm:spPr/>
      <dgm:t>
        <a:bodyPr/>
        <a:lstStyle/>
        <a:p>
          <a:endParaRPr lang="lt-LT"/>
        </a:p>
      </dgm:t>
    </dgm:pt>
  </dgm:ptLst>
  <dgm:cxnLst>
    <dgm:cxn modelId="{C4968C1B-EA78-4834-8C57-6470E22CAEBE}" type="presOf" srcId="{CB4D9C13-7EC5-4F29-B05F-34FD82A29AD6}" destId="{4425554E-CAC0-427F-8CE3-C4D43AEED2F0}" srcOrd="0" destOrd="0" presId="urn:microsoft.com/office/officeart/2005/8/layout/list1"/>
    <dgm:cxn modelId="{02713783-C8E1-4392-965A-935FB0485407}" srcId="{FB96ADA6-03E9-4B32-8053-A47D48B86BD0}" destId="{C6267A1E-6EC7-4094-A0F0-58C28552B118}" srcOrd="0" destOrd="0" parTransId="{B1A07DC9-A091-40F6-9A60-87D4C9BBD70E}" sibTransId="{A8478D83-329D-4FE1-A41F-0F0161510542}"/>
    <dgm:cxn modelId="{C2BC5317-2883-4C4E-A427-BEC3D3F41D5C}" srcId="{28730E6A-FA39-4E6A-88F1-7AB66419A54E}" destId="{2FF7D7FC-69A4-4B3F-ACFE-C446760DF0C0}" srcOrd="0" destOrd="0" parTransId="{3EB655CF-697E-4906-A509-382F5AF32A3E}" sibTransId="{71694274-37B6-4B10-8329-B72E57D4F394}"/>
    <dgm:cxn modelId="{C50BC114-D83E-4DE3-A52A-EEBEAC273467}" srcId="{FB96ADA6-03E9-4B32-8053-A47D48B86BD0}" destId="{791F6A8B-5FBA-4E4E-B69D-C1287CE0E275}" srcOrd="3" destOrd="0" parTransId="{C81091C8-7A71-4209-A5B6-70AF6B31BAC4}" sibTransId="{AF8169C1-0810-45D9-A5CF-A5C10C166AE2}"/>
    <dgm:cxn modelId="{EC0E2B2A-B825-4FC1-A62F-00E3BE9B21E5}" type="presOf" srcId="{4B4346C3-D909-46A2-A935-BB70217DC388}" destId="{4425554E-CAC0-427F-8CE3-C4D43AEED2F0}" srcOrd="0" destOrd="1" presId="urn:microsoft.com/office/officeart/2005/8/layout/list1"/>
    <dgm:cxn modelId="{081AD48E-D482-4319-B712-93E1DE8C6824}" type="presOf" srcId="{FB96ADA6-03E9-4B32-8053-A47D48B86BD0}" destId="{012614C1-2374-49C4-87E3-8E42A3BA9FE1}" srcOrd="0" destOrd="0" presId="urn:microsoft.com/office/officeart/2005/8/layout/list1"/>
    <dgm:cxn modelId="{413A0F1C-0E28-4CB3-AD3A-3E5E47CF3331}" type="presOf" srcId="{2AD07E39-BA1F-47CC-83AE-579257D9EDD3}" destId="{080BF88F-EC58-4F08-B0C0-4DFFF8D252FD}" srcOrd="0" destOrd="0" presId="urn:microsoft.com/office/officeart/2005/8/layout/list1"/>
    <dgm:cxn modelId="{E997FF73-0196-4386-BB26-9F7DD727F031}" type="presOf" srcId="{C6267A1E-6EC7-4094-A0F0-58C28552B118}" destId="{F95F6832-7000-44E9-8819-FF00B1C818A1}" srcOrd="1" destOrd="0" presId="urn:microsoft.com/office/officeart/2005/8/layout/list1"/>
    <dgm:cxn modelId="{20E67DDB-B6BA-4D58-956B-00B9DC8B0E3C}" type="presOf" srcId="{2FF7D7FC-69A4-4B3F-ACFE-C446760DF0C0}" destId="{3AAE08B6-2ADB-4542-A5C4-5EDE1735EE42}" srcOrd="0" destOrd="0" presId="urn:microsoft.com/office/officeart/2005/8/layout/list1"/>
    <dgm:cxn modelId="{2CAAD086-1522-41A3-8500-F72B41CE69F3}" type="presOf" srcId="{791F6A8B-5FBA-4E4E-B69D-C1287CE0E275}" destId="{D8854F96-FBAB-4E08-9E2B-F8D6445F3622}" srcOrd="1" destOrd="0" presId="urn:microsoft.com/office/officeart/2005/8/layout/list1"/>
    <dgm:cxn modelId="{A8C74935-82F6-40CB-A510-C643AE3B1E34}" type="presOf" srcId="{849B473A-E1F9-4512-A07D-E9C97A6E418F}" destId="{DEEE3AC3-2B3B-4C2A-948E-7F3EC62BF819}" srcOrd="0" destOrd="0" presId="urn:microsoft.com/office/officeart/2005/8/layout/list1"/>
    <dgm:cxn modelId="{B70167BD-6464-4002-BD57-2FE2C04A40A5}" type="presOf" srcId="{C6267A1E-6EC7-4094-A0F0-58C28552B118}" destId="{88F4A871-3D62-4936-866B-144EEE212110}" srcOrd="0" destOrd="0" presId="urn:microsoft.com/office/officeart/2005/8/layout/list1"/>
    <dgm:cxn modelId="{ECAB0A30-2F0F-4047-AA8D-07E53CD9BF14}" srcId="{FB96ADA6-03E9-4B32-8053-A47D48B86BD0}" destId="{849B473A-E1F9-4512-A07D-E9C97A6E418F}" srcOrd="2" destOrd="0" parTransId="{EB8C2755-90E9-435A-814B-0243408D5B91}" sibTransId="{CB703AC2-CD1A-4F68-9C28-C1BB0A78064B}"/>
    <dgm:cxn modelId="{1817F9B1-8483-4591-9958-51F0FBFD2AA2}" srcId="{791F6A8B-5FBA-4E4E-B69D-C1287CE0E275}" destId="{4B4346C3-D909-46A2-A935-BB70217DC388}" srcOrd="1" destOrd="0" parTransId="{A4D6B618-E654-49F3-AFF4-2A5A19E46602}" sibTransId="{192A0410-1445-4AE5-B14E-B4F9885603FA}"/>
    <dgm:cxn modelId="{79F1CFA2-D97C-4854-BFE1-529B0478ECCD}" srcId="{C6267A1E-6EC7-4094-A0F0-58C28552B118}" destId="{2AD07E39-BA1F-47CC-83AE-579257D9EDD3}" srcOrd="0" destOrd="0" parTransId="{677B1F30-6F3E-4E20-8618-9038B7E2F9F3}" sibTransId="{0CD52FAF-31DB-4333-808D-A7ADDD6C8FEC}"/>
    <dgm:cxn modelId="{48233C10-F3AA-465C-B95D-B601818B0FF1}" type="presOf" srcId="{AA1DE876-2E7C-4436-9171-926B6288BDAC}" destId="{3A4658BE-0016-4C57-9265-D21109BA71FB}" srcOrd="0" destOrd="0" presId="urn:microsoft.com/office/officeart/2005/8/layout/list1"/>
    <dgm:cxn modelId="{A65CC47B-9A67-4F8A-A43C-B5509B4860E6}" type="presOf" srcId="{791F6A8B-5FBA-4E4E-B69D-C1287CE0E275}" destId="{3C135AD0-CD0B-48D3-AF86-3D834A4489F8}" srcOrd="0" destOrd="0" presId="urn:microsoft.com/office/officeart/2005/8/layout/list1"/>
    <dgm:cxn modelId="{CACD8789-E461-4BEB-8BEE-14DF085C8119}" srcId="{791F6A8B-5FBA-4E4E-B69D-C1287CE0E275}" destId="{CB4D9C13-7EC5-4F29-B05F-34FD82A29AD6}" srcOrd="0" destOrd="0" parTransId="{EDA37CC9-4DD7-4CA3-A661-18D539B641A6}" sibTransId="{B49E463F-EDD1-431E-8C8F-1A7F62F4B7A4}"/>
    <dgm:cxn modelId="{121D42B6-5EB1-452C-B585-BE02CF0CE52C}" type="presOf" srcId="{28730E6A-FA39-4E6A-88F1-7AB66419A54E}" destId="{B0930965-06AC-48F8-816D-F0E9A2AFDDBA}" srcOrd="0" destOrd="0" presId="urn:microsoft.com/office/officeart/2005/8/layout/list1"/>
    <dgm:cxn modelId="{B0D32C73-0590-49CC-8D08-D2F297F2549D}" srcId="{FB96ADA6-03E9-4B32-8053-A47D48B86BD0}" destId="{28730E6A-FA39-4E6A-88F1-7AB66419A54E}" srcOrd="1" destOrd="0" parTransId="{C5F3A29D-7542-4476-99B7-00C6439CA522}" sibTransId="{1A4C5EFD-803D-49F3-B53E-5ECEFF98B68B}"/>
    <dgm:cxn modelId="{749CEC92-BA44-4700-8F36-91202CC3C59A}" type="presOf" srcId="{28730E6A-FA39-4E6A-88F1-7AB66419A54E}" destId="{43B6FBF2-13DE-4050-A719-3D1CBD43D90E}" srcOrd="1" destOrd="0" presId="urn:microsoft.com/office/officeart/2005/8/layout/list1"/>
    <dgm:cxn modelId="{5CCBC462-83C1-4026-8791-EE1519512CD3}" srcId="{849B473A-E1F9-4512-A07D-E9C97A6E418F}" destId="{AA1DE876-2E7C-4436-9171-926B6288BDAC}" srcOrd="0" destOrd="0" parTransId="{42EED922-A091-46B7-9478-B565CE96B99A}" sibTransId="{B610C8D1-6D23-4D92-9694-61DED752F550}"/>
    <dgm:cxn modelId="{EEB931AD-05E8-48C3-A16C-2A940F50C7F9}" type="presOf" srcId="{849B473A-E1F9-4512-A07D-E9C97A6E418F}" destId="{3F1797A1-9507-40F1-BE74-8C51A87BAD79}" srcOrd="1" destOrd="0" presId="urn:microsoft.com/office/officeart/2005/8/layout/list1"/>
    <dgm:cxn modelId="{C59D0370-6A21-4699-9167-E44824323A0B}" type="presParOf" srcId="{012614C1-2374-49C4-87E3-8E42A3BA9FE1}" destId="{E627CD3B-21D5-4BE5-8F0E-090EBE84E09B}" srcOrd="0" destOrd="0" presId="urn:microsoft.com/office/officeart/2005/8/layout/list1"/>
    <dgm:cxn modelId="{9551AEC1-B9EA-4968-92A0-58304DFDE7C1}" type="presParOf" srcId="{E627CD3B-21D5-4BE5-8F0E-090EBE84E09B}" destId="{88F4A871-3D62-4936-866B-144EEE212110}" srcOrd="0" destOrd="0" presId="urn:microsoft.com/office/officeart/2005/8/layout/list1"/>
    <dgm:cxn modelId="{D63F2B11-FA54-4AF6-90CC-A015459F9ACA}" type="presParOf" srcId="{E627CD3B-21D5-4BE5-8F0E-090EBE84E09B}" destId="{F95F6832-7000-44E9-8819-FF00B1C818A1}" srcOrd="1" destOrd="0" presId="urn:microsoft.com/office/officeart/2005/8/layout/list1"/>
    <dgm:cxn modelId="{FB44C23D-A779-4F80-99D8-9FE375DC0FDA}" type="presParOf" srcId="{012614C1-2374-49C4-87E3-8E42A3BA9FE1}" destId="{54FC2FCA-1D00-4930-A60E-A7CA1C2FEEB2}" srcOrd="1" destOrd="0" presId="urn:microsoft.com/office/officeart/2005/8/layout/list1"/>
    <dgm:cxn modelId="{7F271889-386E-44BB-AD44-9B9AFC8B5CCB}" type="presParOf" srcId="{012614C1-2374-49C4-87E3-8E42A3BA9FE1}" destId="{080BF88F-EC58-4F08-B0C0-4DFFF8D252FD}" srcOrd="2" destOrd="0" presId="urn:microsoft.com/office/officeart/2005/8/layout/list1"/>
    <dgm:cxn modelId="{C48783EC-DA6F-40C2-ACA3-40374BB413B8}" type="presParOf" srcId="{012614C1-2374-49C4-87E3-8E42A3BA9FE1}" destId="{918A410E-AC07-456B-A566-DC4C0388B78E}" srcOrd="3" destOrd="0" presId="urn:microsoft.com/office/officeart/2005/8/layout/list1"/>
    <dgm:cxn modelId="{C21206AF-436B-4A55-A260-23F3792EE6DB}" type="presParOf" srcId="{012614C1-2374-49C4-87E3-8E42A3BA9FE1}" destId="{40804692-70B7-4CA7-A8CB-E29D039E84C1}" srcOrd="4" destOrd="0" presId="urn:microsoft.com/office/officeart/2005/8/layout/list1"/>
    <dgm:cxn modelId="{13B2F1A4-86BF-4D30-8C55-E6CF55A99AA0}" type="presParOf" srcId="{40804692-70B7-4CA7-A8CB-E29D039E84C1}" destId="{B0930965-06AC-48F8-816D-F0E9A2AFDDBA}" srcOrd="0" destOrd="0" presId="urn:microsoft.com/office/officeart/2005/8/layout/list1"/>
    <dgm:cxn modelId="{E8850EF8-17BC-45FB-A570-7C254DBA1704}" type="presParOf" srcId="{40804692-70B7-4CA7-A8CB-E29D039E84C1}" destId="{43B6FBF2-13DE-4050-A719-3D1CBD43D90E}" srcOrd="1" destOrd="0" presId="urn:microsoft.com/office/officeart/2005/8/layout/list1"/>
    <dgm:cxn modelId="{F656FDC3-6FD4-493A-8FCC-6941590D20EC}" type="presParOf" srcId="{012614C1-2374-49C4-87E3-8E42A3BA9FE1}" destId="{99AEDF23-DF85-45F2-96A8-A784204CBC4E}" srcOrd="5" destOrd="0" presId="urn:microsoft.com/office/officeart/2005/8/layout/list1"/>
    <dgm:cxn modelId="{D338FDC3-4975-450F-B549-025F2F539355}" type="presParOf" srcId="{012614C1-2374-49C4-87E3-8E42A3BA9FE1}" destId="{3AAE08B6-2ADB-4542-A5C4-5EDE1735EE42}" srcOrd="6" destOrd="0" presId="urn:microsoft.com/office/officeart/2005/8/layout/list1"/>
    <dgm:cxn modelId="{2D39DB4D-8D3B-4BEF-A834-42C74E6ABD77}" type="presParOf" srcId="{012614C1-2374-49C4-87E3-8E42A3BA9FE1}" destId="{DD18C57E-9CB4-4465-9D3D-C1CA9D541CB1}" srcOrd="7" destOrd="0" presId="urn:microsoft.com/office/officeart/2005/8/layout/list1"/>
    <dgm:cxn modelId="{1FD59BBF-0BDF-42CF-BD1E-BF2032A03284}" type="presParOf" srcId="{012614C1-2374-49C4-87E3-8E42A3BA9FE1}" destId="{D0B05241-DBCB-469D-9B36-2EA122EE653A}" srcOrd="8" destOrd="0" presId="urn:microsoft.com/office/officeart/2005/8/layout/list1"/>
    <dgm:cxn modelId="{71BF8979-C3D3-46E3-8983-1D199CD94C8F}" type="presParOf" srcId="{D0B05241-DBCB-469D-9B36-2EA122EE653A}" destId="{DEEE3AC3-2B3B-4C2A-948E-7F3EC62BF819}" srcOrd="0" destOrd="0" presId="urn:microsoft.com/office/officeart/2005/8/layout/list1"/>
    <dgm:cxn modelId="{0AB297F0-2725-4A88-A8D3-953A1A38086F}" type="presParOf" srcId="{D0B05241-DBCB-469D-9B36-2EA122EE653A}" destId="{3F1797A1-9507-40F1-BE74-8C51A87BAD79}" srcOrd="1" destOrd="0" presId="urn:microsoft.com/office/officeart/2005/8/layout/list1"/>
    <dgm:cxn modelId="{30FAFE3F-5870-41EA-8CE8-77A4007230D2}" type="presParOf" srcId="{012614C1-2374-49C4-87E3-8E42A3BA9FE1}" destId="{A2F73A16-8A90-4129-A235-3A04DD25A906}" srcOrd="9" destOrd="0" presId="urn:microsoft.com/office/officeart/2005/8/layout/list1"/>
    <dgm:cxn modelId="{EA0493A0-4415-4360-8C1C-027324A828DC}" type="presParOf" srcId="{012614C1-2374-49C4-87E3-8E42A3BA9FE1}" destId="{3A4658BE-0016-4C57-9265-D21109BA71FB}" srcOrd="10" destOrd="0" presId="urn:microsoft.com/office/officeart/2005/8/layout/list1"/>
    <dgm:cxn modelId="{5B1713DA-BC72-42D3-8DCA-66939FF521A0}" type="presParOf" srcId="{012614C1-2374-49C4-87E3-8E42A3BA9FE1}" destId="{F1F63333-1641-491C-A376-17D3149D0A49}" srcOrd="11" destOrd="0" presId="urn:microsoft.com/office/officeart/2005/8/layout/list1"/>
    <dgm:cxn modelId="{DD2D3660-0D25-4455-BBDB-441FD5BF99F1}" type="presParOf" srcId="{012614C1-2374-49C4-87E3-8E42A3BA9FE1}" destId="{305FBA74-98C7-4CC9-8A95-A470F9DF8752}" srcOrd="12" destOrd="0" presId="urn:microsoft.com/office/officeart/2005/8/layout/list1"/>
    <dgm:cxn modelId="{BC7A2C1E-0A44-44DC-AF37-D41B261E7117}" type="presParOf" srcId="{305FBA74-98C7-4CC9-8A95-A470F9DF8752}" destId="{3C135AD0-CD0B-48D3-AF86-3D834A4489F8}" srcOrd="0" destOrd="0" presId="urn:microsoft.com/office/officeart/2005/8/layout/list1"/>
    <dgm:cxn modelId="{C799183A-AE88-4CD5-A3CA-3618090CE487}" type="presParOf" srcId="{305FBA74-98C7-4CC9-8A95-A470F9DF8752}" destId="{D8854F96-FBAB-4E08-9E2B-F8D6445F3622}" srcOrd="1" destOrd="0" presId="urn:microsoft.com/office/officeart/2005/8/layout/list1"/>
    <dgm:cxn modelId="{CD6267A0-173D-4CE4-8158-73E227C62C99}" type="presParOf" srcId="{012614C1-2374-49C4-87E3-8E42A3BA9FE1}" destId="{42D3F590-C017-46FB-B932-89AF77FCB8D9}" srcOrd="13" destOrd="0" presId="urn:microsoft.com/office/officeart/2005/8/layout/list1"/>
    <dgm:cxn modelId="{6B380045-8B37-466F-8432-4E2C1B800266}" type="presParOf" srcId="{012614C1-2374-49C4-87E3-8E42A3BA9FE1}" destId="{4425554E-CAC0-427F-8CE3-C4D43AEED2F0}" srcOrd="14" destOrd="0" presId="urn:microsoft.com/office/officeart/2005/8/layout/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8CC52C-8518-415F-A3B9-70EDBEA2598B}" type="doc">
      <dgm:prSet loTypeId="urn:microsoft.com/office/officeart/2005/8/layout/radial6" loCatId="relationship" qsTypeId="urn:microsoft.com/office/officeart/2005/8/quickstyle/simple1#1" qsCatId="simple" csTypeId="urn:microsoft.com/office/officeart/2005/8/colors/colorful5" csCatId="colorful" phldr="1"/>
      <dgm:spPr/>
      <dgm:t>
        <a:bodyPr/>
        <a:lstStyle/>
        <a:p>
          <a:endParaRPr lang="lt-LT"/>
        </a:p>
      </dgm:t>
    </dgm:pt>
    <dgm:pt modelId="{ED9285D1-4514-4645-832C-A83C4E25D23B}">
      <dgm:prSet phldrT="[Tekstas]" custT="1">
        <dgm:style>
          <a:lnRef idx="0">
            <a:schemeClr val="accent4"/>
          </a:lnRef>
          <a:fillRef idx="3">
            <a:schemeClr val="accent4"/>
          </a:fillRef>
          <a:effectRef idx="3">
            <a:schemeClr val="accent4"/>
          </a:effectRef>
          <a:fontRef idx="minor">
            <a:schemeClr val="lt1"/>
          </a:fontRef>
        </dgm:style>
      </dgm:prSet>
      <dgm:spPr/>
      <dgm:t>
        <a:bodyPr/>
        <a:lstStyle/>
        <a:p>
          <a:pPr algn="ctr"/>
          <a:r>
            <a:rPr lang="lt-LT" sz="1100" b="1">
              <a:latin typeface="Times New Roman" pitchFamily="18" charset="0"/>
              <a:cs typeface="Times New Roman" pitchFamily="18" charset="0"/>
            </a:rPr>
            <a:t>KOMPLEKSINĖ TARPSEKTORINĖ INTEGRUOJANTI VEIKLA</a:t>
          </a:r>
        </a:p>
      </dgm:t>
    </dgm:pt>
    <dgm:pt modelId="{8A5A3D6F-1EE6-4753-ACB3-A671E7764F98}" type="parTrans" cxnId="{D6B55FEF-D557-487B-84CC-6F252E023828}">
      <dgm:prSet/>
      <dgm:spPr/>
      <dgm:t>
        <a:bodyPr/>
        <a:lstStyle/>
        <a:p>
          <a:pPr algn="ctr"/>
          <a:endParaRPr lang="lt-LT"/>
        </a:p>
      </dgm:t>
    </dgm:pt>
    <dgm:pt modelId="{1F91B537-D344-49A0-8561-C0DB0122F91A}" type="sibTrans" cxnId="{D6B55FEF-D557-487B-84CC-6F252E023828}">
      <dgm:prSet/>
      <dgm:spPr/>
      <dgm:t>
        <a:bodyPr/>
        <a:lstStyle/>
        <a:p>
          <a:pPr algn="ctr"/>
          <a:endParaRPr lang="lt-LT"/>
        </a:p>
      </dgm:t>
    </dgm:pt>
    <dgm:pt modelId="{2BFCAE3E-565B-40E6-B995-5B97B4F38B5B}">
      <dgm:prSet phldrT="[Tekstas]" custT="1">
        <dgm:style>
          <a:lnRef idx="0">
            <a:schemeClr val="accent5"/>
          </a:lnRef>
          <a:fillRef idx="3">
            <a:schemeClr val="accent5"/>
          </a:fillRef>
          <a:effectRef idx="3">
            <a:schemeClr val="accent5"/>
          </a:effectRef>
          <a:fontRef idx="minor">
            <a:schemeClr val="lt1"/>
          </a:fontRef>
        </dgm:style>
      </dgm:prSet>
      <dgm:spPr/>
      <dgm:t>
        <a:bodyPr/>
        <a:lstStyle/>
        <a:p>
          <a:pPr algn="ctr"/>
          <a:r>
            <a:rPr lang="lt-LT" sz="1100" b="1">
              <a:latin typeface="Times New Roman" pitchFamily="18" charset="0"/>
              <a:cs typeface="Times New Roman" pitchFamily="18" charset="0"/>
            </a:rPr>
            <a:t>UGDYMAS IR SAVIUGDA</a:t>
          </a:r>
        </a:p>
      </dgm:t>
    </dgm:pt>
    <dgm:pt modelId="{34017230-D505-4001-95CE-227C9C5F2E6F}" type="parTrans" cxnId="{D6FA60CD-2621-4DB9-8BAC-BB8CE9C3CEB7}">
      <dgm:prSet/>
      <dgm:spPr/>
      <dgm:t>
        <a:bodyPr/>
        <a:lstStyle/>
        <a:p>
          <a:pPr algn="ctr"/>
          <a:endParaRPr lang="lt-LT"/>
        </a:p>
      </dgm:t>
    </dgm:pt>
    <dgm:pt modelId="{13F09F0B-E29F-497C-81DF-3BC7B09DD757}" type="sibTrans" cxnId="{D6FA60CD-2621-4DB9-8BAC-BB8CE9C3CEB7}">
      <dgm:prSet/>
      <dgm:spPr/>
      <dgm:t>
        <a:bodyPr/>
        <a:lstStyle/>
        <a:p>
          <a:pPr algn="ctr"/>
          <a:endParaRPr lang="lt-LT"/>
        </a:p>
      </dgm:t>
    </dgm:pt>
    <dgm:pt modelId="{E0A869A6-24EB-4A6B-ADCF-45E297D16F58}">
      <dgm:prSet phldrT="[Tekstas]" custT="1">
        <dgm:style>
          <a:lnRef idx="0">
            <a:schemeClr val="accent3"/>
          </a:lnRef>
          <a:fillRef idx="3">
            <a:schemeClr val="accent3"/>
          </a:fillRef>
          <a:effectRef idx="3">
            <a:schemeClr val="accent3"/>
          </a:effectRef>
          <a:fontRef idx="minor">
            <a:schemeClr val="lt1"/>
          </a:fontRef>
        </dgm:style>
      </dgm:prSet>
      <dgm:spPr/>
      <dgm:t>
        <a:bodyPr/>
        <a:lstStyle/>
        <a:p>
          <a:pPr algn="ctr"/>
          <a:r>
            <a:rPr lang="lt-LT" sz="1100" b="1">
              <a:latin typeface="Times New Roman" pitchFamily="18" charset="0"/>
              <a:cs typeface="Times New Roman" pitchFamily="18" charset="0"/>
            </a:rPr>
            <a:t>BENDRADARBIAVIMAS IR PARTNERYSTĖ</a:t>
          </a:r>
        </a:p>
      </dgm:t>
    </dgm:pt>
    <dgm:pt modelId="{C64A7821-139E-4ECA-AB79-66723858E4BA}" type="parTrans" cxnId="{8914AD23-57D7-44C4-BC9F-C1DDEF6C9B43}">
      <dgm:prSet/>
      <dgm:spPr/>
      <dgm:t>
        <a:bodyPr/>
        <a:lstStyle/>
        <a:p>
          <a:pPr algn="ctr"/>
          <a:endParaRPr lang="lt-LT"/>
        </a:p>
      </dgm:t>
    </dgm:pt>
    <dgm:pt modelId="{C1CDD1BB-5774-4989-9C65-77C5C2D98EAC}" type="sibTrans" cxnId="{8914AD23-57D7-44C4-BC9F-C1DDEF6C9B43}">
      <dgm:prSet/>
      <dgm:spPr/>
      <dgm:t>
        <a:bodyPr/>
        <a:lstStyle/>
        <a:p>
          <a:pPr algn="ctr"/>
          <a:endParaRPr lang="lt-LT"/>
        </a:p>
      </dgm:t>
    </dgm:pt>
    <dgm:pt modelId="{CE60D8D3-8830-466F-9AAB-9050EF2FACB4}">
      <dgm:prSet phldrT="[Tekstas]" custT="1">
        <dgm:style>
          <a:lnRef idx="1">
            <a:schemeClr val="accent6"/>
          </a:lnRef>
          <a:fillRef idx="3">
            <a:schemeClr val="accent6"/>
          </a:fillRef>
          <a:effectRef idx="2">
            <a:schemeClr val="accent6"/>
          </a:effectRef>
          <a:fontRef idx="minor">
            <a:schemeClr val="lt1"/>
          </a:fontRef>
        </dgm:style>
      </dgm:prSet>
      <dgm:spPr/>
      <dgm:t>
        <a:bodyPr/>
        <a:lstStyle/>
        <a:p>
          <a:pPr algn="ctr"/>
          <a:r>
            <a:rPr lang="lt-LT" sz="1100" b="1">
              <a:latin typeface="Times New Roman" pitchFamily="18" charset="0"/>
              <a:cs typeface="Times New Roman" pitchFamily="18" charset="0"/>
            </a:rPr>
            <a:t>SAUGI IR SVEIKA MOKYMOSI APLINKA</a:t>
          </a:r>
        </a:p>
      </dgm:t>
    </dgm:pt>
    <dgm:pt modelId="{E6D63A4D-FFB9-4ED8-8B13-EE72D87C6C17}" type="parTrans" cxnId="{25847D33-51DD-4F53-84C8-50D11013A655}">
      <dgm:prSet/>
      <dgm:spPr/>
      <dgm:t>
        <a:bodyPr/>
        <a:lstStyle/>
        <a:p>
          <a:pPr algn="ctr"/>
          <a:endParaRPr lang="lt-LT"/>
        </a:p>
      </dgm:t>
    </dgm:pt>
    <dgm:pt modelId="{A96AC0F9-4CDB-418B-A993-EA7925907001}" type="sibTrans" cxnId="{25847D33-51DD-4F53-84C8-50D11013A655}">
      <dgm:prSet/>
      <dgm:spPr/>
      <dgm:t>
        <a:bodyPr/>
        <a:lstStyle/>
        <a:p>
          <a:pPr algn="ctr"/>
          <a:endParaRPr lang="lt-LT"/>
        </a:p>
      </dgm:t>
    </dgm:pt>
    <dgm:pt modelId="{FB64843F-7A5B-44EE-97D3-030A36B5F3EB}" type="pres">
      <dgm:prSet presAssocID="{018CC52C-8518-415F-A3B9-70EDBEA2598B}" presName="Name0" presStyleCnt="0">
        <dgm:presLayoutVars>
          <dgm:chMax val="1"/>
          <dgm:dir/>
          <dgm:animLvl val="ctr"/>
          <dgm:resizeHandles val="exact"/>
        </dgm:presLayoutVars>
      </dgm:prSet>
      <dgm:spPr/>
      <dgm:t>
        <a:bodyPr/>
        <a:lstStyle/>
        <a:p>
          <a:endParaRPr lang="lt-LT"/>
        </a:p>
      </dgm:t>
    </dgm:pt>
    <dgm:pt modelId="{992FEF8B-C7E2-4CE7-BA5B-041663045D79}" type="pres">
      <dgm:prSet presAssocID="{ED9285D1-4514-4645-832C-A83C4E25D23B}" presName="centerShape" presStyleLbl="node0" presStyleIdx="0" presStyleCnt="1" custScaleX="155427" custScaleY="140528"/>
      <dgm:spPr/>
      <dgm:t>
        <a:bodyPr/>
        <a:lstStyle/>
        <a:p>
          <a:endParaRPr lang="lt-LT"/>
        </a:p>
      </dgm:t>
    </dgm:pt>
    <dgm:pt modelId="{83D7831B-3FFD-427C-88CB-89B9ED78A979}" type="pres">
      <dgm:prSet presAssocID="{2BFCAE3E-565B-40E6-B995-5B97B4F38B5B}" presName="node" presStyleLbl="node1" presStyleIdx="0" presStyleCnt="3" custScaleX="154316" custScaleY="147548">
        <dgm:presLayoutVars>
          <dgm:bulletEnabled val="1"/>
        </dgm:presLayoutVars>
      </dgm:prSet>
      <dgm:spPr/>
      <dgm:t>
        <a:bodyPr/>
        <a:lstStyle/>
        <a:p>
          <a:endParaRPr lang="lt-LT"/>
        </a:p>
      </dgm:t>
    </dgm:pt>
    <dgm:pt modelId="{18D3E677-676B-4067-BB8B-535D2478B4D6}" type="pres">
      <dgm:prSet presAssocID="{2BFCAE3E-565B-40E6-B995-5B97B4F38B5B}" presName="dummy" presStyleCnt="0"/>
      <dgm:spPr/>
    </dgm:pt>
    <dgm:pt modelId="{2D1FBA8C-4EF4-4618-9A2F-6E3D6B96C6E1}" type="pres">
      <dgm:prSet presAssocID="{13F09F0B-E29F-497C-81DF-3BC7B09DD757}" presName="sibTrans" presStyleLbl="sibTrans2D1" presStyleIdx="0" presStyleCnt="3"/>
      <dgm:spPr/>
      <dgm:t>
        <a:bodyPr/>
        <a:lstStyle/>
        <a:p>
          <a:endParaRPr lang="lt-LT"/>
        </a:p>
      </dgm:t>
    </dgm:pt>
    <dgm:pt modelId="{5CEB2C6C-3A7E-4CB1-B443-F63550A33F7F}" type="pres">
      <dgm:prSet presAssocID="{E0A869A6-24EB-4A6B-ADCF-45E297D16F58}" presName="node" presStyleLbl="node1" presStyleIdx="1" presStyleCnt="3" custScaleX="195827" custScaleY="175214" custRadScaleRad="107495" custRadScaleInc="-5679">
        <dgm:presLayoutVars>
          <dgm:bulletEnabled val="1"/>
        </dgm:presLayoutVars>
      </dgm:prSet>
      <dgm:spPr/>
      <dgm:t>
        <a:bodyPr/>
        <a:lstStyle/>
        <a:p>
          <a:endParaRPr lang="lt-LT"/>
        </a:p>
      </dgm:t>
    </dgm:pt>
    <dgm:pt modelId="{12D019A7-9401-4FC1-83DF-95F513B7BAFA}" type="pres">
      <dgm:prSet presAssocID="{E0A869A6-24EB-4A6B-ADCF-45E297D16F58}" presName="dummy" presStyleCnt="0"/>
      <dgm:spPr/>
    </dgm:pt>
    <dgm:pt modelId="{66AB8FDD-9416-40EC-99E6-23B4411DD3E2}" type="pres">
      <dgm:prSet presAssocID="{C1CDD1BB-5774-4989-9C65-77C5C2D98EAC}" presName="sibTrans" presStyleLbl="sibTrans2D1" presStyleIdx="1" presStyleCnt="3"/>
      <dgm:spPr/>
      <dgm:t>
        <a:bodyPr/>
        <a:lstStyle/>
        <a:p>
          <a:endParaRPr lang="lt-LT"/>
        </a:p>
      </dgm:t>
    </dgm:pt>
    <dgm:pt modelId="{667A3304-5534-4042-855B-00D8062D087A}" type="pres">
      <dgm:prSet presAssocID="{CE60D8D3-8830-466F-9AAB-9050EF2FACB4}" presName="node" presStyleLbl="node1" presStyleIdx="2" presStyleCnt="3" custScaleX="192383" custScaleY="175609" custRadScaleRad="113632" custRadScaleInc="1031">
        <dgm:presLayoutVars>
          <dgm:bulletEnabled val="1"/>
        </dgm:presLayoutVars>
      </dgm:prSet>
      <dgm:spPr/>
      <dgm:t>
        <a:bodyPr/>
        <a:lstStyle/>
        <a:p>
          <a:endParaRPr lang="lt-LT"/>
        </a:p>
      </dgm:t>
    </dgm:pt>
    <dgm:pt modelId="{24D0DD9D-4393-48BC-9A49-371398C2C1AF}" type="pres">
      <dgm:prSet presAssocID="{CE60D8D3-8830-466F-9AAB-9050EF2FACB4}" presName="dummy" presStyleCnt="0"/>
      <dgm:spPr/>
    </dgm:pt>
    <dgm:pt modelId="{7DA5D36B-DBD9-428A-83F6-60507DC9163A}" type="pres">
      <dgm:prSet presAssocID="{A96AC0F9-4CDB-418B-A993-EA7925907001}" presName="sibTrans" presStyleLbl="sibTrans2D1" presStyleIdx="2" presStyleCnt="3"/>
      <dgm:spPr/>
      <dgm:t>
        <a:bodyPr/>
        <a:lstStyle/>
        <a:p>
          <a:endParaRPr lang="lt-LT"/>
        </a:p>
      </dgm:t>
    </dgm:pt>
  </dgm:ptLst>
  <dgm:cxnLst>
    <dgm:cxn modelId="{2D407781-D6AC-4AA5-9C8A-03E13CB6A25C}" type="presOf" srcId="{13F09F0B-E29F-497C-81DF-3BC7B09DD757}" destId="{2D1FBA8C-4EF4-4618-9A2F-6E3D6B96C6E1}" srcOrd="0" destOrd="0" presId="urn:microsoft.com/office/officeart/2005/8/layout/radial6"/>
    <dgm:cxn modelId="{7802492B-BCBD-4DE8-923C-BCE535A68FFF}" type="presOf" srcId="{2BFCAE3E-565B-40E6-B995-5B97B4F38B5B}" destId="{83D7831B-3FFD-427C-88CB-89B9ED78A979}" srcOrd="0" destOrd="0" presId="urn:microsoft.com/office/officeart/2005/8/layout/radial6"/>
    <dgm:cxn modelId="{83B29117-4DFE-4B2C-A1CA-8FDFDF019B15}" type="presOf" srcId="{CE60D8D3-8830-466F-9AAB-9050EF2FACB4}" destId="{667A3304-5534-4042-855B-00D8062D087A}" srcOrd="0" destOrd="0" presId="urn:microsoft.com/office/officeart/2005/8/layout/radial6"/>
    <dgm:cxn modelId="{D6FA60CD-2621-4DB9-8BAC-BB8CE9C3CEB7}" srcId="{ED9285D1-4514-4645-832C-A83C4E25D23B}" destId="{2BFCAE3E-565B-40E6-B995-5B97B4F38B5B}" srcOrd="0" destOrd="0" parTransId="{34017230-D505-4001-95CE-227C9C5F2E6F}" sibTransId="{13F09F0B-E29F-497C-81DF-3BC7B09DD757}"/>
    <dgm:cxn modelId="{25847D33-51DD-4F53-84C8-50D11013A655}" srcId="{ED9285D1-4514-4645-832C-A83C4E25D23B}" destId="{CE60D8D3-8830-466F-9AAB-9050EF2FACB4}" srcOrd="2" destOrd="0" parTransId="{E6D63A4D-FFB9-4ED8-8B13-EE72D87C6C17}" sibTransId="{A96AC0F9-4CDB-418B-A993-EA7925907001}"/>
    <dgm:cxn modelId="{8914AD23-57D7-44C4-BC9F-C1DDEF6C9B43}" srcId="{ED9285D1-4514-4645-832C-A83C4E25D23B}" destId="{E0A869A6-24EB-4A6B-ADCF-45E297D16F58}" srcOrd="1" destOrd="0" parTransId="{C64A7821-139E-4ECA-AB79-66723858E4BA}" sibTransId="{C1CDD1BB-5774-4989-9C65-77C5C2D98EAC}"/>
    <dgm:cxn modelId="{BBD8815B-03DE-4232-A5EA-397EF83DE080}" type="presOf" srcId="{ED9285D1-4514-4645-832C-A83C4E25D23B}" destId="{992FEF8B-C7E2-4CE7-BA5B-041663045D79}" srcOrd="0" destOrd="0" presId="urn:microsoft.com/office/officeart/2005/8/layout/radial6"/>
    <dgm:cxn modelId="{D6B55FEF-D557-487B-84CC-6F252E023828}" srcId="{018CC52C-8518-415F-A3B9-70EDBEA2598B}" destId="{ED9285D1-4514-4645-832C-A83C4E25D23B}" srcOrd="0" destOrd="0" parTransId="{8A5A3D6F-1EE6-4753-ACB3-A671E7764F98}" sibTransId="{1F91B537-D344-49A0-8561-C0DB0122F91A}"/>
    <dgm:cxn modelId="{8A3875C8-A383-470F-A263-DF02DDA4BCD8}" type="presOf" srcId="{E0A869A6-24EB-4A6B-ADCF-45E297D16F58}" destId="{5CEB2C6C-3A7E-4CB1-B443-F63550A33F7F}" srcOrd="0" destOrd="0" presId="urn:microsoft.com/office/officeart/2005/8/layout/radial6"/>
    <dgm:cxn modelId="{87013AD9-FFA4-4EF9-A1B5-AE22B7AA7ED1}" type="presOf" srcId="{A96AC0F9-4CDB-418B-A993-EA7925907001}" destId="{7DA5D36B-DBD9-428A-83F6-60507DC9163A}" srcOrd="0" destOrd="0" presId="urn:microsoft.com/office/officeart/2005/8/layout/radial6"/>
    <dgm:cxn modelId="{A4594832-FBC7-49E1-AF66-D479FCC43225}" type="presOf" srcId="{018CC52C-8518-415F-A3B9-70EDBEA2598B}" destId="{FB64843F-7A5B-44EE-97D3-030A36B5F3EB}" srcOrd="0" destOrd="0" presId="urn:microsoft.com/office/officeart/2005/8/layout/radial6"/>
    <dgm:cxn modelId="{28003392-DABE-4667-B10F-F12D7233E404}" type="presOf" srcId="{C1CDD1BB-5774-4989-9C65-77C5C2D98EAC}" destId="{66AB8FDD-9416-40EC-99E6-23B4411DD3E2}" srcOrd="0" destOrd="0" presId="urn:microsoft.com/office/officeart/2005/8/layout/radial6"/>
    <dgm:cxn modelId="{9FAB000D-8232-49CE-A2CF-BA60AED82F7E}" type="presParOf" srcId="{FB64843F-7A5B-44EE-97D3-030A36B5F3EB}" destId="{992FEF8B-C7E2-4CE7-BA5B-041663045D79}" srcOrd="0" destOrd="0" presId="urn:microsoft.com/office/officeart/2005/8/layout/radial6"/>
    <dgm:cxn modelId="{F15E9B83-AC5C-45A1-B34F-33AA8BD4BE4D}" type="presParOf" srcId="{FB64843F-7A5B-44EE-97D3-030A36B5F3EB}" destId="{83D7831B-3FFD-427C-88CB-89B9ED78A979}" srcOrd="1" destOrd="0" presId="urn:microsoft.com/office/officeart/2005/8/layout/radial6"/>
    <dgm:cxn modelId="{060A86EA-B883-4900-ACD4-7D86089AACDE}" type="presParOf" srcId="{FB64843F-7A5B-44EE-97D3-030A36B5F3EB}" destId="{18D3E677-676B-4067-BB8B-535D2478B4D6}" srcOrd="2" destOrd="0" presId="urn:microsoft.com/office/officeart/2005/8/layout/radial6"/>
    <dgm:cxn modelId="{7DC9B8A6-9003-4EA8-800C-D8FE5B36FFD6}" type="presParOf" srcId="{FB64843F-7A5B-44EE-97D3-030A36B5F3EB}" destId="{2D1FBA8C-4EF4-4618-9A2F-6E3D6B96C6E1}" srcOrd="3" destOrd="0" presId="urn:microsoft.com/office/officeart/2005/8/layout/radial6"/>
    <dgm:cxn modelId="{ACB2B571-5890-4456-B4A8-0CAC9065D14F}" type="presParOf" srcId="{FB64843F-7A5B-44EE-97D3-030A36B5F3EB}" destId="{5CEB2C6C-3A7E-4CB1-B443-F63550A33F7F}" srcOrd="4" destOrd="0" presId="urn:microsoft.com/office/officeart/2005/8/layout/radial6"/>
    <dgm:cxn modelId="{10D3BF64-0ABC-4309-9504-ACF6EB49DE1E}" type="presParOf" srcId="{FB64843F-7A5B-44EE-97D3-030A36B5F3EB}" destId="{12D019A7-9401-4FC1-83DF-95F513B7BAFA}" srcOrd="5" destOrd="0" presId="urn:microsoft.com/office/officeart/2005/8/layout/radial6"/>
    <dgm:cxn modelId="{0175AF06-4C95-4E63-98FB-A985C90A0CE4}" type="presParOf" srcId="{FB64843F-7A5B-44EE-97D3-030A36B5F3EB}" destId="{66AB8FDD-9416-40EC-99E6-23B4411DD3E2}" srcOrd="6" destOrd="0" presId="urn:microsoft.com/office/officeart/2005/8/layout/radial6"/>
    <dgm:cxn modelId="{510B0F19-7642-47B1-9B96-157620F6D05D}" type="presParOf" srcId="{FB64843F-7A5B-44EE-97D3-030A36B5F3EB}" destId="{667A3304-5534-4042-855B-00D8062D087A}" srcOrd="7" destOrd="0" presId="urn:microsoft.com/office/officeart/2005/8/layout/radial6"/>
    <dgm:cxn modelId="{078C297E-706E-4DE0-80A6-005745A5012D}" type="presParOf" srcId="{FB64843F-7A5B-44EE-97D3-030A36B5F3EB}" destId="{24D0DD9D-4393-48BC-9A49-371398C2C1AF}" srcOrd="8" destOrd="0" presId="urn:microsoft.com/office/officeart/2005/8/layout/radial6"/>
    <dgm:cxn modelId="{C737136D-FA48-4CCA-916F-BD22777D5FE5}" type="presParOf" srcId="{FB64843F-7A5B-44EE-97D3-030A36B5F3EB}" destId="{7DA5D36B-DBD9-428A-83F6-60507DC9163A}" srcOrd="9" destOrd="0" presId="urn:microsoft.com/office/officeart/2005/8/layout/radial6"/>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382615-F64E-454B-ABE6-D167D6CBCE03}">
      <dsp:nvSpPr>
        <dsp:cNvPr id="0" name=""/>
        <dsp:cNvSpPr/>
      </dsp:nvSpPr>
      <dsp:spPr>
        <a:xfrm>
          <a:off x="0" y="0"/>
          <a:ext cx="3502518" cy="351798"/>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lt-LT" sz="1400" b="1" kern="1200">
              <a:latin typeface="Times New Roman" pitchFamily="18" charset="0"/>
              <a:cs typeface="Times New Roman" pitchFamily="18" charset="0"/>
            </a:rPr>
            <a:t>BIUDŽETO SUDARYMAS IR KONTROLĖ</a:t>
          </a:r>
        </a:p>
      </dsp:txBody>
      <dsp:txXfrm>
        <a:off x="0" y="0"/>
        <a:ext cx="3113781" cy="351798"/>
      </dsp:txXfrm>
    </dsp:sp>
    <dsp:sp modelId="{7BD0D3D1-15B5-4725-8CB7-806D11F3FDB9}">
      <dsp:nvSpPr>
        <dsp:cNvPr id="0" name=""/>
        <dsp:cNvSpPr/>
      </dsp:nvSpPr>
      <dsp:spPr>
        <a:xfrm>
          <a:off x="293335" y="415761"/>
          <a:ext cx="3502518" cy="35179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lt-LT" sz="1400" b="1" kern="1200">
              <a:latin typeface="Times New Roman" pitchFamily="18" charset="0"/>
              <a:cs typeface="Times New Roman" pitchFamily="18" charset="0"/>
            </a:rPr>
            <a:t>ILGALAIKIS PLANAVIMAS</a:t>
          </a:r>
        </a:p>
      </dsp:txBody>
      <dsp:txXfrm>
        <a:off x="293335" y="415761"/>
        <a:ext cx="2980513" cy="351798"/>
      </dsp:txXfrm>
    </dsp:sp>
    <dsp:sp modelId="{7D0D0AE8-7AC9-4571-B62C-6D621F9BEC96}">
      <dsp:nvSpPr>
        <dsp:cNvPr id="0" name=""/>
        <dsp:cNvSpPr/>
      </dsp:nvSpPr>
      <dsp:spPr>
        <a:xfrm>
          <a:off x="582293" y="831523"/>
          <a:ext cx="3502518" cy="35179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lt-LT" sz="1400" b="1" kern="1200">
              <a:latin typeface="Times New Roman" pitchFamily="18" charset="0"/>
              <a:cs typeface="Times New Roman" pitchFamily="18" charset="0"/>
            </a:rPr>
            <a:t>STRATEGINIS PLANAVIMAS</a:t>
          </a:r>
        </a:p>
      </dsp:txBody>
      <dsp:txXfrm>
        <a:off x="582293" y="831523"/>
        <a:ext cx="2984891" cy="351798"/>
      </dsp:txXfrm>
    </dsp:sp>
    <dsp:sp modelId="{BD9A17A6-F06E-4FBB-8F02-69E889EDE249}">
      <dsp:nvSpPr>
        <dsp:cNvPr id="0" name=""/>
        <dsp:cNvSpPr/>
      </dsp:nvSpPr>
      <dsp:spPr>
        <a:xfrm>
          <a:off x="875629" y="1247284"/>
          <a:ext cx="3502518" cy="35179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lt-LT" sz="1400" b="1" kern="1200">
              <a:latin typeface="Times New Roman" pitchFamily="18" charset="0"/>
              <a:cs typeface="Times New Roman" pitchFamily="18" charset="0"/>
            </a:rPr>
            <a:t>STARTEGINIS VALDYMAS</a:t>
          </a:r>
        </a:p>
      </dsp:txBody>
      <dsp:txXfrm>
        <a:off x="875629" y="1247284"/>
        <a:ext cx="2980513" cy="351798"/>
      </dsp:txXfrm>
    </dsp:sp>
    <dsp:sp modelId="{5A7D7E88-5F91-4E0E-A042-9FDD9642609E}">
      <dsp:nvSpPr>
        <dsp:cNvPr id="0" name=""/>
        <dsp:cNvSpPr/>
      </dsp:nvSpPr>
      <dsp:spPr>
        <a:xfrm>
          <a:off x="3273849" y="269445"/>
          <a:ext cx="228668" cy="228668"/>
        </a:xfrm>
        <a:prstGeom prst="downArrow">
          <a:avLst>
            <a:gd name="adj1" fmla="val 55000"/>
            <a:gd name="adj2" fmla="val 45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just" defTabSz="444500">
            <a:lnSpc>
              <a:spcPct val="90000"/>
            </a:lnSpc>
            <a:spcBef>
              <a:spcPct val="0"/>
            </a:spcBef>
            <a:spcAft>
              <a:spcPct val="35000"/>
            </a:spcAft>
          </a:pPr>
          <a:endParaRPr lang="lt-LT" sz="1000" kern="1200"/>
        </a:p>
      </dsp:txBody>
      <dsp:txXfrm>
        <a:off x="3273849" y="269445"/>
        <a:ext cx="228668" cy="228668"/>
      </dsp:txXfrm>
    </dsp:sp>
    <dsp:sp modelId="{81242D02-3337-413A-95BA-95B4C74CE1D7}">
      <dsp:nvSpPr>
        <dsp:cNvPr id="0" name=""/>
        <dsp:cNvSpPr/>
      </dsp:nvSpPr>
      <dsp:spPr>
        <a:xfrm>
          <a:off x="3567185" y="685207"/>
          <a:ext cx="228668" cy="228668"/>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just" defTabSz="444500">
            <a:lnSpc>
              <a:spcPct val="90000"/>
            </a:lnSpc>
            <a:spcBef>
              <a:spcPct val="0"/>
            </a:spcBef>
            <a:spcAft>
              <a:spcPct val="35000"/>
            </a:spcAft>
          </a:pPr>
          <a:endParaRPr lang="lt-LT" sz="1000" kern="1200"/>
        </a:p>
      </dsp:txBody>
      <dsp:txXfrm>
        <a:off x="3567185" y="685207"/>
        <a:ext cx="228668" cy="228668"/>
      </dsp:txXfrm>
    </dsp:sp>
    <dsp:sp modelId="{22A4EDC8-D1EF-4AFF-ADC1-8385AD97445E}">
      <dsp:nvSpPr>
        <dsp:cNvPr id="0" name=""/>
        <dsp:cNvSpPr/>
      </dsp:nvSpPr>
      <dsp:spPr>
        <a:xfrm>
          <a:off x="3856143" y="1100968"/>
          <a:ext cx="228668" cy="228668"/>
        </a:xfrm>
        <a:prstGeom prst="downArrow">
          <a:avLst>
            <a:gd name="adj1" fmla="val 55000"/>
            <a:gd name="adj2" fmla="val 45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just" defTabSz="444500">
            <a:lnSpc>
              <a:spcPct val="90000"/>
            </a:lnSpc>
            <a:spcBef>
              <a:spcPct val="0"/>
            </a:spcBef>
            <a:spcAft>
              <a:spcPct val="35000"/>
            </a:spcAft>
          </a:pPr>
          <a:endParaRPr lang="lt-LT" sz="1000" kern="1200"/>
        </a:p>
      </dsp:txBody>
      <dsp:txXfrm>
        <a:off x="3856143" y="1100968"/>
        <a:ext cx="228668" cy="2286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BEF69B-37AD-4608-B15C-95B84EC9336C}">
      <dsp:nvSpPr>
        <dsp:cNvPr id="0" name=""/>
        <dsp:cNvSpPr/>
      </dsp:nvSpPr>
      <dsp:spPr>
        <a:xfrm>
          <a:off x="0" y="178142"/>
          <a:ext cx="4265791" cy="2016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7731A8E2-A2B6-42AD-B2C4-9FE38ED00C75}">
      <dsp:nvSpPr>
        <dsp:cNvPr id="0" name=""/>
        <dsp:cNvSpPr/>
      </dsp:nvSpPr>
      <dsp:spPr>
        <a:xfrm>
          <a:off x="802583" y="55563"/>
          <a:ext cx="2986054" cy="2361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2866" tIns="0" rIns="112866" bIns="0" numCol="1" spcCol="1270" anchor="ctr" anchorCtr="0">
          <a:noAutofit/>
        </a:bodyPr>
        <a:lstStyle/>
        <a:p>
          <a:pPr lvl="0" algn="ctr" defTabSz="622300">
            <a:lnSpc>
              <a:spcPct val="90000"/>
            </a:lnSpc>
            <a:spcBef>
              <a:spcPct val="0"/>
            </a:spcBef>
            <a:spcAft>
              <a:spcPct val="35000"/>
            </a:spcAft>
          </a:pPr>
          <a:r>
            <a:rPr lang="lt-LT" sz="1400" b="1" kern="1200">
              <a:latin typeface="Times New Roman" pitchFamily="18" charset="0"/>
              <a:cs typeface="Times New Roman" pitchFamily="18" charset="0"/>
            </a:rPr>
            <a:t>APLINKOS ANALIZĖ</a:t>
          </a:r>
        </a:p>
      </dsp:txBody>
      <dsp:txXfrm>
        <a:off x="802583" y="55563"/>
        <a:ext cx="2986054" cy="236160"/>
      </dsp:txXfrm>
    </dsp:sp>
    <dsp:sp modelId="{A897AA86-1A2C-42AC-8644-17CD59A2085F}">
      <dsp:nvSpPr>
        <dsp:cNvPr id="0" name=""/>
        <dsp:cNvSpPr/>
      </dsp:nvSpPr>
      <dsp:spPr>
        <a:xfrm>
          <a:off x="0" y="541022"/>
          <a:ext cx="4265791" cy="2016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8BDFDD5F-0416-4818-B6CF-C57F0678F12C}">
      <dsp:nvSpPr>
        <dsp:cNvPr id="0" name=""/>
        <dsp:cNvSpPr/>
      </dsp:nvSpPr>
      <dsp:spPr>
        <a:xfrm>
          <a:off x="763286" y="422942"/>
          <a:ext cx="2986054" cy="23616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2866" tIns="0" rIns="112866" bIns="0" numCol="1" spcCol="1270" anchor="ctr" anchorCtr="0">
          <a:noAutofit/>
        </a:bodyPr>
        <a:lstStyle/>
        <a:p>
          <a:pPr lvl="0" algn="ctr" defTabSz="622300">
            <a:lnSpc>
              <a:spcPct val="90000"/>
            </a:lnSpc>
            <a:spcBef>
              <a:spcPct val="0"/>
            </a:spcBef>
            <a:spcAft>
              <a:spcPct val="35000"/>
            </a:spcAft>
          </a:pPr>
          <a:r>
            <a:rPr lang="lt-LT" sz="1400" b="1" kern="1200">
              <a:latin typeface="Times New Roman" pitchFamily="18" charset="0"/>
              <a:cs typeface="Times New Roman" pitchFamily="18" charset="0"/>
            </a:rPr>
            <a:t>STRATEGIJOS KŪRIMAS</a:t>
          </a:r>
        </a:p>
      </dsp:txBody>
      <dsp:txXfrm>
        <a:off x="763286" y="422942"/>
        <a:ext cx="2986054" cy="236160"/>
      </dsp:txXfrm>
    </dsp:sp>
    <dsp:sp modelId="{21B001B3-E8EB-427F-BC01-E290F2E143B8}">
      <dsp:nvSpPr>
        <dsp:cNvPr id="0" name=""/>
        <dsp:cNvSpPr/>
      </dsp:nvSpPr>
      <dsp:spPr>
        <a:xfrm>
          <a:off x="0" y="903902"/>
          <a:ext cx="4265791" cy="2016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C759D7D7-F22A-423E-A30E-7B10B29E9EC1}">
      <dsp:nvSpPr>
        <dsp:cNvPr id="0" name=""/>
        <dsp:cNvSpPr/>
      </dsp:nvSpPr>
      <dsp:spPr>
        <a:xfrm>
          <a:off x="828770" y="759152"/>
          <a:ext cx="2986054" cy="236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2866" tIns="0" rIns="112866" bIns="0" numCol="1" spcCol="1270" anchor="ctr" anchorCtr="0">
          <a:noAutofit/>
        </a:bodyPr>
        <a:lstStyle/>
        <a:p>
          <a:pPr lvl="0" algn="ctr" defTabSz="622300">
            <a:lnSpc>
              <a:spcPct val="90000"/>
            </a:lnSpc>
            <a:spcBef>
              <a:spcPct val="0"/>
            </a:spcBef>
            <a:spcAft>
              <a:spcPct val="35000"/>
            </a:spcAft>
          </a:pPr>
          <a:r>
            <a:rPr lang="lt-LT" sz="1400" b="1" kern="1200">
              <a:latin typeface="Times New Roman" pitchFamily="18" charset="0"/>
              <a:cs typeface="Times New Roman" pitchFamily="18" charset="0"/>
            </a:rPr>
            <a:t>STRATEGIJOS ĮGYVENDINIMAS</a:t>
          </a:r>
        </a:p>
      </dsp:txBody>
      <dsp:txXfrm>
        <a:off x="828770" y="759152"/>
        <a:ext cx="2986054" cy="236160"/>
      </dsp:txXfrm>
    </dsp:sp>
    <dsp:sp modelId="{FB82A82E-396D-453F-982A-09737F3FBC21}">
      <dsp:nvSpPr>
        <dsp:cNvPr id="0" name=""/>
        <dsp:cNvSpPr/>
      </dsp:nvSpPr>
      <dsp:spPr>
        <a:xfrm>
          <a:off x="0" y="1266782"/>
          <a:ext cx="4265791" cy="2016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AEA9FB9-6ED4-4E34-87F7-60225CECB025}">
      <dsp:nvSpPr>
        <dsp:cNvPr id="0" name=""/>
        <dsp:cNvSpPr/>
      </dsp:nvSpPr>
      <dsp:spPr>
        <a:xfrm>
          <a:off x="884580" y="1137272"/>
          <a:ext cx="2986054" cy="23616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2866" tIns="0" rIns="112866" bIns="0" numCol="1" spcCol="1270" anchor="ctr" anchorCtr="0">
          <a:noAutofit/>
        </a:bodyPr>
        <a:lstStyle/>
        <a:p>
          <a:pPr lvl="0" algn="ctr" defTabSz="622300">
            <a:lnSpc>
              <a:spcPct val="90000"/>
            </a:lnSpc>
            <a:spcBef>
              <a:spcPct val="0"/>
            </a:spcBef>
            <a:spcAft>
              <a:spcPct val="35000"/>
            </a:spcAft>
          </a:pPr>
          <a:r>
            <a:rPr lang="lt-LT" sz="1400" b="1" kern="1200">
              <a:latin typeface="Times New Roman" pitchFamily="18" charset="0"/>
              <a:cs typeface="Times New Roman" pitchFamily="18" charset="0"/>
            </a:rPr>
            <a:t>VERTINIMAS IR KONTROLĖ</a:t>
          </a:r>
        </a:p>
      </dsp:txBody>
      <dsp:txXfrm>
        <a:off x="884580" y="1137272"/>
        <a:ext cx="2986054" cy="2361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0BF88F-EC58-4F08-B0C0-4DFFF8D252FD}">
      <dsp:nvSpPr>
        <dsp:cNvPr id="0" name=""/>
        <dsp:cNvSpPr/>
      </dsp:nvSpPr>
      <dsp:spPr>
        <a:xfrm>
          <a:off x="0" y="233141"/>
          <a:ext cx="5508570" cy="699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526" tIns="124968" rIns="42752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Sudarant strateginius planus reikia atsižvelgti ne tik į tai ko norima, tačiau ir į besikeičiančią aplinką, kuri neišvengiamai daro įtaką vykdomai veiklai.</a:t>
          </a:r>
        </a:p>
      </dsp:txBody>
      <dsp:txXfrm>
        <a:off x="0" y="233141"/>
        <a:ext cx="5508570" cy="699300"/>
      </dsp:txXfrm>
    </dsp:sp>
    <dsp:sp modelId="{F95F6832-7000-44E9-8819-FF00B1C818A1}">
      <dsp:nvSpPr>
        <dsp:cNvPr id="0" name=""/>
        <dsp:cNvSpPr/>
      </dsp:nvSpPr>
      <dsp:spPr>
        <a:xfrm>
          <a:off x="275428" y="68163"/>
          <a:ext cx="3855999" cy="2535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748" tIns="0" rIns="145748" bIns="0" numCol="1" spcCol="1270" anchor="ctr" anchorCtr="0">
          <a:noAutofit/>
        </a:bodyPr>
        <a:lstStyle/>
        <a:p>
          <a:pPr lvl="0" algn="l" defTabSz="533400">
            <a:lnSpc>
              <a:spcPct val="90000"/>
            </a:lnSpc>
            <a:spcBef>
              <a:spcPct val="0"/>
            </a:spcBef>
            <a:spcAft>
              <a:spcPct val="35000"/>
            </a:spcAft>
          </a:pPr>
          <a:r>
            <a:rPr lang="lt-LT" sz="1200" kern="1200">
              <a:latin typeface="Times New Roman" pitchFamily="18" charset="0"/>
              <a:cs typeface="Times New Roman" pitchFamily="18" charset="0"/>
            </a:rPr>
            <a:t>Strateginis planavimas yra susijęs su prisitaikymu prie besikeičiančios aplinkos</a:t>
          </a:r>
        </a:p>
      </dsp:txBody>
      <dsp:txXfrm>
        <a:off x="275428" y="68163"/>
        <a:ext cx="3855999" cy="253538"/>
      </dsp:txXfrm>
    </dsp:sp>
    <dsp:sp modelId="{3AAE08B6-2ADB-4542-A5C4-5EDE1735EE42}">
      <dsp:nvSpPr>
        <dsp:cNvPr id="0" name=""/>
        <dsp:cNvSpPr/>
      </dsp:nvSpPr>
      <dsp:spPr>
        <a:xfrm>
          <a:off x="0" y="1053401"/>
          <a:ext cx="5508570" cy="529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526" tIns="124968" rIns="42752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Praeitis planuojant reikalinga tik tiek, kiek iš jos galima spręsti apie ateitį ar pasimokyti nedaryti tų pačių klaidų.</a:t>
          </a:r>
        </a:p>
      </dsp:txBody>
      <dsp:txXfrm>
        <a:off x="0" y="1053401"/>
        <a:ext cx="5508570" cy="529200"/>
      </dsp:txXfrm>
    </dsp:sp>
    <dsp:sp modelId="{43B6FBF2-13DE-4050-A719-3D1CBD43D90E}">
      <dsp:nvSpPr>
        <dsp:cNvPr id="0" name=""/>
        <dsp:cNvSpPr/>
      </dsp:nvSpPr>
      <dsp:spPr>
        <a:xfrm>
          <a:off x="299377" y="958878"/>
          <a:ext cx="3855999" cy="1771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748" tIns="0" rIns="145748" bIns="0" numCol="1" spcCol="1270" anchor="ctr" anchorCtr="0">
          <a:noAutofit/>
        </a:bodyPr>
        <a:lstStyle/>
        <a:p>
          <a:pPr lvl="0" algn="l" defTabSz="533400">
            <a:lnSpc>
              <a:spcPct val="90000"/>
            </a:lnSpc>
            <a:spcBef>
              <a:spcPct val="0"/>
            </a:spcBef>
            <a:spcAft>
              <a:spcPct val="35000"/>
            </a:spcAft>
          </a:pPr>
          <a:r>
            <a:rPr lang="lt-LT" sz="1200" kern="1200">
              <a:latin typeface="Times New Roman" pitchFamily="18" charset="0"/>
              <a:cs typeface="Times New Roman" pitchFamily="18" charset="0"/>
            </a:rPr>
            <a:t>Strateginis planavimas nukreiptas į ateitį</a:t>
          </a:r>
        </a:p>
      </dsp:txBody>
      <dsp:txXfrm>
        <a:off x="299377" y="958878"/>
        <a:ext cx="3855999" cy="177119"/>
      </dsp:txXfrm>
    </dsp:sp>
    <dsp:sp modelId="{3A4658BE-0016-4C57-9265-D21109BA71FB}">
      <dsp:nvSpPr>
        <dsp:cNvPr id="0" name=""/>
        <dsp:cNvSpPr/>
      </dsp:nvSpPr>
      <dsp:spPr>
        <a:xfrm>
          <a:off x="0" y="1703561"/>
          <a:ext cx="5508570" cy="6993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526" tIns="124968" rIns="42752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Jis apima ne tik tiesiogiai su vykdoma veikla susijusius klausimus, bet visą organizacijos aplinką: politiką, ekonomiką, socialinę situaciją, technologijas ir t.t.</a:t>
          </a:r>
        </a:p>
      </dsp:txBody>
      <dsp:txXfrm>
        <a:off x="0" y="1703561"/>
        <a:ext cx="5508570" cy="699300"/>
      </dsp:txXfrm>
    </dsp:sp>
    <dsp:sp modelId="{3F1797A1-9507-40F1-BE74-8C51A87BAD79}">
      <dsp:nvSpPr>
        <dsp:cNvPr id="0" name=""/>
        <dsp:cNvSpPr/>
      </dsp:nvSpPr>
      <dsp:spPr>
        <a:xfrm>
          <a:off x="275428" y="1615001"/>
          <a:ext cx="3855999" cy="1771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748" tIns="0" rIns="145748" bIns="0" numCol="1" spcCol="1270" anchor="ctr" anchorCtr="0">
          <a:noAutofit/>
        </a:bodyPr>
        <a:lstStyle/>
        <a:p>
          <a:pPr lvl="0" algn="l" defTabSz="533400">
            <a:lnSpc>
              <a:spcPct val="90000"/>
            </a:lnSpc>
            <a:spcBef>
              <a:spcPct val="0"/>
            </a:spcBef>
            <a:spcAft>
              <a:spcPct val="35000"/>
            </a:spcAft>
          </a:pPr>
          <a:r>
            <a:rPr lang="lt-LT" sz="1200" kern="1200">
              <a:latin typeface="Times New Roman" pitchFamily="18" charset="0"/>
              <a:cs typeface="Times New Roman" pitchFamily="18" charset="0"/>
            </a:rPr>
            <a:t>Strateginis planavimas yra išsamus ir visapusiškas</a:t>
          </a:r>
        </a:p>
      </dsp:txBody>
      <dsp:txXfrm>
        <a:off x="275428" y="1615001"/>
        <a:ext cx="3855999" cy="177119"/>
      </dsp:txXfrm>
    </dsp:sp>
    <dsp:sp modelId="{4425554E-CAC0-427F-8CE3-C4D43AEED2F0}">
      <dsp:nvSpPr>
        <dsp:cNvPr id="0" name=""/>
        <dsp:cNvSpPr/>
      </dsp:nvSpPr>
      <dsp:spPr>
        <a:xfrm>
          <a:off x="0" y="2523821"/>
          <a:ext cx="5508570" cy="869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526" tIns="124968" rIns="42752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Tai svarbiausia strateginio planavimo proceso savybė.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Susitarimas turi būti priimtas pritariant kiekvienam organizacijos atstovui, balsavimas čia netinka, nes sudaro galimybę priimti sprendimą prieš kieno nors valią. </a:t>
          </a:r>
        </a:p>
      </dsp:txBody>
      <dsp:txXfrm>
        <a:off x="0" y="2523821"/>
        <a:ext cx="5508570" cy="869400"/>
      </dsp:txXfrm>
    </dsp:sp>
    <dsp:sp modelId="{D8854F96-FBAB-4E08-9E2B-F8D6445F3622}">
      <dsp:nvSpPr>
        <dsp:cNvPr id="0" name=""/>
        <dsp:cNvSpPr/>
      </dsp:nvSpPr>
      <dsp:spPr>
        <a:xfrm>
          <a:off x="275428" y="2435261"/>
          <a:ext cx="3855999" cy="1771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748" tIns="0" rIns="145748" bIns="0" numCol="1" spcCol="1270" anchor="ctr" anchorCtr="0">
          <a:noAutofit/>
        </a:bodyPr>
        <a:lstStyle/>
        <a:p>
          <a:pPr lvl="0" algn="l" defTabSz="533400">
            <a:lnSpc>
              <a:spcPct val="90000"/>
            </a:lnSpc>
            <a:spcBef>
              <a:spcPct val="0"/>
            </a:spcBef>
            <a:spcAft>
              <a:spcPct val="35000"/>
            </a:spcAft>
          </a:pPr>
          <a:r>
            <a:rPr lang="lt-LT" sz="1200" kern="1200">
              <a:latin typeface="Times New Roman" pitchFamily="18" charset="0"/>
              <a:cs typeface="Times New Roman" pitchFamily="18" charset="0"/>
            </a:rPr>
            <a:t>Strateginis  planavimas yra susitarimo ieškojimo procesas</a:t>
          </a:r>
        </a:p>
      </dsp:txBody>
      <dsp:txXfrm>
        <a:off x="275428" y="2435261"/>
        <a:ext cx="3855999" cy="17711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A5D36B-DBD9-428A-83F6-60507DC9163A}">
      <dsp:nvSpPr>
        <dsp:cNvPr id="0" name=""/>
        <dsp:cNvSpPr/>
      </dsp:nvSpPr>
      <dsp:spPr>
        <a:xfrm>
          <a:off x="1223780" y="467213"/>
          <a:ext cx="2540464" cy="2540464"/>
        </a:xfrm>
        <a:prstGeom prst="blockArc">
          <a:avLst>
            <a:gd name="adj1" fmla="val 8967855"/>
            <a:gd name="adj2" fmla="val 16637200"/>
            <a:gd name="adj3" fmla="val 4635"/>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AB8FDD-9416-40EC-99E6-23B4411DD3E2}">
      <dsp:nvSpPr>
        <dsp:cNvPr id="0" name=""/>
        <dsp:cNvSpPr/>
      </dsp:nvSpPr>
      <dsp:spPr>
        <a:xfrm>
          <a:off x="1358423" y="795127"/>
          <a:ext cx="2540464" cy="2540464"/>
        </a:xfrm>
        <a:prstGeom prst="blockArc">
          <a:avLst>
            <a:gd name="adj1" fmla="val 846649"/>
            <a:gd name="adj2" fmla="val 9953351"/>
            <a:gd name="adj3" fmla="val 4635"/>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1FBA8C-4EF4-4618-9A2F-6E3D6B96C6E1}">
      <dsp:nvSpPr>
        <dsp:cNvPr id="0" name=""/>
        <dsp:cNvSpPr/>
      </dsp:nvSpPr>
      <dsp:spPr>
        <a:xfrm>
          <a:off x="1489993" y="472451"/>
          <a:ext cx="2540464" cy="2540464"/>
        </a:xfrm>
        <a:prstGeom prst="blockArc">
          <a:avLst>
            <a:gd name="adj1" fmla="val 15898061"/>
            <a:gd name="adj2" fmla="val 1815321"/>
            <a:gd name="adj3" fmla="val 4635"/>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2FEF8B-C7E2-4CE7-BA5B-041663045D79}">
      <dsp:nvSpPr>
        <dsp:cNvPr id="0" name=""/>
        <dsp:cNvSpPr/>
      </dsp:nvSpPr>
      <dsp:spPr>
        <a:xfrm>
          <a:off x="1743495" y="926603"/>
          <a:ext cx="1815782" cy="1641724"/>
        </a:xfrm>
        <a:prstGeom prst="ellipse">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KOMPLEKSINĖ TARPSEKTORINĖ INTEGRUOJANTI VEIKLA</a:t>
          </a:r>
        </a:p>
      </dsp:txBody>
      <dsp:txXfrm>
        <a:off x="1743495" y="926603"/>
        <a:ext cx="1815782" cy="1641724"/>
      </dsp:txXfrm>
    </dsp:sp>
    <dsp:sp modelId="{83D7831B-3FFD-427C-88CB-89B9ED78A979}">
      <dsp:nvSpPr>
        <dsp:cNvPr id="0" name=""/>
        <dsp:cNvSpPr/>
      </dsp:nvSpPr>
      <dsp:spPr>
        <a:xfrm>
          <a:off x="2020405" y="-96633"/>
          <a:ext cx="1261962" cy="1206615"/>
        </a:xfrm>
        <a:prstGeom prst="ellipse">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UGDYMAS IR SAVIUGDA</a:t>
          </a:r>
        </a:p>
      </dsp:txBody>
      <dsp:txXfrm>
        <a:off x="2020405" y="-96633"/>
        <a:ext cx="1261962" cy="1206615"/>
      </dsp:txXfrm>
    </dsp:sp>
    <dsp:sp modelId="{5CEB2C6C-3A7E-4CB1-B443-F63550A33F7F}">
      <dsp:nvSpPr>
        <dsp:cNvPr id="0" name=""/>
        <dsp:cNvSpPr/>
      </dsp:nvSpPr>
      <dsp:spPr>
        <a:xfrm>
          <a:off x="3031292" y="1651431"/>
          <a:ext cx="1601430" cy="1432861"/>
        </a:xfrm>
        <a:prstGeom prst="ellipse">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BENDRADARBIAVIMAS IR PARTNERYSTĖ</a:t>
          </a:r>
        </a:p>
      </dsp:txBody>
      <dsp:txXfrm>
        <a:off x="3031292" y="1651431"/>
        <a:ext cx="1601430" cy="1432861"/>
      </dsp:txXfrm>
    </dsp:sp>
    <dsp:sp modelId="{667A3304-5534-4042-855B-00D8062D087A}">
      <dsp:nvSpPr>
        <dsp:cNvPr id="0" name=""/>
        <dsp:cNvSpPr/>
      </dsp:nvSpPr>
      <dsp:spPr>
        <a:xfrm>
          <a:off x="638669" y="1649816"/>
          <a:ext cx="1573265" cy="1436091"/>
        </a:xfrm>
        <a:prstGeom prst="ellipse">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SAUGI IR SVEIKA MOKYMOSI APLINKA</a:t>
          </a:r>
        </a:p>
      </dsp:txBody>
      <dsp:txXfrm>
        <a:off x="638669" y="1649816"/>
        <a:ext cx="1573265" cy="143609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6C6D3-1C7E-431C-B328-E8884681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180</Pages>
  <Words>55436</Words>
  <Characters>423267</Characters>
  <Application>Microsoft Office Word</Application>
  <DocSecurity>0</DocSecurity>
  <Lines>3527</Lines>
  <Paragraphs>955</Paragraphs>
  <ScaleCrop>false</ScaleCrop>
  <Company>SMF</Company>
  <LinksUpToDate>false</LinksUpToDate>
  <CharactersWithSpaces>477748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VISUOMENĖS SVEIKATOS BIURO VEIKLOS STRATEGIJA: ŠIAULIŲ MIESTO ATVEJIS</dc:title>
  <dc:subject/>
  <dc:creator>DIANA</dc:creator>
  <cp:keywords/>
  <dc:description/>
  <cp:lastModifiedBy>DIANA</cp:lastModifiedBy>
  <cp:revision>6</cp:revision>
  <cp:lastPrinted>2011-05-26T19:50:00Z</cp:lastPrinted>
  <dcterms:created xsi:type="dcterms:W3CDTF">2011-05-14T10:58:00Z</dcterms:created>
  <dcterms:modified xsi:type="dcterms:W3CDTF">2011-05-26T19:56:00Z</dcterms:modified>
</cp:coreProperties>
</file>